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70415AC" w:rsidP="0F440772" w:rsidRDefault="370415AC" w14:paraId="1B31E811" w14:textId="2CD432CA">
      <w:pPr>
        <w:pStyle w:val="Normal"/>
        <w:suppressLineNumbers w:val="0"/>
        <w:bidi w:val="0"/>
        <w:spacing w:before="0" w:beforeAutospacing="off" w:after="160" w:afterAutospacing="off" w:line="279" w:lineRule="auto"/>
        <w:ind w:left="0" w:right="0"/>
        <w:jc w:val="center"/>
        <w:rPr>
          <w:rFonts w:ascii="Arial" w:hAnsi="Arial" w:eastAsia="Arial" w:cs="Arial"/>
        </w:rPr>
      </w:pPr>
      <w:r w:rsidRPr="0F440772" w:rsidR="370415AC">
        <w:rPr>
          <w:rFonts w:ascii="Arial" w:hAnsi="Arial" w:eastAsia="Arial" w:cs="Arial"/>
        </w:rPr>
        <w:t xml:space="preserve">AUDIENCIA DE DECISIÓN - PROCESO DE RESPONSABILIDAD FISCAL – VERBAL </w:t>
      </w:r>
    </w:p>
    <w:p w:rsidR="0F440772" w:rsidP="0F440772" w:rsidRDefault="0F440772" w14:paraId="72C5240C" w14:textId="00B7E978">
      <w:pPr>
        <w:pStyle w:val="Normal"/>
        <w:suppressLineNumbers w:val="0"/>
        <w:bidi w:val="0"/>
        <w:spacing w:before="0" w:beforeAutospacing="off" w:after="160" w:afterAutospacing="off" w:line="279" w:lineRule="auto"/>
        <w:ind w:left="0" w:right="0"/>
        <w:jc w:val="center"/>
        <w:rPr>
          <w:rFonts w:ascii="Arial" w:hAnsi="Arial" w:eastAsia="Arial" w:cs="Arial"/>
        </w:rPr>
      </w:pPr>
    </w:p>
    <w:tbl>
      <w:tblPr>
        <w:tblStyle w:val="TableGrid"/>
        <w:tblW w:w="0" w:type="auto"/>
        <w:tblLayout w:type="fixed"/>
        <w:tblLook w:val="06A0" w:firstRow="1" w:lastRow="0" w:firstColumn="1" w:lastColumn="0" w:noHBand="1" w:noVBand="1"/>
      </w:tblPr>
      <w:tblGrid>
        <w:gridCol w:w="4508"/>
        <w:gridCol w:w="4508"/>
      </w:tblGrid>
      <w:tr w:rsidR="0F440772" w:rsidTr="0F440772" w14:paraId="5A319CF4">
        <w:trPr>
          <w:trHeight w:val="300"/>
        </w:trPr>
        <w:tc>
          <w:tcPr>
            <w:tcW w:w="4508" w:type="dxa"/>
            <w:tcMar/>
          </w:tcPr>
          <w:p w:rsidR="7807B7CD" w:rsidP="0F440772" w:rsidRDefault="7807B7CD" w14:paraId="458A30A7" w14:textId="5FE1EE14">
            <w:pPr>
              <w:pStyle w:val="Normal"/>
              <w:rPr>
                <w:rFonts w:ascii="Arial" w:hAnsi="Arial" w:eastAsia="Arial" w:cs="Arial"/>
                <w:b w:val="1"/>
                <w:bCs w:val="1"/>
                <w:color w:val="auto"/>
                <w:sz w:val="24"/>
                <w:szCs w:val="24"/>
              </w:rPr>
            </w:pPr>
            <w:r w:rsidRPr="0F440772" w:rsidR="7807B7CD">
              <w:rPr>
                <w:rFonts w:ascii="Arial" w:hAnsi="Arial" w:eastAsia="Arial" w:cs="Arial"/>
                <w:b w:val="1"/>
                <w:bCs w:val="1"/>
                <w:color w:val="auto"/>
                <w:sz w:val="24"/>
                <w:szCs w:val="24"/>
              </w:rPr>
              <w:t>DESPACHO</w:t>
            </w:r>
          </w:p>
        </w:tc>
        <w:tc>
          <w:tcPr>
            <w:tcW w:w="4508" w:type="dxa"/>
            <w:tcMar/>
          </w:tcPr>
          <w:p w:rsidR="7807B7CD" w:rsidP="0F440772" w:rsidRDefault="7807B7CD" w14:paraId="742219B3" w14:textId="1F259FD6">
            <w:pPr>
              <w:pStyle w:val="Normal"/>
              <w:rPr>
                <w:rFonts w:ascii="Arial" w:hAnsi="Arial" w:eastAsia="Arial" w:cs="Arial"/>
                <w:color w:val="auto"/>
                <w:sz w:val="24"/>
                <w:szCs w:val="24"/>
              </w:rPr>
            </w:pPr>
            <w:r w:rsidRPr="0F440772" w:rsidR="7807B7CD">
              <w:rPr>
                <w:rFonts w:ascii="Arial" w:hAnsi="Arial" w:eastAsia="Arial" w:cs="Arial"/>
                <w:color w:val="auto"/>
                <w:sz w:val="24"/>
                <w:szCs w:val="24"/>
              </w:rPr>
              <w:t>CONTRALORÍA GENERAL DE LA REPÚBLICA - GERENCIA DEPARTAMENTAL DEL QUINDIO</w:t>
            </w:r>
          </w:p>
        </w:tc>
      </w:tr>
      <w:tr w:rsidR="0F440772" w:rsidTr="0F440772" w14:paraId="5CFB90EC">
        <w:trPr>
          <w:trHeight w:val="300"/>
        </w:trPr>
        <w:tc>
          <w:tcPr>
            <w:tcW w:w="4508" w:type="dxa"/>
            <w:tcMar/>
          </w:tcPr>
          <w:p w:rsidR="7807B7CD" w:rsidP="0F440772" w:rsidRDefault="7807B7CD" w14:paraId="5562B598" w14:textId="25CA8A9A">
            <w:pPr>
              <w:pStyle w:val="Normal"/>
              <w:rPr>
                <w:rFonts w:ascii="Arial" w:hAnsi="Arial" w:eastAsia="Arial" w:cs="Arial"/>
                <w:b w:val="1"/>
                <w:bCs w:val="1"/>
                <w:color w:val="auto"/>
                <w:sz w:val="24"/>
                <w:szCs w:val="24"/>
              </w:rPr>
            </w:pPr>
            <w:r w:rsidRPr="0F440772" w:rsidR="7807B7CD">
              <w:rPr>
                <w:rFonts w:ascii="Arial" w:hAnsi="Arial" w:eastAsia="Arial" w:cs="Arial"/>
                <w:b w:val="1"/>
                <w:bCs w:val="1"/>
                <w:color w:val="auto"/>
                <w:sz w:val="24"/>
                <w:szCs w:val="24"/>
              </w:rPr>
              <w:t>EXPEDIENTE</w:t>
            </w:r>
          </w:p>
        </w:tc>
        <w:tc>
          <w:tcPr>
            <w:tcW w:w="4508" w:type="dxa"/>
            <w:tcMar/>
          </w:tcPr>
          <w:p w:rsidR="3F9A734D" w:rsidP="0F440772" w:rsidRDefault="3F9A734D" w14:paraId="4B00ACD2" w14:textId="58FDDA29">
            <w:pPr>
              <w:rPr>
                <w:rFonts w:ascii="Arial" w:hAnsi="Arial" w:eastAsia="Arial" w:cs="Arial"/>
                <w:noProof w:val="0"/>
                <w:color w:val="auto"/>
                <w:sz w:val="24"/>
                <w:szCs w:val="24"/>
                <w:lang w:val="es-ES"/>
              </w:rPr>
            </w:pPr>
            <w:r w:rsidRPr="0F440772" w:rsidR="3F9A734D">
              <w:rPr>
                <w:rFonts w:ascii="Arial" w:hAnsi="Arial" w:eastAsia="Arial" w:cs="Arial"/>
                <w:b w:val="0"/>
                <w:bCs w:val="0"/>
                <w:i w:val="0"/>
                <w:iCs w:val="0"/>
                <w:caps w:val="0"/>
                <w:smallCaps w:val="0"/>
                <w:noProof w:val="0"/>
                <w:color w:val="auto"/>
                <w:sz w:val="24"/>
                <w:szCs w:val="24"/>
                <w:lang w:val="es-ES"/>
              </w:rPr>
              <w:t>PRF-80633-2022-41351</w:t>
            </w:r>
            <w:r>
              <w:tab/>
            </w:r>
          </w:p>
        </w:tc>
      </w:tr>
      <w:tr w:rsidR="0F440772" w:rsidTr="0F440772" w14:paraId="0D66FE18">
        <w:trPr>
          <w:trHeight w:val="300"/>
        </w:trPr>
        <w:tc>
          <w:tcPr>
            <w:tcW w:w="4508" w:type="dxa"/>
            <w:tcMar/>
          </w:tcPr>
          <w:p w:rsidR="3F9A734D" w:rsidP="0F440772" w:rsidRDefault="3F9A734D" w14:paraId="3CAED046" w14:textId="03B1A656">
            <w:pPr>
              <w:pStyle w:val="Normal"/>
              <w:rPr>
                <w:rFonts w:ascii="Arial" w:hAnsi="Arial" w:eastAsia="Arial" w:cs="Arial"/>
                <w:b w:val="1"/>
                <w:bCs w:val="1"/>
                <w:color w:val="auto"/>
                <w:sz w:val="24"/>
                <w:szCs w:val="24"/>
              </w:rPr>
            </w:pPr>
            <w:r w:rsidRPr="0F440772" w:rsidR="3F9A734D">
              <w:rPr>
                <w:rFonts w:ascii="Arial" w:hAnsi="Arial" w:eastAsia="Arial" w:cs="Arial"/>
                <w:b w:val="1"/>
                <w:bCs w:val="1"/>
                <w:color w:val="auto"/>
                <w:sz w:val="24"/>
                <w:szCs w:val="24"/>
              </w:rPr>
              <w:t xml:space="preserve">PRESUNTOS RESPONSABLES </w:t>
            </w:r>
          </w:p>
        </w:tc>
        <w:tc>
          <w:tcPr>
            <w:tcW w:w="4508" w:type="dxa"/>
            <w:tcMar/>
          </w:tcPr>
          <w:p w:rsidR="3F9A734D" w:rsidP="0F440772" w:rsidRDefault="3F9A734D" w14:paraId="1A6CD2DC" w14:textId="3F7FD66A">
            <w:pPr>
              <w:rPr>
                <w:rFonts w:ascii="Arial" w:hAnsi="Arial" w:eastAsia="Arial" w:cs="Arial"/>
                <w:noProof w:val="0"/>
                <w:color w:val="auto"/>
                <w:sz w:val="24"/>
                <w:szCs w:val="24"/>
                <w:lang w:val="es-ES"/>
              </w:rPr>
            </w:pPr>
            <w:r w:rsidRPr="0F440772" w:rsidR="3F9A734D">
              <w:rPr>
                <w:rFonts w:ascii="Arial" w:hAnsi="Arial" w:eastAsia="Arial" w:cs="Arial"/>
                <w:noProof w:val="0"/>
                <w:color w:val="auto"/>
                <w:sz w:val="24"/>
                <w:szCs w:val="24"/>
                <w:lang w:val="es-ES"/>
              </w:rPr>
              <w:t>ALVARO JOSE JIMENEZ Y OTROS</w:t>
            </w:r>
          </w:p>
        </w:tc>
      </w:tr>
      <w:tr w:rsidR="0F440772" w:rsidTr="0F440772" w14:paraId="3536DCC9">
        <w:trPr>
          <w:trHeight w:val="300"/>
        </w:trPr>
        <w:tc>
          <w:tcPr>
            <w:tcW w:w="4508" w:type="dxa"/>
            <w:tcMar/>
          </w:tcPr>
          <w:p w:rsidR="3F9A734D" w:rsidP="0F440772" w:rsidRDefault="3F9A734D" w14:paraId="1A77667A" w14:textId="6B102549">
            <w:pPr>
              <w:pStyle w:val="Normal"/>
              <w:rPr>
                <w:rFonts w:ascii="Arial" w:hAnsi="Arial" w:eastAsia="Arial" w:cs="Arial"/>
                <w:b w:val="1"/>
                <w:bCs w:val="1"/>
                <w:color w:val="auto"/>
                <w:sz w:val="24"/>
                <w:szCs w:val="24"/>
              </w:rPr>
            </w:pPr>
            <w:r w:rsidRPr="0F440772" w:rsidR="3F9A734D">
              <w:rPr>
                <w:rFonts w:ascii="Arial" w:hAnsi="Arial" w:eastAsia="Arial" w:cs="Arial"/>
                <w:b w:val="1"/>
                <w:bCs w:val="1"/>
                <w:color w:val="auto"/>
                <w:sz w:val="24"/>
                <w:szCs w:val="24"/>
              </w:rPr>
              <w:t xml:space="preserve">TERCERO CIVILMENTE RESPONSABLE </w:t>
            </w:r>
          </w:p>
        </w:tc>
        <w:tc>
          <w:tcPr>
            <w:tcW w:w="4508" w:type="dxa"/>
            <w:tcMar/>
          </w:tcPr>
          <w:p w:rsidR="3F9A734D" w:rsidP="0F440772" w:rsidRDefault="3F9A734D" w14:paraId="0DF8101C" w14:textId="205F7F5E">
            <w:pPr>
              <w:pStyle w:val="Normal"/>
              <w:rPr>
                <w:rFonts w:ascii="Arial" w:hAnsi="Arial" w:eastAsia="Arial" w:cs="Arial"/>
                <w:color w:val="auto"/>
                <w:sz w:val="24"/>
                <w:szCs w:val="24"/>
              </w:rPr>
            </w:pPr>
            <w:r w:rsidRPr="0F440772" w:rsidR="3F9A734D">
              <w:rPr>
                <w:rFonts w:ascii="Arial" w:hAnsi="Arial" w:eastAsia="Arial" w:cs="Arial"/>
                <w:color w:val="auto"/>
                <w:sz w:val="24"/>
                <w:szCs w:val="24"/>
              </w:rPr>
              <w:t xml:space="preserve">ASEGURADORA SOLIDARIA DE COLOMBIA Y HDI SEGUROS COLOMBIA S.A. </w:t>
            </w:r>
          </w:p>
        </w:tc>
      </w:tr>
      <w:tr w:rsidR="0F440772" w:rsidTr="0F440772" w14:paraId="23F33037">
        <w:trPr>
          <w:trHeight w:val="300"/>
        </w:trPr>
        <w:tc>
          <w:tcPr>
            <w:tcW w:w="4508" w:type="dxa"/>
            <w:tcMar/>
          </w:tcPr>
          <w:p w:rsidR="3F9A734D" w:rsidP="0F440772" w:rsidRDefault="3F9A734D" w14:paraId="11EEC50D" w14:textId="1990CD2C">
            <w:pPr>
              <w:pStyle w:val="Normal"/>
              <w:rPr>
                <w:rFonts w:ascii="Arial" w:hAnsi="Arial" w:eastAsia="Arial" w:cs="Arial"/>
                <w:b w:val="1"/>
                <w:bCs w:val="1"/>
                <w:color w:val="auto"/>
                <w:sz w:val="24"/>
                <w:szCs w:val="24"/>
              </w:rPr>
            </w:pPr>
            <w:r w:rsidRPr="0F440772" w:rsidR="3F9A734D">
              <w:rPr>
                <w:rFonts w:ascii="Arial" w:hAnsi="Arial" w:eastAsia="Arial" w:cs="Arial"/>
                <w:b w:val="1"/>
                <w:bCs w:val="1"/>
                <w:color w:val="auto"/>
                <w:sz w:val="24"/>
                <w:szCs w:val="24"/>
              </w:rPr>
              <w:t>CLIENTE</w:t>
            </w:r>
          </w:p>
        </w:tc>
        <w:tc>
          <w:tcPr>
            <w:tcW w:w="4508" w:type="dxa"/>
            <w:tcMar/>
          </w:tcPr>
          <w:p w:rsidR="3F9A734D" w:rsidP="0F440772" w:rsidRDefault="3F9A734D" w14:paraId="4EF3D9A6" w14:textId="4CA76AC0">
            <w:pPr>
              <w:pStyle w:val="Normal"/>
              <w:rPr>
                <w:rFonts w:ascii="Arial" w:hAnsi="Arial" w:eastAsia="Arial" w:cs="Arial"/>
                <w:color w:val="auto"/>
                <w:sz w:val="24"/>
                <w:szCs w:val="24"/>
              </w:rPr>
            </w:pPr>
            <w:r w:rsidRPr="0F440772" w:rsidR="3F9A734D">
              <w:rPr>
                <w:rFonts w:ascii="Arial" w:hAnsi="Arial" w:eastAsia="Arial" w:cs="Arial"/>
                <w:color w:val="auto"/>
                <w:sz w:val="24"/>
                <w:szCs w:val="24"/>
              </w:rPr>
              <w:t xml:space="preserve">ASEGURADORA SOLIDARIA </w:t>
            </w:r>
          </w:p>
        </w:tc>
      </w:tr>
    </w:tbl>
    <w:p w:rsidR="0F440772" w:rsidP="0F440772" w:rsidRDefault="0F440772" w14:paraId="5DC03707" w14:textId="763E4871">
      <w:pPr>
        <w:pStyle w:val="Normal"/>
        <w:rPr>
          <w:rFonts w:ascii="Arial" w:hAnsi="Arial" w:eastAsia="Arial" w:cs="Arial"/>
          <w:b w:val="1"/>
          <w:bCs w:val="1"/>
        </w:rPr>
      </w:pPr>
    </w:p>
    <w:p w:rsidR="0B513988" w:rsidP="0F440772" w:rsidRDefault="0B513988" w14:paraId="61793C0B" w14:textId="6A22E209">
      <w:pPr>
        <w:pStyle w:val="Normal"/>
        <w:rPr>
          <w:rFonts w:ascii="Arial" w:hAnsi="Arial" w:eastAsia="Arial" w:cs="Arial"/>
          <w:b w:val="1"/>
          <w:bCs w:val="1"/>
        </w:rPr>
      </w:pPr>
      <w:r w:rsidRPr="0F440772" w:rsidR="0B513988">
        <w:rPr>
          <w:rFonts w:ascii="Arial" w:hAnsi="Arial" w:eastAsia="Arial" w:cs="Arial"/>
          <w:b w:val="1"/>
          <w:bCs w:val="1"/>
        </w:rPr>
        <w:t>No se present</w:t>
      </w:r>
      <w:r w:rsidRPr="0F440772" w:rsidR="4D1C43C6">
        <w:rPr>
          <w:rFonts w:ascii="Arial" w:hAnsi="Arial" w:eastAsia="Arial" w:cs="Arial"/>
          <w:b w:val="1"/>
          <w:bCs w:val="1"/>
        </w:rPr>
        <w:t xml:space="preserve">aron: </w:t>
      </w:r>
    </w:p>
    <w:p w:rsidR="0B513988" w:rsidP="0F440772" w:rsidRDefault="0B513988" w14:paraId="310CB7AE" w14:textId="005C9C37">
      <w:pPr>
        <w:rPr>
          <w:rFonts w:ascii="Arial" w:hAnsi="Arial" w:eastAsia="Arial" w:cs="Arial"/>
        </w:rPr>
      </w:pPr>
      <w:r w:rsidRPr="0F440772" w:rsidR="0B513988">
        <w:rPr>
          <w:rFonts w:ascii="Arial" w:hAnsi="Arial" w:eastAsia="Arial" w:cs="Arial"/>
        </w:rPr>
        <w:t xml:space="preserve">Humberto Ospina </w:t>
      </w:r>
      <w:r w:rsidRPr="0F440772" w:rsidR="51BBF319">
        <w:rPr>
          <w:rFonts w:ascii="Arial" w:hAnsi="Arial" w:eastAsia="Arial" w:cs="Arial"/>
        </w:rPr>
        <w:t>Marín</w:t>
      </w:r>
      <w:r w:rsidRPr="0F440772" w:rsidR="0B513988">
        <w:rPr>
          <w:rFonts w:ascii="Arial" w:hAnsi="Arial" w:eastAsia="Arial" w:cs="Arial"/>
        </w:rPr>
        <w:t xml:space="preserve"> y su representado </w:t>
      </w:r>
      <w:r w:rsidRPr="0F440772" w:rsidR="0D789000">
        <w:rPr>
          <w:rFonts w:ascii="Arial" w:hAnsi="Arial" w:eastAsia="Arial" w:cs="Arial"/>
        </w:rPr>
        <w:t>Álvaro</w:t>
      </w:r>
      <w:r w:rsidRPr="0F440772" w:rsidR="3B1BAFF3">
        <w:rPr>
          <w:rFonts w:ascii="Arial" w:hAnsi="Arial" w:eastAsia="Arial" w:cs="Arial"/>
        </w:rPr>
        <w:t xml:space="preserve"> José Jiménez Torres </w:t>
      </w:r>
    </w:p>
    <w:p w:rsidR="34620C1B" w:rsidP="0F440772" w:rsidRDefault="34620C1B" w14:paraId="2B559A0D" w14:textId="3F1300D9">
      <w:pPr>
        <w:rPr>
          <w:rFonts w:ascii="Arial" w:hAnsi="Arial" w:eastAsia="Arial" w:cs="Arial"/>
        </w:rPr>
      </w:pPr>
      <w:r w:rsidRPr="0F440772" w:rsidR="34620C1B">
        <w:rPr>
          <w:rFonts w:ascii="Arial" w:hAnsi="Arial" w:eastAsia="Arial" w:cs="Arial"/>
        </w:rPr>
        <w:t xml:space="preserve">Manuel Felipe Orozco Castañeda y su representado César Ovidio </w:t>
      </w:r>
      <w:r w:rsidRPr="0F440772" w:rsidR="34620C1B">
        <w:rPr>
          <w:rFonts w:ascii="Arial" w:hAnsi="Arial" w:eastAsia="Arial" w:cs="Arial"/>
        </w:rPr>
        <w:t>Rodríguez</w:t>
      </w:r>
      <w:r w:rsidRPr="0F440772" w:rsidR="34620C1B">
        <w:rPr>
          <w:rFonts w:ascii="Arial" w:hAnsi="Arial" w:eastAsia="Arial" w:cs="Arial"/>
        </w:rPr>
        <w:t xml:space="preserve"> Gil </w:t>
      </w:r>
    </w:p>
    <w:p w:rsidR="0F440772" w:rsidP="0F440772" w:rsidRDefault="0F440772" w14:paraId="044B664F" w14:textId="141D8559">
      <w:pPr>
        <w:rPr>
          <w:rFonts w:ascii="Arial" w:hAnsi="Arial" w:eastAsia="Arial" w:cs="Arial"/>
        </w:rPr>
      </w:pPr>
    </w:p>
    <w:tbl>
      <w:tblPr>
        <w:tblStyle w:val="TableGrid"/>
        <w:tblW w:w="0" w:type="auto"/>
        <w:tblLayout w:type="fixed"/>
        <w:tblLook w:val="06A0" w:firstRow="1" w:lastRow="0" w:firstColumn="1" w:lastColumn="0" w:noHBand="1" w:noVBand="1"/>
      </w:tblPr>
      <w:tblGrid>
        <w:gridCol w:w="765"/>
        <w:gridCol w:w="5245"/>
        <w:gridCol w:w="3005"/>
      </w:tblGrid>
      <w:tr w:rsidR="0F440772" w:rsidTr="0F440772" w14:paraId="022D0F09">
        <w:trPr>
          <w:trHeight w:val="300"/>
        </w:trPr>
        <w:tc>
          <w:tcPr>
            <w:tcW w:w="765" w:type="dxa"/>
            <w:tcMar/>
          </w:tcPr>
          <w:p w:rsidR="35937476" w:rsidP="0F440772" w:rsidRDefault="35937476" w14:paraId="76403D3C" w14:textId="138CF639">
            <w:pPr>
              <w:pStyle w:val="Normal"/>
              <w:jc w:val="center"/>
              <w:rPr>
                <w:rFonts w:ascii="Arial" w:hAnsi="Arial" w:eastAsia="Arial" w:cs="Arial"/>
                <w:b w:val="1"/>
                <w:bCs w:val="1"/>
              </w:rPr>
            </w:pPr>
            <w:r w:rsidRPr="0F440772" w:rsidR="35937476">
              <w:rPr>
                <w:rFonts w:ascii="Arial" w:hAnsi="Arial" w:eastAsia="Arial" w:cs="Arial"/>
                <w:b w:val="1"/>
                <w:bCs w:val="1"/>
              </w:rPr>
              <w:t>No</w:t>
            </w:r>
          </w:p>
        </w:tc>
        <w:tc>
          <w:tcPr>
            <w:tcW w:w="5245" w:type="dxa"/>
            <w:tcMar/>
          </w:tcPr>
          <w:p w:rsidR="35937476" w:rsidP="0F440772" w:rsidRDefault="35937476" w14:paraId="5B186AE3" w14:textId="0CD1E943">
            <w:pPr>
              <w:pStyle w:val="Normal"/>
              <w:jc w:val="center"/>
              <w:rPr>
                <w:rFonts w:ascii="Arial" w:hAnsi="Arial" w:eastAsia="Arial" w:cs="Arial"/>
                <w:b w:val="1"/>
                <w:bCs w:val="1"/>
              </w:rPr>
            </w:pPr>
            <w:r w:rsidRPr="0F440772" w:rsidR="35937476">
              <w:rPr>
                <w:rFonts w:ascii="Arial" w:hAnsi="Arial" w:eastAsia="Arial" w:cs="Arial"/>
                <w:b w:val="1"/>
                <w:bCs w:val="1"/>
              </w:rPr>
              <w:t>APODERADO</w:t>
            </w:r>
          </w:p>
        </w:tc>
        <w:tc>
          <w:tcPr>
            <w:tcW w:w="3005" w:type="dxa"/>
            <w:tcMar/>
          </w:tcPr>
          <w:p w:rsidR="35937476" w:rsidP="0F440772" w:rsidRDefault="35937476" w14:paraId="384635AA" w14:textId="0D3B606B">
            <w:pPr>
              <w:pStyle w:val="Normal"/>
              <w:jc w:val="center"/>
              <w:rPr>
                <w:rFonts w:ascii="Arial" w:hAnsi="Arial" w:eastAsia="Arial" w:cs="Arial"/>
                <w:b w:val="1"/>
                <w:bCs w:val="1"/>
              </w:rPr>
            </w:pPr>
            <w:r w:rsidRPr="0F440772" w:rsidR="35937476">
              <w:rPr>
                <w:rFonts w:ascii="Arial" w:hAnsi="Arial" w:eastAsia="Arial" w:cs="Arial"/>
                <w:b w:val="1"/>
                <w:bCs w:val="1"/>
              </w:rPr>
              <w:t>¿Presentó alegatos?</w:t>
            </w:r>
          </w:p>
        </w:tc>
      </w:tr>
      <w:tr w:rsidR="0F440772" w:rsidTr="0F440772" w14:paraId="6C23354A">
        <w:trPr>
          <w:trHeight w:val="300"/>
        </w:trPr>
        <w:tc>
          <w:tcPr>
            <w:tcW w:w="765" w:type="dxa"/>
            <w:tcMar/>
          </w:tcPr>
          <w:p w:rsidR="35937476" w:rsidP="0F440772" w:rsidRDefault="35937476" w14:paraId="19059599" w14:textId="5568012A">
            <w:pPr>
              <w:pStyle w:val="Normal"/>
              <w:rPr>
                <w:rFonts w:ascii="Arial" w:hAnsi="Arial" w:eastAsia="Arial" w:cs="Arial"/>
                <w:b w:val="0"/>
                <w:bCs w:val="0"/>
              </w:rPr>
            </w:pPr>
            <w:r w:rsidRPr="0F440772" w:rsidR="35937476">
              <w:rPr>
                <w:rFonts w:ascii="Arial" w:hAnsi="Arial" w:eastAsia="Arial" w:cs="Arial"/>
                <w:b w:val="0"/>
                <w:bCs w:val="0"/>
              </w:rPr>
              <w:t>1</w:t>
            </w:r>
          </w:p>
        </w:tc>
        <w:tc>
          <w:tcPr>
            <w:tcW w:w="5245" w:type="dxa"/>
            <w:tcMar/>
          </w:tcPr>
          <w:p w:rsidR="4069171E" w:rsidP="0F440772" w:rsidRDefault="4069171E" w14:paraId="2C7AAF71" w14:textId="25EFD90F">
            <w:pPr>
              <w:pStyle w:val="Normal"/>
              <w:suppressLineNumbers w:val="0"/>
              <w:bidi w:val="0"/>
              <w:spacing w:before="0" w:beforeAutospacing="off" w:after="0" w:afterAutospacing="off" w:line="240" w:lineRule="auto"/>
              <w:ind w:left="0" w:right="0"/>
              <w:jc w:val="left"/>
            </w:pPr>
            <w:r w:rsidRPr="0F440772" w:rsidR="4069171E">
              <w:rPr>
                <w:rFonts w:ascii="Arial" w:hAnsi="Arial" w:eastAsia="Arial" w:cs="Arial"/>
                <w:b w:val="0"/>
                <w:bCs w:val="0"/>
              </w:rPr>
              <w:t xml:space="preserve">Sandra Bibiana Diaz Osorio </w:t>
            </w:r>
          </w:p>
        </w:tc>
        <w:tc>
          <w:tcPr>
            <w:tcW w:w="3005" w:type="dxa"/>
            <w:tcMar/>
          </w:tcPr>
          <w:p w:rsidR="1312542A" w:rsidP="0F440772" w:rsidRDefault="1312542A" w14:paraId="321A8E7C" w14:textId="6E87BE1F">
            <w:pPr>
              <w:pStyle w:val="Normal"/>
              <w:rPr>
                <w:rFonts w:ascii="Arial" w:hAnsi="Arial" w:eastAsia="Arial" w:cs="Arial"/>
                <w:b w:val="0"/>
                <w:bCs w:val="0"/>
              </w:rPr>
            </w:pPr>
            <w:r w:rsidRPr="0F440772" w:rsidR="1312542A">
              <w:rPr>
                <w:rFonts w:ascii="Arial" w:hAnsi="Arial" w:eastAsia="Arial" w:cs="Arial"/>
                <w:b w:val="0"/>
                <w:bCs w:val="0"/>
              </w:rPr>
              <w:t>Sí</w:t>
            </w:r>
          </w:p>
        </w:tc>
      </w:tr>
      <w:tr w:rsidR="0F440772" w:rsidTr="0F440772" w14:paraId="1F0AE017">
        <w:trPr>
          <w:trHeight w:val="300"/>
        </w:trPr>
        <w:tc>
          <w:tcPr>
            <w:tcW w:w="765" w:type="dxa"/>
            <w:tcMar/>
          </w:tcPr>
          <w:p w:rsidR="1312542A" w:rsidP="0F440772" w:rsidRDefault="1312542A" w14:paraId="048FCEAB" w14:textId="3CE9CB5D">
            <w:pPr>
              <w:pStyle w:val="Normal"/>
              <w:rPr>
                <w:rFonts w:ascii="Arial" w:hAnsi="Arial" w:eastAsia="Arial" w:cs="Arial"/>
                <w:b w:val="0"/>
                <w:bCs w:val="0"/>
              </w:rPr>
            </w:pPr>
            <w:r w:rsidRPr="0F440772" w:rsidR="1312542A">
              <w:rPr>
                <w:rFonts w:ascii="Arial" w:hAnsi="Arial" w:eastAsia="Arial" w:cs="Arial"/>
                <w:b w:val="0"/>
                <w:bCs w:val="0"/>
              </w:rPr>
              <w:t>2</w:t>
            </w:r>
          </w:p>
        </w:tc>
        <w:tc>
          <w:tcPr>
            <w:tcW w:w="5245" w:type="dxa"/>
            <w:tcMar/>
          </w:tcPr>
          <w:p w:rsidR="1312542A" w:rsidP="0F440772" w:rsidRDefault="1312542A" w14:paraId="087DB161" w14:textId="44C362CA">
            <w:pPr>
              <w:pStyle w:val="Normal"/>
              <w:rPr>
                <w:rFonts w:ascii="Arial" w:hAnsi="Arial" w:eastAsia="Arial" w:cs="Arial"/>
                <w:b w:val="0"/>
                <w:bCs w:val="0"/>
              </w:rPr>
            </w:pPr>
            <w:r w:rsidRPr="0F440772" w:rsidR="1312542A">
              <w:rPr>
                <w:rFonts w:ascii="Arial" w:hAnsi="Arial" w:eastAsia="Arial" w:cs="Arial"/>
                <w:b w:val="0"/>
                <w:bCs w:val="0"/>
              </w:rPr>
              <w:t>Manuel Felipe Orozco Castañeda</w:t>
            </w:r>
          </w:p>
        </w:tc>
        <w:tc>
          <w:tcPr>
            <w:tcW w:w="3005" w:type="dxa"/>
            <w:tcMar/>
          </w:tcPr>
          <w:p w:rsidR="1312542A" w:rsidP="0F440772" w:rsidRDefault="1312542A" w14:paraId="11B9D6AC" w14:textId="41297A14">
            <w:pPr>
              <w:pStyle w:val="Normal"/>
              <w:rPr>
                <w:rFonts w:ascii="Arial" w:hAnsi="Arial" w:eastAsia="Arial" w:cs="Arial"/>
                <w:b w:val="0"/>
                <w:bCs w:val="0"/>
              </w:rPr>
            </w:pPr>
            <w:r w:rsidRPr="0F440772" w:rsidR="1312542A">
              <w:rPr>
                <w:rFonts w:ascii="Arial" w:hAnsi="Arial" w:eastAsia="Arial" w:cs="Arial"/>
                <w:b w:val="0"/>
                <w:bCs w:val="0"/>
              </w:rPr>
              <w:t>Sí</w:t>
            </w:r>
          </w:p>
        </w:tc>
      </w:tr>
      <w:tr w:rsidR="0F440772" w:rsidTr="0F440772" w14:paraId="74A3A198">
        <w:trPr>
          <w:trHeight w:val="300"/>
        </w:trPr>
        <w:tc>
          <w:tcPr>
            <w:tcW w:w="765" w:type="dxa"/>
            <w:tcMar/>
          </w:tcPr>
          <w:p w:rsidR="1312542A" w:rsidP="0F440772" w:rsidRDefault="1312542A" w14:paraId="391A2919" w14:textId="72BD37ED">
            <w:pPr>
              <w:pStyle w:val="Normal"/>
              <w:rPr>
                <w:rFonts w:ascii="Arial" w:hAnsi="Arial" w:eastAsia="Arial" w:cs="Arial"/>
                <w:b w:val="0"/>
                <w:bCs w:val="0"/>
              </w:rPr>
            </w:pPr>
            <w:r w:rsidRPr="0F440772" w:rsidR="1312542A">
              <w:rPr>
                <w:rFonts w:ascii="Arial" w:hAnsi="Arial" w:eastAsia="Arial" w:cs="Arial"/>
                <w:b w:val="0"/>
                <w:bCs w:val="0"/>
              </w:rPr>
              <w:t>3</w:t>
            </w:r>
          </w:p>
        </w:tc>
        <w:tc>
          <w:tcPr>
            <w:tcW w:w="5245" w:type="dxa"/>
            <w:tcMar/>
          </w:tcPr>
          <w:p w:rsidR="1312542A" w:rsidP="0F440772" w:rsidRDefault="1312542A" w14:paraId="0F4BB12A" w14:textId="3C8F598F">
            <w:pPr>
              <w:pStyle w:val="Normal"/>
              <w:rPr>
                <w:rFonts w:ascii="Arial" w:hAnsi="Arial" w:eastAsia="Arial" w:cs="Arial"/>
                <w:b w:val="0"/>
                <w:bCs w:val="0"/>
              </w:rPr>
            </w:pPr>
            <w:r w:rsidRPr="0F440772" w:rsidR="1312542A">
              <w:rPr>
                <w:rFonts w:ascii="Arial" w:hAnsi="Arial" w:eastAsia="Arial" w:cs="Arial"/>
                <w:b w:val="0"/>
                <w:bCs w:val="0"/>
              </w:rPr>
              <w:t>Johan René Cubillo Ladino</w:t>
            </w:r>
          </w:p>
        </w:tc>
        <w:tc>
          <w:tcPr>
            <w:tcW w:w="3005" w:type="dxa"/>
            <w:tcMar/>
          </w:tcPr>
          <w:p w:rsidR="1312542A" w:rsidP="0F440772" w:rsidRDefault="1312542A" w14:paraId="6AA0B8EA" w14:textId="26F13FE2">
            <w:pPr>
              <w:pStyle w:val="Normal"/>
              <w:rPr>
                <w:rFonts w:ascii="Arial" w:hAnsi="Arial" w:eastAsia="Arial" w:cs="Arial"/>
                <w:b w:val="0"/>
                <w:bCs w:val="0"/>
              </w:rPr>
            </w:pPr>
            <w:r w:rsidRPr="0F440772" w:rsidR="1312542A">
              <w:rPr>
                <w:rFonts w:ascii="Arial" w:hAnsi="Arial" w:eastAsia="Arial" w:cs="Arial"/>
                <w:b w:val="0"/>
                <w:bCs w:val="0"/>
              </w:rPr>
              <w:t>Sí</w:t>
            </w:r>
          </w:p>
        </w:tc>
      </w:tr>
      <w:tr w:rsidR="0F440772" w:rsidTr="0F440772" w14:paraId="3A0A493D">
        <w:trPr>
          <w:trHeight w:val="300"/>
        </w:trPr>
        <w:tc>
          <w:tcPr>
            <w:tcW w:w="765" w:type="dxa"/>
            <w:tcMar/>
          </w:tcPr>
          <w:p w:rsidR="1312542A" w:rsidP="0F440772" w:rsidRDefault="1312542A" w14:paraId="60192D5D" w14:textId="5C77A2FE">
            <w:pPr>
              <w:pStyle w:val="Normal"/>
              <w:rPr>
                <w:rFonts w:ascii="Arial" w:hAnsi="Arial" w:eastAsia="Arial" w:cs="Arial"/>
                <w:b w:val="0"/>
                <w:bCs w:val="0"/>
              </w:rPr>
            </w:pPr>
            <w:r w:rsidRPr="0F440772" w:rsidR="1312542A">
              <w:rPr>
                <w:rFonts w:ascii="Arial" w:hAnsi="Arial" w:eastAsia="Arial" w:cs="Arial"/>
                <w:b w:val="0"/>
                <w:bCs w:val="0"/>
              </w:rPr>
              <w:t>4</w:t>
            </w:r>
          </w:p>
        </w:tc>
        <w:tc>
          <w:tcPr>
            <w:tcW w:w="5245" w:type="dxa"/>
            <w:tcMar/>
          </w:tcPr>
          <w:p w:rsidR="4932B976" w:rsidP="0F440772" w:rsidRDefault="4932B976" w14:paraId="6D439AFD" w14:textId="1F9D84BE">
            <w:pPr>
              <w:pStyle w:val="Normal"/>
              <w:rPr>
                <w:rFonts w:ascii="Arial" w:hAnsi="Arial" w:eastAsia="Arial" w:cs="Arial"/>
                <w:b w:val="0"/>
                <w:bCs w:val="0"/>
              </w:rPr>
            </w:pPr>
            <w:r w:rsidRPr="0F440772" w:rsidR="4932B976">
              <w:rPr>
                <w:rFonts w:ascii="Arial" w:hAnsi="Arial" w:eastAsia="Arial" w:cs="Arial"/>
                <w:b w:val="0"/>
                <w:bCs w:val="0"/>
              </w:rPr>
              <w:t>Julián Andrés Acuña Ramírez</w:t>
            </w:r>
          </w:p>
        </w:tc>
        <w:tc>
          <w:tcPr>
            <w:tcW w:w="3005" w:type="dxa"/>
            <w:tcMar/>
          </w:tcPr>
          <w:p w:rsidR="105917D3" w:rsidP="0F440772" w:rsidRDefault="105917D3" w14:paraId="01186BDB" w14:textId="36B055B9">
            <w:pPr>
              <w:pStyle w:val="Normal"/>
              <w:rPr>
                <w:rFonts w:ascii="Arial" w:hAnsi="Arial" w:eastAsia="Arial" w:cs="Arial"/>
                <w:b w:val="0"/>
                <w:bCs w:val="0"/>
              </w:rPr>
            </w:pPr>
            <w:r w:rsidRPr="0F440772" w:rsidR="105917D3">
              <w:rPr>
                <w:rFonts w:ascii="Arial" w:hAnsi="Arial" w:eastAsia="Arial" w:cs="Arial"/>
                <w:b w:val="0"/>
                <w:bCs w:val="0"/>
              </w:rPr>
              <w:t>Sí</w:t>
            </w:r>
          </w:p>
        </w:tc>
      </w:tr>
      <w:tr w:rsidR="0F440772" w:rsidTr="0F440772" w14:paraId="152E2808">
        <w:trPr>
          <w:trHeight w:val="300"/>
        </w:trPr>
        <w:tc>
          <w:tcPr>
            <w:tcW w:w="765" w:type="dxa"/>
            <w:tcMar/>
          </w:tcPr>
          <w:p w:rsidR="4932B976" w:rsidP="0F440772" w:rsidRDefault="4932B976" w14:paraId="2C950623" w14:textId="6E0D1E7A">
            <w:pPr>
              <w:pStyle w:val="Normal"/>
              <w:rPr>
                <w:rFonts w:ascii="Arial" w:hAnsi="Arial" w:eastAsia="Arial" w:cs="Arial"/>
                <w:b w:val="0"/>
                <w:bCs w:val="0"/>
              </w:rPr>
            </w:pPr>
            <w:r w:rsidRPr="0F440772" w:rsidR="4932B976">
              <w:rPr>
                <w:rFonts w:ascii="Arial" w:hAnsi="Arial" w:eastAsia="Arial" w:cs="Arial"/>
                <w:b w:val="0"/>
                <w:bCs w:val="0"/>
              </w:rPr>
              <w:t>5</w:t>
            </w:r>
          </w:p>
        </w:tc>
        <w:tc>
          <w:tcPr>
            <w:tcW w:w="5245" w:type="dxa"/>
            <w:tcMar/>
          </w:tcPr>
          <w:p w:rsidR="4932B976" w:rsidP="0F440772" w:rsidRDefault="4932B976" w14:paraId="5B6D341F" w14:textId="3B5DEB55">
            <w:pPr>
              <w:pStyle w:val="Normal"/>
              <w:rPr>
                <w:rFonts w:ascii="Arial" w:hAnsi="Arial" w:eastAsia="Arial" w:cs="Arial"/>
                <w:b w:val="0"/>
                <w:bCs w:val="0"/>
              </w:rPr>
            </w:pPr>
            <w:r w:rsidRPr="0F440772" w:rsidR="4932B976">
              <w:rPr>
                <w:rFonts w:ascii="Arial" w:hAnsi="Arial" w:eastAsia="Arial" w:cs="Arial"/>
                <w:b w:val="0"/>
                <w:bCs w:val="0"/>
              </w:rPr>
              <w:t xml:space="preserve">Humberto Ospina </w:t>
            </w:r>
            <w:r w:rsidRPr="0F440772" w:rsidR="7E4DD465">
              <w:rPr>
                <w:rFonts w:ascii="Arial" w:hAnsi="Arial" w:eastAsia="Arial" w:cs="Arial"/>
                <w:b w:val="0"/>
                <w:bCs w:val="0"/>
              </w:rPr>
              <w:t>Marin</w:t>
            </w:r>
            <w:r w:rsidRPr="0F440772" w:rsidR="4932B976">
              <w:rPr>
                <w:rFonts w:ascii="Arial" w:hAnsi="Arial" w:eastAsia="Arial" w:cs="Arial"/>
                <w:b w:val="0"/>
                <w:bCs w:val="0"/>
              </w:rPr>
              <w:t xml:space="preserve"> </w:t>
            </w:r>
          </w:p>
        </w:tc>
        <w:tc>
          <w:tcPr>
            <w:tcW w:w="3005" w:type="dxa"/>
            <w:tcMar/>
          </w:tcPr>
          <w:p w:rsidR="1F8FE967" w:rsidP="0F440772" w:rsidRDefault="1F8FE967" w14:paraId="51347AA4" w14:textId="483BFB40">
            <w:pPr>
              <w:pStyle w:val="Normal"/>
              <w:rPr>
                <w:rFonts w:ascii="Arial" w:hAnsi="Arial" w:eastAsia="Arial" w:cs="Arial"/>
                <w:b w:val="0"/>
                <w:bCs w:val="0"/>
              </w:rPr>
            </w:pPr>
            <w:r w:rsidRPr="0F440772" w:rsidR="1F8FE967">
              <w:rPr>
                <w:rFonts w:ascii="Arial" w:hAnsi="Arial" w:eastAsia="Arial" w:cs="Arial"/>
                <w:b w:val="0"/>
                <w:bCs w:val="0"/>
              </w:rPr>
              <w:t>PDTE</w:t>
            </w:r>
          </w:p>
        </w:tc>
      </w:tr>
      <w:tr w:rsidR="0F440772" w:rsidTr="0F440772" w14:paraId="1FFD77D0">
        <w:trPr>
          <w:trHeight w:val="300"/>
        </w:trPr>
        <w:tc>
          <w:tcPr>
            <w:tcW w:w="765" w:type="dxa"/>
            <w:tcMar/>
          </w:tcPr>
          <w:p w:rsidR="4932B976" w:rsidP="0F440772" w:rsidRDefault="4932B976" w14:paraId="61B7E5E8" w14:textId="4DF8CDC7">
            <w:pPr>
              <w:pStyle w:val="Normal"/>
              <w:rPr>
                <w:rFonts w:ascii="Arial" w:hAnsi="Arial" w:eastAsia="Arial" w:cs="Arial"/>
                <w:b w:val="0"/>
                <w:bCs w:val="0"/>
              </w:rPr>
            </w:pPr>
            <w:r w:rsidRPr="0F440772" w:rsidR="4932B976">
              <w:rPr>
                <w:rFonts w:ascii="Arial" w:hAnsi="Arial" w:eastAsia="Arial" w:cs="Arial"/>
                <w:b w:val="0"/>
                <w:bCs w:val="0"/>
              </w:rPr>
              <w:t>6</w:t>
            </w:r>
          </w:p>
        </w:tc>
        <w:tc>
          <w:tcPr>
            <w:tcW w:w="5245" w:type="dxa"/>
            <w:tcMar/>
          </w:tcPr>
          <w:p w:rsidR="4932B976" w:rsidP="0F440772" w:rsidRDefault="4932B976" w14:paraId="51B1EF54" w14:textId="5F4281E1">
            <w:pPr>
              <w:pStyle w:val="Normal"/>
              <w:rPr>
                <w:rFonts w:ascii="Arial" w:hAnsi="Arial" w:eastAsia="Arial" w:cs="Arial"/>
                <w:b w:val="0"/>
                <w:bCs w:val="0"/>
              </w:rPr>
            </w:pPr>
            <w:r w:rsidRPr="0F440772" w:rsidR="4932B976">
              <w:rPr>
                <w:rFonts w:ascii="Arial" w:hAnsi="Arial" w:eastAsia="Arial" w:cs="Arial"/>
                <w:b w:val="0"/>
                <w:bCs w:val="0"/>
              </w:rPr>
              <w:t>Mallyth</w:t>
            </w:r>
            <w:r w:rsidRPr="0F440772" w:rsidR="4932B976">
              <w:rPr>
                <w:rFonts w:ascii="Arial" w:hAnsi="Arial" w:eastAsia="Arial" w:cs="Arial"/>
                <w:b w:val="0"/>
                <w:bCs w:val="0"/>
              </w:rPr>
              <w:t xml:space="preserve"> Viviana Mejía Mejía</w:t>
            </w:r>
          </w:p>
        </w:tc>
        <w:tc>
          <w:tcPr>
            <w:tcW w:w="3005" w:type="dxa"/>
            <w:tcMar/>
          </w:tcPr>
          <w:p w:rsidR="53A8C012" w:rsidP="0F440772" w:rsidRDefault="53A8C012" w14:paraId="5CEA25E9" w14:textId="44BFDD68">
            <w:pPr>
              <w:pStyle w:val="Normal"/>
              <w:rPr>
                <w:rFonts w:ascii="Arial" w:hAnsi="Arial" w:eastAsia="Arial" w:cs="Arial"/>
                <w:b w:val="0"/>
                <w:bCs w:val="0"/>
              </w:rPr>
            </w:pPr>
            <w:r w:rsidRPr="0F440772" w:rsidR="53A8C012">
              <w:rPr>
                <w:rFonts w:ascii="Arial" w:hAnsi="Arial" w:eastAsia="Arial" w:cs="Arial"/>
                <w:b w:val="0"/>
                <w:bCs w:val="0"/>
              </w:rPr>
              <w:t>PDTE</w:t>
            </w:r>
          </w:p>
        </w:tc>
      </w:tr>
      <w:tr w:rsidR="0F440772" w:rsidTr="0F440772" w14:paraId="7524F009">
        <w:trPr>
          <w:trHeight w:val="300"/>
        </w:trPr>
        <w:tc>
          <w:tcPr>
            <w:tcW w:w="765" w:type="dxa"/>
            <w:tcMar/>
          </w:tcPr>
          <w:p w:rsidR="4932B976" w:rsidP="0F440772" w:rsidRDefault="4932B976" w14:paraId="125C604F" w14:textId="5546AEC7">
            <w:pPr>
              <w:pStyle w:val="Normal"/>
              <w:rPr>
                <w:rFonts w:ascii="Arial" w:hAnsi="Arial" w:eastAsia="Arial" w:cs="Arial"/>
                <w:b w:val="0"/>
                <w:bCs w:val="0"/>
              </w:rPr>
            </w:pPr>
            <w:r w:rsidRPr="0F440772" w:rsidR="4932B976">
              <w:rPr>
                <w:rFonts w:ascii="Arial" w:hAnsi="Arial" w:eastAsia="Arial" w:cs="Arial"/>
                <w:b w:val="0"/>
                <w:bCs w:val="0"/>
              </w:rPr>
              <w:t>7</w:t>
            </w:r>
          </w:p>
        </w:tc>
        <w:tc>
          <w:tcPr>
            <w:tcW w:w="5245" w:type="dxa"/>
            <w:tcMar/>
          </w:tcPr>
          <w:p w:rsidR="4932B976" w:rsidP="0F440772" w:rsidRDefault="4932B976" w14:paraId="6BB3F45E" w14:textId="67E5F830">
            <w:pPr>
              <w:pStyle w:val="Normal"/>
              <w:rPr>
                <w:rFonts w:ascii="Arial" w:hAnsi="Arial" w:eastAsia="Arial" w:cs="Arial"/>
                <w:b w:val="0"/>
                <w:bCs w:val="0"/>
              </w:rPr>
            </w:pPr>
            <w:r w:rsidRPr="0F440772" w:rsidR="4932B976">
              <w:rPr>
                <w:rFonts w:ascii="Arial" w:hAnsi="Arial" w:eastAsia="Arial" w:cs="Arial"/>
                <w:b w:val="0"/>
                <w:bCs w:val="0"/>
              </w:rPr>
              <w:t>Valeria Ramírez Vargas</w:t>
            </w:r>
          </w:p>
        </w:tc>
        <w:tc>
          <w:tcPr>
            <w:tcW w:w="3005" w:type="dxa"/>
            <w:tcMar/>
          </w:tcPr>
          <w:p w:rsidR="1B64B3B0" w:rsidP="0F440772" w:rsidRDefault="1B64B3B0" w14:paraId="24B3F8E1" w14:textId="2338D485">
            <w:pPr>
              <w:pStyle w:val="Normal"/>
              <w:rPr>
                <w:rFonts w:ascii="Arial" w:hAnsi="Arial" w:eastAsia="Arial" w:cs="Arial"/>
                <w:b w:val="0"/>
                <w:bCs w:val="0"/>
              </w:rPr>
            </w:pPr>
            <w:r w:rsidRPr="0F440772" w:rsidR="1B64B3B0">
              <w:rPr>
                <w:rFonts w:ascii="Arial" w:hAnsi="Arial" w:eastAsia="Arial" w:cs="Arial"/>
                <w:b w:val="0"/>
                <w:bCs w:val="0"/>
              </w:rPr>
              <w:t>PDTE</w:t>
            </w:r>
          </w:p>
        </w:tc>
      </w:tr>
      <w:tr w:rsidR="0F440772" w:rsidTr="0F440772" w14:paraId="6B795D5E">
        <w:trPr>
          <w:trHeight w:val="300"/>
        </w:trPr>
        <w:tc>
          <w:tcPr>
            <w:tcW w:w="765" w:type="dxa"/>
            <w:tcMar/>
          </w:tcPr>
          <w:p w:rsidR="4932B976" w:rsidP="0F440772" w:rsidRDefault="4932B976" w14:paraId="3A9B1073" w14:textId="16FFFEF1">
            <w:pPr>
              <w:pStyle w:val="Normal"/>
              <w:rPr>
                <w:rFonts w:ascii="Arial" w:hAnsi="Arial" w:eastAsia="Arial" w:cs="Arial"/>
                <w:b w:val="0"/>
                <w:bCs w:val="0"/>
              </w:rPr>
            </w:pPr>
            <w:r w:rsidRPr="0F440772" w:rsidR="4932B976">
              <w:rPr>
                <w:rFonts w:ascii="Arial" w:hAnsi="Arial" w:eastAsia="Arial" w:cs="Arial"/>
                <w:b w:val="0"/>
                <w:bCs w:val="0"/>
              </w:rPr>
              <w:t>8</w:t>
            </w:r>
          </w:p>
        </w:tc>
        <w:tc>
          <w:tcPr>
            <w:tcW w:w="5245" w:type="dxa"/>
            <w:tcMar/>
          </w:tcPr>
          <w:p w:rsidR="4932B976" w:rsidP="0F440772" w:rsidRDefault="4932B976" w14:paraId="0A1F6599" w14:textId="21DF95F6">
            <w:pPr>
              <w:pStyle w:val="Normal"/>
              <w:rPr>
                <w:rFonts w:ascii="Arial" w:hAnsi="Arial" w:eastAsia="Arial" w:cs="Arial"/>
                <w:b w:val="0"/>
                <w:bCs w:val="0"/>
              </w:rPr>
            </w:pPr>
            <w:r w:rsidRPr="0F440772" w:rsidR="4932B976">
              <w:rPr>
                <w:rFonts w:ascii="Arial" w:hAnsi="Arial" w:eastAsia="Arial" w:cs="Arial"/>
                <w:b w:val="0"/>
                <w:bCs w:val="0"/>
              </w:rPr>
              <w:t xml:space="preserve">Laura Katherine Chica </w:t>
            </w:r>
            <w:r w:rsidRPr="0F440772" w:rsidR="4932B976">
              <w:rPr>
                <w:rFonts w:ascii="Arial" w:hAnsi="Arial" w:eastAsia="Arial" w:cs="Arial"/>
                <w:b w:val="0"/>
                <w:bCs w:val="0"/>
              </w:rPr>
              <w:t>Tapaso</w:t>
            </w:r>
            <w:r w:rsidRPr="0F440772" w:rsidR="79FC0D73">
              <w:rPr>
                <w:rFonts w:ascii="Arial" w:hAnsi="Arial" w:eastAsia="Arial" w:cs="Arial"/>
                <w:b w:val="0"/>
                <w:bCs w:val="0"/>
              </w:rPr>
              <w:t xml:space="preserve"> (HDI Seguros)</w:t>
            </w:r>
          </w:p>
        </w:tc>
        <w:tc>
          <w:tcPr>
            <w:tcW w:w="3005" w:type="dxa"/>
            <w:tcMar/>
          </w:tcPr>
          <w:p w:rsidR="1B5E7DA5" w:rsidP="0F440772" w:rsidRDefault="1B5E7DA5" w14:paraId="281E7EDB" w14:textId="037C23C2">
            <w:pPr>
              <w:pStyle w:val="Normal"/>
              <w:rPr>
                <w:rFonts w:ascii="Arial" w:hAnsi="Arial" w:eastAsia="Arial" w:cs="Arial"/>
                <w:b w:val="0"/>
                <w:bCs w:val="0"/>
              </w:rPr>
            </w:pPr>
            <w:r w:rsidRPr="0F440772" w:rsidR="1B5E7DA5">
              <w:rPr>
                <w:rFonts w:ascii="Arial" w:hAnsi="Arial" w:eastAsia="Arial" w:cs="Arial"/>
                <w:b w:val="0"/>
                <w:bCs w:val="0"/>
              </w:rPr>
              <w:t>PDTE</w:t>
            </w:r>
          </w:p>
        </w:tc>
      </w:tr>
    </w:tbl>
    <w:p w:rsidR="0F440772" w:rsidP="0F440772" w:rsidRDefault="0F440772" w14:paraId="6C225565" w14:textId="6A0A3E58">
      <w:pPr>
        <w:rPr>
          <w:rFonts w:ascii="Arial" w:hAnsi="Arial" w:eastAsia="Arial" w:cs="Arial"/>
        </w:rPr>
      </w:pPr>
    </w:p>
    <w:p w:rsidR="56407DC9" w:rsidP="0F440772" w:rsidRDefault="56407DC9" w14:paraId="292985A7" w14:textId="4C527BFA">
      <w:pPr>
        <w:jc w:val="both"/>
        <w:rPr>
          <w:rFonts w:ascii="Arial" w:hAnsi="Arial" w:eastAsia="Arial" w:cs="Arial"/>
          <w:b w:val="1"/>
          <w:bCs w:val="1"/>
        </w:rPr>
      </w:pPr>
      <w:r w:rsidRPr="0F440772" w:rsidR="56407DC9">
        <w:rPr>
          <w:rFonts w:ascii="Arial" w:hAnsi="Arial" w:eastAsia="Arial" w:cs="Arial"/>
          <w:b w:val="1"/>
          <w:bCs w:val="1"/>
        </w:rPr>
        <w:t xml:space="preserve">ALEGATOS DE CONCLUSIÓN DE JULIÁN ANDRÉS ACUÑA RAMÍREZ </w:t>
      </w:r>
    </w:p>
    <w:p w:rsidR="56407DC9" w:rsidP="0F440772" w:rsidRDefault="56407DC9" w14:paraId="5D3DD968" w14:textId="23AD5CA5">
      <w:pPr>
        <w:pStyle w:val="Normal"/>
        <w:jc w:val="both"/>
        <w:rPr>
          <w:rFonts w:ascii="Arial" w:hAnsi="Arial" w:eastAsia="Arial" w:cs="Arial"/>
        </w:rPr>
      </w:pPr>
      <w:r w:rsidRPr="0F440772" w:rsidR="56407DC9">
        <w:rPr>
          <w:rFonts w:ascii="Arial" w:hAnsi="Arial" w:eastAsia="Arial" w:cs="Arial"/>
        </w:rPr>
        <w:t xml:space="preserve">Manifiesta que dentro del proceso existe una falta de determinación del </w:t>
      </w:r>
      <w:r w:rsidRPr="0F440772" w:rsidR="48290E42">
        <w:rPr>
          <w:rFonts w:ascii="Arial" w:hAnsi="Arial" w:eastAsia="Arial" w:cs="Arial"/>
        </w:rPr>
        <w:t xml:space="preserve">hecho generador del </w:t>
      </w:r>
      <w:r w:rsidRPr="0F440772" w:rsidR="56407DC9">
        <w:rPr>
          <w:rFonts w:ascii="Arial" w:hAnsi="Arial" w:eastAsia="Arial" w:cs="Arial"/>
        </w:rPr>
        <w:t xml:space="preserve">daño frente a sus representados (Luz Piedad </w:t>
      </w:r>
      <w:r w:rsidRPr="0F440772" w:rsidR="5EEDC750">
        <w:rPr>
          <w:rFonts w:ascii="Arial" w:hAnsi="Arial" w:eastAsia="Arial" w:cs="Arial"/>
        </w:rPr>
        <w:t xml:space="preserve">Valencia Franco y Sebastián </w:t>
      </w:r>
      <w:r w:rsidRPr="0F440772" w:rsidR="5EEDC750">
        <w:rPr>
          <w:rFonts w:ascii="Arial" w:hAnsi="Arial" w:eastAsia="Arial" w:cs="Arial"/>
        </w:rPr>
        <w:t>Congote</w:t>
      </w:r>
      <w:r w:rsidRPr="0F440772" w:rsidR="5EEDC750">
        <w:rPr>
          <w:rFonts w:ascii="Arial" w:hAnsi="Arial" w:eastAsia="Arial" w:cs="Arial"/>
        </w:rPr>
        <w:t xml:space="preserve"> Posada)</w:t>
      </w:r>
      <w:r w:rsidRPr="0F440772" w:rsidR="63536C2A">
        <w:rPr>
          <w:rFonts w:ascii="Arial" w:hAnsi="Arial" w:eastAsia="Arial" w:cs="Arial"/>
        </w:rPr>
        <w:t xml:space="preserve">. </w:t>
      </w:r>
    </w:p>
    <w:p w:rsidR="5EEDC750" w:rsidP="0F440772" w:rsidRDefault="5EEDC750" w14:paraId="2CC51DE3" w14:textId="4A24C5C8">
      <w:pPr>
        <w:pStyle w:val="Normal"/>
        <w:jc w:val="both"/>
        <w:rPr>
          <w:rFonts w:ascii="Arial" w:hAnsi="Arial" w:eastAsia="Arial" w:cs="Arial"/>
        </w:rPr>
      </w:pPr>
      <w:r w:rsidRPr="0F440772" w:rsidR="5EEDC750">
        <w:rPr>
          <w:rFonts w:ascii="Arial" w:hAnsi="Arial" w:eastAsia="Arial" w:cs="Arial"/>
        </w:rPr>
        <w:t xml:space="preserve">Manifiesta </w:t>
      </w:r>
      <w:r w:rsidRPr="0F440772" w:rsidR="427685A6">
        <w:rPr>
          <w:rFonts w:ascii="Arial" w:hAnsi="Arial" w:eastAsia="Arial" w:cs="Arial"/>
        </w:rPr>
        <w:t xml:space="preserve">que el hecho generador del daño es diferente al daño patrimonial, el primero es la causa, el origen del daño, es el evento sin el cual no se hubiere producido el daño. </w:t>
      </w:r>
    </w:p>
    <w:p w:rsidR="060859CE" w:rsidP="0F440772" w:rsidRDefault="060859CE" w14:paraId="58FFB92D" w14:textId="3920E820">
      <w:pPr>
        <w:pStyle w:val="Normal"/>
        <w:jc w:val="both"/>
        <w:rPr>
          <w:rFonts w:ascii="Arial" w:hAnsi="Arial" w:eastAsia="Arial" w:cs="Arial"/>
        </w:rPr>
      </w:pPr>
      <w:r w:rsidRPr="0F440772" w:rsidR="060859CE">
        <w:rPr>
          <w:rFonts w:ascii="Arial" w:hAnsi="Arial" w:eastAsia="Arial" w:cs="Arial"/>
        </w:rPr>
        <w:t xml:space="preserve">Gran parte de sus alegatos estuvieron dedicados a realizar un recuento de los argumentos que la Contraloría General de la República utilizó para proferir el Auto de apertura e imputación de responsabilidad fiscal. </w:t>
      </w:r>
    </w:p>
    <w:p w:rsidR="7EAD4A58" w:rsidP="0F440772" w:rsidRDefault="7EAD4A58" w14:paraId="15C66609" w14:textId="056F76E2">
      <w:pPr>
        <w:pStyle w:val="Normal"/>
        <w:jc w:val="both"/>
        <w:rPr>
          <w:rFonts w:ascii="Arial" w:hAnsi="Arial" w:eastAsia="Arial" w:cs="Arial"/>
        </w:rPr>
      </w:pPr>
      <w:r w:rsidRPr="0F440772" w:rsidR="7EAD4A58">
        <w:rPr>
          <w:rFonts w:ascii="Arial" w:hAnsi="Arial" w:eastAsia="Arial" w:cs="Arial"/>
        </w:rPr>
        <w:t xml:space="preserve">Manifiesta que no existe un nexo de causalidad en virtud de la indeterminación del hecho generador del daño. </w:t>
      </w:r>
    </w:p>
    <w:p w:rsidR="433131CE" w:rsidP="0F440772" w:rsidRDefault="433131CE" w14:paraId="27A63BA4" w14:textId="66753BDA">
      <w:pPr>
        <w:pStyle w:val="Normal"/>
        <w:jc w:val="both"/>
        <w:rPr>
          <w:rFonts w:ascii="Arial" w:hAnsi="Arial" w:eastAsia="Arial" w:cs="Arial"/>
        </w:rPr>
      </w:pPr>
      <w:r w:rsidRPr="0F440772" w:rsidR="433131CE">
        <w:rPr>
          <w:rFonts w:ascii="Arial" w:hAnsi="Arial" w:eastAsia="Arial" w:cs="Arial"/>
        </w:rPr>
        <w:t>Manifiesta que el municipio de Armenia no tenía que pedir autorización el Ministerio de Cultura, da</w:t>
      </w:r>
      <w:r w:rsidRPr="0F440772" w:rsidR="17613ADC">
        <w:rPr>
          <w:rFonts w:ascii="Arial" w:hAnsi="Arial" w:eastAsia="Arial" w:cs="Arial"/>
        </w:rPr>
        <w:t>do que la estación de ferrocarril es un bien fiscal</w:t>
      </w:r>
      <w:r w:rsidRPr="0F440772" w:rsidR="4C7AF7AF">
        <w:rPr>
          <w:rFonts w:ascii="Arial" w:hAnsi="Arial" w:eastAsia="Arial" w:cs="Arial"/>
        </w:rPr>
        <w:t xml:space="preserve"> y no un bien de uso público. Cita una jurisprudencia del Consejo de Estado del 2017 en la que se indica que </w:t>
      </w:r>
      <w:r w:rsidRPr="0F440772" w:rsidR="178F01A4">
        <w:rPr>
          <w:rFonts w:ascii="Arial" w:hAnsi="Arial" w:eastAsia="Arial" w:cs="Arial"/>
        </w:rPr>
        <w:t xml:space="preserve">los corredores férreos son de uso público cuando prestan un servicio público </w:t>
      </w:r>
      <w:r w:rsidRPr="0F440772" w:rsidR="3FBE703E">
        <w:rPr>
          <w:rFonts w:ascii="Arial" w:hAnsi="Arial" w:eastAsia="Arial" w:cs="Arial"/>
        </w:rPr>
        <w:t xml:space="preserve">a la comunidad, </w:t>
      </w:r>
      <w:r w:rsidRPr="0F440772" w:rsidR="1575B06A">
        <w:rPr>
          <w:rFonts w:ascii="Arial" w:hAnsi="Arial" w:eastAsia="Arial" w:cs="Arial"/>
        </w:rPr>
        <w:t>por lo que, cuando no prestan un servicio público son bienes fiscales</w:t>
      </w:r>
      <w:r w:rsidRPr="0F440772" w:rsidR="04B0B6E8">
        <w:rPr>
          <w:rFonts w:ascii="Arial" w:hAnsi="Arial" w:eastAsia="Arial" w:cs="Arial"/>
        </w:rPr>
        <w:t>.</w:t>
      </w:r>
    </w:p>
    <w:p w:rsidR="04B0B6E8" w:rsidP="0F440772" w:rsidRDefault="04B0B6E8" w14:paraId="1AD881E5" w14:textId="534C383F">
      <w:pPr>
        <w:pStyle w:val="Normal"/>
        <w:jc w:val="both"/>
        <w:rPr>
          <w:rFonts w:ascii="Arial" w:hAnsi="Arial" w:eastAsia="Arial" w:cs="Arial"/>
        </w:rPr>
      </w:pPr>
      <w:r w:rsidRPr="0F440772" w:rsidR="04B0B6E8">
        <w:rPr>
          <w:rFonts w:ascii="Arial" w:hAnsi="Arial" w:eastAsia="Arial" w:cs="Arial"/>
        </w:rPr>
        <w:t>Manifiesta que en el presente caso como la estación de ferrocarril era un bien fiscal, fue posible realizar su venta, como efectivamente se hizo al municipio de Armenia, por tanto, no era necesario solicitar ninguna autorización o permiso</w:t>
      </w:r>
      <w:r w:rsidRPr="0F440772" w:rsidR="27FD161E">
        <w:rPr>
          <w:rFonts w:ascii="Arial" w:hAnsi="Arial" w:eastAsia="Arial" w:cs="Arial"/>
        </w:rPr>
        <w:t xml:space="preserve"> al Ministerio de Cultura.</w:t>
      </w:r>
      <w:r w:rsidRPr="0F440772" w:rsidR="27FD161E">
        <w:rPr>
          <w:rFonts w:ascii="Arial" w:hAnsi="Arial" w:eastAsia="Arial" w:cs="Arial"/>
        </w:rPr>
        <w:t xml:space="preserve"> </w:t>
      </w:r>
    </w:p>
    <w:p w:rsidR="1CE4A1B8" w:rsidP="0F440772" w:rsidRDefault="1CE4A1B8" w14:paraId="7234DA1E" w14:textId="29A6AEB4">
      <w:pPr>
        <w:pStyle w:val="Normal"/>
        <w:jc w:val="both"/>
        <w:rPr>
          <w:rFonts w:ascii="Arial" w:hAnsi="Arial" w:eastAsia="Arial" w:cs="Arial"/>
        </w:rPr>
      </w:pPr>
      <w:r w:rsidRPr="0F440772" w:rsidR="1CE4A1B8">
        <w:rPr>
          <w:rFonts w:ascii="Arial" w:hAnsi="Arial" w:eastAsia="Arial" w:cs="Arial"/>
        </w:rPr>
        <w:t>Manifiesta que la estación de ferrocarril no tenía ninguna limitación de dominio</w:t>
      </w:r>
      <w:r w:rsidRPr="0F440772" w:rsidR="7F601CD5">
        <w:rPr>
          <w:rFonts w:ascii="Arial" w:hAnsi="Arial" w:eastAsia="Arial" w:cs="Arial"/>
        </w:rPr>
        <w:t xml:space="preserve">. </w:t>
      </w:r>
      <w:r w:rsidRPr="0F440772" w:rsidR="634F67D0">
        <w:rPr>
          <w:rFonts w:ascii="Arial" w:hAnsi="Arial" w:eastAsia="Arial" w:cs="Arial"/>
        </w:rPr>
        <w:t xml:space="preserve">Adicional a ello, indica que el Contraloría no determinó cuál era el inmueble objeto del contrato interadministrativo. </w:t>
      </w:r>
    </w:p>
    <w:p w:rsidR="6294163B" w:rsidP="0F440772" w:rsidRDefault="6294163B" w14:paraId="6F8045C8" w14:textId="075967ED">
      <w:pPr>
        <w:pStyle w:val="Normal"/>
        <w:jc w:val="both"/>
        <w:rPr>
          <w:rFonts w:ascii="Arial" w:hAnsi="Arial" w:eastAsia="Arial" w:cs="Arial"/>
        </w:rPr>
      </w:pPr>
      <w:r w:rsidRPr="0F440772" w:rsidR="6294163B">
        <w:rPr>
          <w:rFonts w:ascii="Arial" w:hAnsi="Arial" w:eastAsia="Arial" w:cs="Arial"/>
        </w:rPr>
        <w:t xml:space="preserve">Manifiesta que la estación de ferrocarril fue comprada y </w:t>
      </w:r>
      <w:r w:rsidRPr="0F440772" w:rsidR="40700B8A">
        <w:rPr>
          <w:rFonts w:ascii="Arial" w:hAnsi="Arial" w:eastAsia="Arial" w:cs="Arial"/>
        </w:rPr>
        <w:t xml:space="preserve">es de </w:t>
      </w:r>
      <w:r w:rsidRPr="0F440772" w:rsidR="6294163B">
        <w:rPr>
          <w:rFonts w:ascii="Arial" w:hAnsi="Arial" w:eastAsia="Arial" w:cs="Arial"/>
        </w:rPr>
        <w:t>propiedad del municipio de Armenia</w:t>
      </w:r>
      <w:r w:rsidRPr="0F440772" w:rsidR="377E9022">
        <w:rPr>
          <w:rFonts w:ascii="Arial" w:hAnsi="Arial" w:eastAsia="Arial" w:cs="Arial"/>
        </w:rPr>
        <w:t xml:space="preserve">, para ello hace una línea temporal de la tradición del inmueble. </w:t>
      </w:r>
    </w:p>
    <w:p w:rsidR="3AD60C2E" w:rsidP="0F440772" w:rsidRDefault="3AD60C2E" w14:paraId="38027A9B" w14:textId="09FE328F">
      <w:pPr>
        <w:pStyle w:val="Normal"/>
        <w:jc w:val="both"/>
        <w:rPr>
          <w:rFonts w:ascii="Arial" w:hAnsi="Arial" w:eastAsia="Arial" w:cs="Arial"/>
        </w:rPr>
      </w:pPr>
      <w:r w:rsidRPr="0F440772" w:rsidR="3AD60C2E">
        <w:rPr>
          <w:rFonts w:ascii="Arial" w:hAnsi="Arial" w:eastAsia="Arial" w:cs="Arial"/>
        </w:rPr>
        <w:t>Gran parte de los alegatos de conclusión del apoderado estuvieron dirigidos en argumentar que la estación de ferrocarril era de propiedad del municipio de Armenia y que, por ello, el municipio no debía pedir ningún permiso</w:t>
      </w:r>
      <w:r w:rsidRPr="0F440772" w:rsidR="07D5530E">
        <w:rPr>
          <w:rFonts w:ascii="Arial" w:hAnsi="Arial" w:eastAsia="Arial" w:cs="Arial"/>
        </w:rPr>
        <w:t xml:space="preserve">. </w:t>
      </w:r>
      <w:r w:rsidRPr="0F440772" w:rsidR="07D5530E">
        <w:rPr>
          <w:rFonts w:ascii="Arial" w:hAnsi="Arial" w:eastAsia="Arial" w:cs="Arial"/>
        </w:rPr>
        <w:t>También expresa que este conflicto actualmente está siendo el objeto de un proceso judicial.</w:t>
      </w:r>
      <w:r w:rsidRPr="0F440772" w:rsidR="07D5530E">
        <w:rPr>
          <w:rFonts w:ascii="Arial" w:hAnsi="Arial" w:eastAsia="Arial" w:cs="Arial"/>
        </w:rPr>
        <w:t xml:space="preserve"> </w:t>
      </w:r>
    </w:p>
    <w:p w:rsidR="18804502" w:rsidP="0F440772" w:rsidRDefault="18804502" w14:paraId="46B51486" w14:textId="384B4CED">
      <w:pPr>
        <w:pStyle w:val="Normal"/>
        <w:jc w:val="both"/>
        <w:rPr>
          <w:rFonts w:ascii="Arial" w:hAnsi="Arial" w:eastAsia="Arial" w:cs="Arial"/>
        </w:rPr>
      </w:pPr>
      <w:r w:rsidRPr="0F440772" w:rsidR="18804502">
        <w:rPr>
          <w:rFonts w:ascii="Arial" w:hAnsi="Arial" w:eastAsia="Arial" w:cs="Arial"/>
        </w:rPr>
        <w:t xml:space="preserve">Concluye que solicita el archivo de la investigación por cuanto no hay una determinación del hecho generador del daño y que no hubo un estudio de títulos, lo cual, permitía aceptar que el </w:t>
      </w:r>
      <w:r w:rsidRPr="0F440772" w:rsidR="7DBC720F">
        <w:rPr>
          <w:rFonts w:ascii="Arial" w:hAnsi="Arial" w:eastAsia="Arial" w:cs="Arial"/>
        </w:rPr>
        <w:t>legítimo</w:t>
      </w:r>
      <w:r w:rsidRPr="0F440772" w:rsidR="18804502">
        <w:rPr>
          <w:rFonts w:ascii="Arial" w:hAnsi="Arial" w:eastAsia="Arial" w:cs="Arial"/>
        </w:rPr>
        <w:t xml:space="preserve"> dueño de la estación</w:t>
      </w:r>
      <w:r w:rsidRPr="0F440772" w:rsidR="18804502">
        <w:rPr>
          <w:rFonts w:ascii="Arial" w:hAnsi="Arial" w:eastAsia="Arial" w:cs="Arial"/>
        </w:rPr>
        <w:t xml:space="preserve"> </w:t>
      </w:r>
      <w:r w:rsidRPr="0F440772" w:rsidR="18804502">
        <w:rPr>
          <w:rFonts w:ascii="Arial" w:hAnsi="Arial" w:eastAsia="Arial" w:cs="Arial"/>
        </w:rPr>
        <w:t>de</w:t>
      </w:r>
      <w:r w:rsidRPr="0F440772" w:rsidR="3BB3167E">
        <w:rPr>
          <w:rFonts w:ascii="Arial" w:hAnsi="Arial" w:eastAsia="Arial" w:cs="Arial"/>
        </w:rPr>
        <w:t xml:space="preserve"> ferrocarril era el municipio de Armenia. </w:t>
      </w:r>
    </w:p>
    <w:p w:rsidR="0F440772" w:rsidP="0F440772" w:rsidRDefault="0F440772" w14:paraId="73482E33" w14:textId="5EB4C531">
      <w:pPr>
        <w:pStyle w:val="Normal"/>
        <w:jc w:val="both"/>
        <w:rPr>
          <w:rFonts w:ascii="Arial" w:hAnsi="Arial" w:eastAsia="Arial" w:cs="Arial"/>
        </w:rPr>
      </w:pPr>
    </w:p>
    <w:p w:rsidR="39C76C90" w:rsidP="0F440772" w:rsidRDefault="39C76C90" w14:paraId="6B0A3CBE" w14:textId="4E06B082">
      <w:pPr>
        <w:pStyle w:val="Normal"/>
        <w:jc w:val="both"/>
        <w:rPr>
          <w:rFonts w:ascii="Arial" w:hAnsi="Arial" w:eastAsia="Arial" w:cs="Arial"/>
        </w:rPr>
      </w:pPr>
      <w:r w:rsidRPr="0F440772" w:rsidR="39C76C90">
        <w:rPr>
          <w:rFonts w:ascii="Arial" w:hAnsi="Arial" w:eastAsia="Arial" w:cs="Arial"/>
          <w:b w:val="1"/>
          <w:bCs w:val="1"/>
        </w:rPr>
        <w:t xml:space="preserve">Próxima audiencia de decisión: </w:t>
      </w:r>
      <w:r w:rsidRPr="0F440772" w:rsidR="730641BD">
        <w:rPr>
          <w:rFonts w:ascii="Arial" w:hAnsi="Arial" w:eastAsia="Arial" w:cs="Arial"/>
          <w:b w:val="0"/>
          <w:bCs w:val="0"/>
        </w:rPr>
        <w:t>miércoles</w:t>
      </w:r>
      <w:r w:rsidRPr="0F440772" w:rsidR="39C76C90">
        <w:rPr>
          <w:rFonts w:ascii="Arial" w:hAnsi="Arial" w:eastAsia="Arial" w:cs="Arial"/>
        </w:rPr>
        <w:t xml:space="preserve"> 1</w:t>
      </w:r>
      <w:r w:rsidRPr="0F440772" w:rsidR="6D7E7F6D">
        <w:rPr>
          <w:rFonts w:ascii="Arial" w:hAnsi="Arial" w:eastAsia="Arial" w:cs="Arial"/>
        </w:rPr>
        <w:t>7</w:t>
      </w:r>
      <w:r w:rsidRPr="0F440772" w:rsidR="39C76C90">
        <w:rPr>
          <w:rFonts w:ascii="Arial" w:hAnsi="Arial" w:eastAsia="Arial" w:cs="Arial"/>
        </w:rPr>
        <w:t xml:space="preserve"> de septiembre de 2025 a partir de las 9:00 a.m. </w:t>
      </w:r>
    </w:p>
    <w:p w:rsidR="0F440772" w:rsidP="0F440772" w:rsidRDefault="0F440772" w14:paraId="56DE2D2B" w14:textId="46C77CE2">
      <w:pPr>
        <w:pStyle w:val="Normal"/>
        <w:jc w:val="both"/>
        <w:rPr>
          <w:rFonts w:ascii="Arial" w:hAnsi="Arial" w:eastAsia="Arial" w:cs="Arial"/>
        </w:rPr>
      </w:pPr>
    </w:p>
    <w:p w:rsidR="0F440772" w:rsidP="0F440772" w:rsidRDefault="0F440772" w14:paraId="2E8D4976" w14:textId="41699CBE">
      <w:pPr>
        <w:pStyle w:val="Normal"/>
        <w:jc w:val="both"/>
        <w:rPr>
          <w:rFonts w:ascii="Arial" w:hAnsi="Arial" w:eastAsia="Arial" w:cs="Arial"/>
        </w:rPr>
      </w:pPr>
    </w:p>
    <w:p w:rsidR="0F440772" w:rsidP="0F440772" w:rsidRDefault="0F440772" w14:paraId="6197A3C2" w14:textId="457FABAF">
      <w:pPr>
        <w:pStyle w:val="Normal"/>
        <w:jc w:val="both"/>
        <w:rPr>
          <w:rFonts w:ascii="Arial" w:hAnsi="Arial" w:eastAsia="Arial" w:cs="Arial"/>
        </w:rPr>
      </w:pPr>
    </w:p>
    <w:p w:rsidR="0F440772" w:rsidP="0F440772" w:rsidRDefault="0F440772" w14:paraId="38D4ACA3" w14:textId="08651E03">
      <w:pPr>
        <w:pStyle w:val="Normal"/>
        <w:jc w:val="both"/>
        <w:rPr>
          <w:rFonts w:ascii="Arial" w:hAnsi="Arial" w:eastAsia="Arial" w:cs="Arial"/>
        </w:rPr>
      </w:pPr>
    </w:p>
    <w:p w:rsidR="0F440772" w:rsidP="0F440772" w:rsidRDefault="0F440772" w14:paraId="6B90AEB8" w14:textId="4288029C">
      <w:pPr>
        <w:pStyle w:val="Normal"/>
        <w:rPr>
          <w:rFonts w:ascii="Arial" w:hAnsi="Arial" w:eastAsia="Arial" w:cs="Arial"/>
        </w:rPr>
      </w:pPr>
    </w:p>
    <w:p w:rsidR="0F440772" w:rsidP="0F440772" w:rsidRDefault="0F440772" w14:paraId="1C8E7BBD" w14:textId="76DF0E04">
      <w:pPr>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cq47SR12PHcrSr" int2:id="yvGhhKGl">
      <int2:state int2:type="spell"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48C9CE"/>
    <w:rsid w:val="006BEFD0"/>
    <w:rsid w:val="036C27EB"/>
    <w:rsid w:val="03EC5605"/>
    <w:rsid w:val="04B0B6E8"/>
    <w:rsid w:val="060859CE"/>
    <w:rsid w:val="060D701B"/>
    <w:rsid w:val="0748C9CE"/>
    <w:rsid w:val="07D5530E"/>
    <w:rsid w:val="090BE6F4"/>
    <w:rsid w:val="0B49B52B"/>
    <w:rsid w:val="0B513988"/>
    <w:rsid w:val="0C38D8BB"/>
    <w:rsid w:val="0D789000"/>
    <w:rsid w:val="0E7A1936"/>
    <w:rsid w:val="0E87D0BD"/>
    <w:rsid w:val="0EE5E45C"/>
    <w:rsid w:val="0F440772"/>
    <w:rsid w:val="105917D3"/>
    <w:rsid w:val="121EAE4E"/>
    <w:rsid w:val="1312542A"/>
    <w:rsid w:val="1575B06A"/>
    <w:rsid w:val="16769A2B"/>
    <w:rsid w:val="16AEA751"/>
    <w:rsid w:val="17613ADC"/>
    <w:rsid w:val="178F01A4"/>
    <w:rsid w:val="18804502"/>
    <w:rsid w:val="1AD105B3"/>
    <w:rsid w:val="1B1E4EF6"/>
    <w:rsid w:val="1B5E7DA5"/>
    <w:rsid w:val="1B64B3B0"/>
    <w:rsid w:val="1BDF1A71"/>
    <w:rsid w:val="1BE92129"/>
    <w:rsid w:val="1C7567D1"/>
    <w:rsid w:val="1CE4A1B8"/>
    <w:rsid w:val="1D3F0C75"/>
    <w:rsid w:val="1EE410A9"/>
    <w:rsid w:val="1F8FE967"/>
    <w:rsid w:val="20BE74DC"/>
    <w:rsid w:val="20F3C7BF"/>
    <w:rsid w:val="21501F97"/>
    <w:rsid w:val="2226AD47"/>
    <w:rsid w:val="22BA3846"/>
    <w:rsid w:val="233D35B3"/>
    <w:rsid w:val="24DDF339"/>
    <w:rsid w:val="2567EFAE"/>
    <w:rsid w:val="25E67DBE"/>
    <w:rsid w:val="27FD161E"/>
    <w:rsid w:val="28607A0D"/>
    <w:rsid w:val="28B57034"/>
    <w:rsid w:val="290728AE"/>
    <w:rsid w:val="2A8304C3"/>
    <w:rsid w:val="2C2C8E6A"/>
    <w:rsid w:val="2C31BEDD"/>
    <w:rsid w:val="2F1BD4D8"/>
    <w:rsid w:val="305B6628"/>
    <w:rsid w:val="34620C1B"/>
    <w:rsid w:val="35937476"/>
    <w:rsid w:val="370415AC"/>
    <w:rsid w:val="37196008"/>
    <w:rsid w:val="377E9022"/>
    <w:rsid w:val="386ED8CF"/>
    <w:rsid w:val="39935EA6"/>
    <w:rsid w:val="39BDC4B0"/>
    <w:rsid w:val="39C76C90"/>
    <w:rsid w:val="3AD60C2E"/>
    <w:rsid w:val="3B1BAFF3"/>
    <w:rsid w:val="3BB3167E"/>
    <w:rsid w:val="3BF2A3FD"/>
    <w:rsid w:val="3CD92FEF"/>
    <w:rsid w:val="3D03E0C6"/>
    <w:rsid w:val="3EA197D2"/>
    <w:rsid w:val="3F3E5C0B"/>
    <w:rsid w:val="3F9A734D"/>
    <w:rsid w:val="3FBE703E"/>
    <w:rsid w:val="4069171E"/>
    <w:rsid w:val="40700B8A"/>
    <w:rsid w:val="4135B91A"/>
    <w:rsid w:val="427685A6"/>
    <w:rsid w:val="433131CE"/>
    <w:rsid w:val="44C69681"/>
    <w:rsid w:val="460B00B8"/>
    <w:rsid w:val="48137DB5"/>
    <w:rsid w:val="48290E42"/>
    <w:rsid w:val="4932B976"/>
    <w:rsid w:val="4A9E7A05"/>
    <w:rsid w:val="4C7AF7AF"/>
    <w:rsid w:val="4D1C43C6"/>
    <w:rsid w:val="515EC2E0"/>
    <w:rsid w:val="51BBF319"/>
    <w:rsid w:val="520788D1"/>
    <w:rsid w:val="522F104B"/>
    <w:rsid w:val="53A8C012"/>
    <w:rsid w:val="545DE5A9"/>
    <w:rsid w:val="56407DC9"/>
    <w:rsid w:val="58A725AC"/>
    <w:rsid w:val="5B87EFB4"/>
    <w:rsid w:val="5D02A661"/>
    <w:rsid w:val="5EEDC750"/>
    <w:rsid w:val="600D5F04"/>
    <w:rsid w:val="6294163B"/>
    <w:rsid w:val="634F67D0"/>
    <w:rsid w:val="63536C2A"/>
    <w:rsid w:val="636FFF03"/>
    <w:rsid w:val="669AF86F"/>
    <w:rsid w:val="6AE6A0E5"/>
    <w:rsid w:val="6BC08FAB"/>
    <w:rsid w:val="6C66D9C2"/>
    <w:rsid w:val="6D7E7F6D"/>
    <w:rsid w:val="6EA3306F"/>
    <w:rsid w:val="6EAA69C5"/>
    <w:rsid w:val="730641BD"/>
    <w:rsid w:val="7350CCD6"/>
    <w:rsid w:val="75E9F82B"/>
    <w:rsid w:val="77B15EC6"/>
    <w:rsid w:val="7807B7CD"/>
    <w:rsid w:val="7890E744"/>
    <w:rsid w:val="79FC0D73"/>
    <w:rsid w:val="7BE87B0A"/>
    <w:rsid w:val="7C86563B"/>
    <w:rsid w:val="7CF81778"/>
    <w:rsid w:val="7DBC720F"/>
    <w:rsid w:val="7E4DD465"/>
    <w:rsid w:val="7EAD4A58"/>
    <w:rsid w:val="7F601C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9CE"/>
  <w15:chartTrackingRefBased/>
  <w15:docId w15:val="{C6E6AB04-EE88-4B29-BAE7-5EE7E47B70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08fcd8734946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2025-08-20T13:46:13.1294743Z</dcterms:created>
  <dcterms:modified xsi:type="dcterms:W3CDTF">2025-08-20T17:22:48.1419375Z</dcterms:modified>
  <dc:creator>Valeria Ramírez Vargas</dc:creator>
  <lastModifiedBy>Valeria Ramírez Vargas</lastModifiedBy>
</coreProperties>
</file>