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6DA4" w14:textId="7302A5D4" w:rsidR="00B9243D" w:rsidRDefault="001F28A4" w:rsidP="00711491">
      <w:pPr>
        <w:jc w:val="both"/>
      </w:pPr>
      <w:r w:rsidRPr="001F28A4">
        <w:rPr>
          <w:noProof/>
        </w:rPr>
        <w:drawing>
          <wp:inline distT="0" distB="0" distL="0" distR="0" wp14:anchorId="0B038950" wp14:editId="1FBD8C38">
            <wp:extent cx="5612130" cy="1726565"/>
            <wp:effectExtent l="0" t="0" r="7620" b="6985"/>
            <wp:docPr id="18716957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6BC8C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kern w:val="0"/>
          <w:sz w:val="16"/>
          <w:szCs w:val="16"/>
          <w:lang w:val="es-CO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16"/>
          <w:szCs w:val="16"/>
          <w:lang w:val="es-CO"/>
        </w:rPr>
        <w:t>Verbal de R.C.E. 2022-00190</w:t>
      </w:r>
    </w:p>
    <w:p w14:paraId="38CB9C73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2AABF2B2" w14:textId="0DE5827D" w:rsidR="00A32C3A" w:rsidRDefault="00A32C3A" w:rsidP="00A32C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Bogotá D. C., doce (12) de enero de dos mil veinticuatro (2024)</w:t>
      </w:r>
    </w:p>
    <w:p w14:paraId="38201441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</w:p>
    <w:p w14:paraId="7923BDA3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</w:p>
    <w:p w14:paraId="218A541C" w14:textId="41B5DE73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ANTECEDENTES:</w:t>
      </w:r>
    </w:p>
    <w:p w14:paraId="397E2EE7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52C9678C" w14:textId="716136BF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Ingresó el expediente al Despacho con Informe Secretarial de fecha 10 de octubre de 2023,</w:t>
      </w:r>
    </w:p>
    <w:p w14:paraId="1E6DCAE4" w14:textId="5F1C0ED4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con escrito mediante el cual la Sra. Apoderada Judicial del demandado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RAFAEL MARQUEZ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 xml:space="preserve">BELTRAN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formuló recurso de reposición y en subsidio de apelación en contra del auto de fecha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veinticinco (25) de septiembre de dos mil veintitrés (2023), mediante el cual se rechazó por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extemporánea la contestación de la demanda efectuada por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aquel.-</w:t>
      </w:r>
      <w:proofErr w:type="gramEnd"/>
    </w:p>
    <w:p w14:paraId="750D5A4D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lang w:val="es-CO"/>
        </w:rPr>
      </w:pPr>
      <w:r>
        <w:rPr>
          <w:rFonts w:ascii="Calibri" w:hAnsi="Calibri" w:cs="Calibri"/>
          <w:color w:val="000000"/>
          <w:kern w:val="0"/>
          <w:lang w:val="es-CO"/>
        </w:rPr>
        <w:t xml:space="preserve"> </w:t>
      </w:r>
    </w:p>
    <w:p w14:paraId="1C4E3522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TRAMITE DEL RECURSO DE REPOSICIÓN:</w:t>
      </w:r>
    </w:p>
    <w:p w14:paraId="6FB56168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7F59283F" w14:textId="5271B83A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Enseña el artículo 318 del Código General del Proceso: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Procedencia y Oportunidades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.</w:t>
      </w:r>
    </w:p>
    <w:p w14:paraId="1EC6C5F5" w14:textId="4FD1CE52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“Salvo norma en contrario, el recurso de reposición procede contra los autos que dicte el juez,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contra los del magistrado sustanciador no susceptibles de súplica y contra los de la Sala de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Casación Civil de la Corte Suprema de Justicia, para que se reformen o revoquen.</w:t>
      </w:r>
    </w:p>
    <w:p w14:paraId="7396ACA5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</w:pPr>
    </w:p>
    <w:p w14:paraId="3689ECC5" w14:textId="637B1D76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El recurso de reposición no procede contra los autos que resuelvan un recurso de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apelación, una súplica o una queja.</w:t>
      </w:r>
    </w:p>
    <w:p w14:paraId="218A9288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</w:pPr>
    </w:p>
    <w:p w14:paraId="715E5414" w14:textId="78BF7ADA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El recurso deberá interponerse con expresión de las razones que lo sustenten, en forma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verbal inmediatamente se pronuncie el auto. Cuando el auto se pronuncie fuera de audiencia el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recurso deberá interponerse por escrito dentro de los tres (3) días siguientes al de la notificación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del auto.</w:t>
      </w:r>
    </w:p>
    <w:p w14:paraId="44EF0B12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</w:pPr>
    </w:p>
    <w:p w14:paraId="5153B8AE" w14:textId="714D7CF1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El auto que decide la reposición no es susceptible de ningún recurso, salvo que contenga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puntos no decididos en el anterior, caso en el cual podrán interponerse los recursos pertinentes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respecto de los puntos nuevos.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=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.</w:t>
      </w:r>
    </w:p>
    <w:p w14:paraId="7452C733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</w:pPr>
    </w:p>
    <w:p w14:paraId="320E08B9" w14:textId="6C51519B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El recurrente interpuso el presente recurso en tiempo y con el lleno de las formalidades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exigidas por el artículo anterior.</w:t>
      </w:r>
    </w:p>
    <w:p w14:paraId="5BCD3B70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1C70F0BA" w14:textId="77F3E19A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lastRenderedPageBreak/>
        <w:t xml:space="preserve">Así mismo enseña el artículo 319 del C.G.P.: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Trámite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.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“El recurso de reposición 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decidirá en la audiencia, previo traslado en ella a la parte contraria.</w:t>
      </w:r>
    </w:p>
    <w:p w14:paraId="6A1DCED0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</w:pPr>
    </w:p>
    <w:p w14:paraId="48238ADF" w14:textId="09181BCA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Cuando sea procedente formularlo por escrito, se resolverá previo traslado a la parte contraria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  <w:lang w:val="es-CO"/>
        </w:rPr>
        <w:t>por tres (3) días como lo prevé el artículo 110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=.-</w:t>
      </w:r>
      <w:proofErr w:type="gramEnd"/>
    </w:p>
    <w:p w14:paraId="702B2C72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</w:p>
    <w:p w14:paraId="169365A8" w14:textId="7CEECC93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ALEGACIONES DE LA PARTE RECURRENTE:</w:t>
      </w:r>
    </w:p>
    <w:p w14:paraId="2D199F9E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2B3F86C6" w14:textId="06104A21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Dijo la recurrente, que el 13 de julio del 2023 su poderdante recibió correo electrónico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certificado por Servientrega, en el que el Sr. Apoderado de la parte actora señaló, que se notificaba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personalmente el auto que admite la demanda, con archivos adjuntos para descargar, pero se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intentó de varias formas abrir los archivos adjuntos al correo, sin que fuera posible lograrlo.</w:t>
      </w:r>
    </w:p>
    <w:p w14:paraId="100CBF69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0EB829C9" w14:textId="7B4A5D43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Al no poder acceder a los archivos adjuntos, mediante correo del 1 de agosto del 2023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solicitó el link para poder acceder al expediente completo, incluyendo la demanda, subsanación,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anexos y pruebas. El Juzgado, mediante correo electrónico de fecha 8 de agosto del 2023, remitió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el link del acceso al expediente digital con acta de notificación personal de fecha 8 de agosto del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2023, por lo que mediante correo electrónico del 9 de agosto del 2023 dirigido a la escribiente que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suscribió el acta solicitó la aclaración respecto del término para contestar la demanda, siendo el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juzgado el que la indujo en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error.-</w:t>
      </w:r>
      <w:proofErr w:type="gramEnd"/>
    </w:p>
    <w:p w14:paraId="74281754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4A27C0C9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ALEGACIONES DE LA PARTE NO RECURRENTE:</w:t>
      </w:r>
    </w:p>
    <w:p w14:paraId="721BC4C5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lang w:val="es-CO"/>
        </w:rPr>
      </w:pPr>
      <w:r>
        <w:rPr>
          <w:rFonts w:ascii="Calibri" w:hAnsi="Calibri" w:cs="Calibri"/>
          <w:color w:val="000000"/>
          <w:kern w:val="0"/>
          <w:lang w:val="es-CO"/>
        </w:rPr>
        <w:t xml:space="preserve">   </w:t>
      </w:r>
    </w:p>
    <w:p w14:paraId="2E58AD08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DADADA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DADADA"/>
          <w:kern w:val="0"/>
          <w:sz w:val="16"/>
          <w:szCs w:val="16"/>
          <w:lang w:val="es-CO"/>
        </w:rPr>
        <w:t xml:space="preserve"> </w:t>
      </w:r>
    </w:p>
    <w:p w14:paraId="1AF2E24D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Se deja constancia que pese a haberse surtido el traslado, aquella guardó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silencio.-</w:t>
      </w:r>
      <w:proofErr w:type="gramEnd"/>
    </w:p>
    <w:p w14:paraId="02C70F74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</w:p>
    <w:p w14:paraId="72E06801" w14:textId="04F9EB5D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CONSIDERACIONES:</w:t>
      </w:r>
    </w:p>
    <w:p w14:paraId="3297CF56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2602EBDF" w14:textId="4113E07C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Sea del caso recordar, que según lo establecido en el artículo 318 del CGP, salvo norma en</w:t>
      </w:r>
    </w:p>
    <w:p w14:paraId="591F8714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contrario, el recurso de reposición procede contra los autos que dicte el juez.</w:t>
      </w:r>
    </w:p>
    <w:p w14:paraId="4026973D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298DE588" w14:textId="29A87F41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En el ámbito del derecho procesal, es conocido que el recurso de reposición se encamina</w:t>
      </w:r>
    </w:p>
    <w:p w14:paraId="1E0370FF" w14:textId="3A9CA5A3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unívocamente a obtener que el juzgador revoque o modifique su decisión cuando al emitirla ha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incurrido en error, tal como se infiere de una diáfana exégesis de lo dispuesto en el citado artículo.</w:t>
      </w:r>
    </w:p>
    <w:p w14:paraId="46AFFA39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0512BBFC" w14:textId="268B3D00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Esa es pues la aspiración de la recurrente, luego, la revisión que por esta vía intentada resulta</w:t>
      </w:r>
    </w:p>
    <w:p w14:paraId="3AC261C1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procedente.</w:t>
      </w:r>
    </w:p>
    <w:p w14:paraId="0FE6F142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2A060F91" w14:textId="7925BAE3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Revisado el expediente se advierte, que tal y como lo ratificó la Sra. Apoderada judicial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recurrente, recibió correo de notificación el día 13 de julio de 2023; el día 01 de agosto solicitó el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envío del link del expediente, envío que se surtió por la Secretaría del Despacho el día 08 de agosto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de 2023.</w:t>
      </w:r>
    </w:p>
    <w:p w14:paraId="321D8E64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3D38D5C5" w14:textId="303E3EFB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lastRenderedPageBreak/>
        <w:t>Conforme a lo anterior, al haberse realizado la notificación el día 13 de julio de 2023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conforme a la Ley 2213 de 2022, se contabilizaron dos días para tenerse por surtida la diligencia.</w:t>
      </w:r>
    </w:p>
    <w:p w14:paraId="0CB52EC4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19B0DD3F" w14:textId="1F35D3C6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Así, el término para contestar la demanda empezó a correr a partir del día 18 de julio por lo que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cuando se allegó el escrito solicitando el link del expediente (01 de agosto) ya estaban corriendo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los términos para contestarla, encontrándose el término en el día décimo.</w:t>
      </w:r>
    </w:p>
    <w:p w14:paraId="7386FD32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7BCDD874" w14:textId="4AEA1556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Sin embargo, al haberse enviado el día 08 de agosto el link solicitado, dichos términos se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reanudaron al día siguiente, es decir, el 09 de agosto, por lo que los diez días restantes para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contestar la demanda, fenecieron el 24 de agosto de 2023.</w:t>
      </w:r>
    </w:p>
    <w:p w14:paraId="405EADAE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3E036D84" w14:textId="170797AB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Así las cosas, la contestación allegada el día 09 de septiembre de 2023 por la Sra.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Apoderada Judicial del demandado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RAFAEL MARQUEZ BELTRAN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, aquí recurrente, se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encontraba presentada de manera extemporánea.</w:t>
      </w:r>
    </w:p>
    <w:p w14:paraId="0502A505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248D2AC2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Ahora bien, no es de recibo que la abogada responsabilice a la Secretaría del Despacho por</w:t>
      </w:r>
    </w:p>
    <w:p w14:paraId="66CC48B3" w14:textId="6FE0091E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inducirla en error=, como quiera que siendo profesional del derecho debe ser conocedora de las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normas y términos procesales, que de ninguna manera deben ser consultados al personal del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juzgado toda vez que no es función del juzgado asesorar a los apoderados judiciales, muy por el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contrario, era deber de la abogada atender con celosa diligencia y cuidado el asunto a ella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encomendado.</w:t>
      </w:r>
    </w:p>
    <w:p w14:paraId="7D986DC6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4B0529DF" w14:textId="15DA0973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Finalmente, de conformidad con lo establecido en el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articulo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321 numeral 1° del CGP se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concederá en el efecto devolutivo el recurso de apelación formulado subsidiariamente con el de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reposición en contra del auto de fecha veinticinco (25) de septiembre de dos mil veintitrés (2023),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mediante el cual se rechazó por extemporánea la contestación de la demanda efectuada por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aquel.-</w:t>
      </w:r>
      <w:proofErr w:type="gramEnd"/>
    </w:p>
    <w:p w14:paraId="4EB3160E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</w:p>
    <w:p w14:paraId="20243218" w14:textId="3F26CDD4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Por lo expuesto, se</w:t>
      </w:r>
    </w:p>
    <w:p w14:paraId="40EFB4A3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</w:p>
    <w:p w14:paraId="27A293A5" w14:textId="68A94602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RESUELVE:</w:t>
      </w:r>
    </w:p>
    <w:p w14:paraId="2306DB03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lang w:val="es-CO"/>
        </w:rPr>
      </w:pPr>
      <w:r>
        <w:rPr>
          <w:rFonts w:ascii="Calibri" w:hAnsi="Calibri" w:cs="Calibri"/>
          <w:color w:val="000000"/>
          <w:kern w:val="0"/>
          <w:lang w:val="es-CO"/>
        </w:rPr>
        <w:t xml:space="preserve">   </w:t>
      </w:r>
    </w:p>
    <w:p w14:paraId="590CD329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DADADA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DADADA"/>
          <w:kern w:val="0"/>
          <w:sz w:val="16"/>
          <w:szCs w:val="16"/>
          <w:lang w:val="es-CO"/>
        </w:rPr>
        <w:t xml:space="preserve"> </w:t>
      </w:r>
    </w:p>
    <w:p w14:paraId="0A88CF87" w14:textId="2DF49C84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 xml:space="preserve">PRIMERO: NO REVOCAR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el auto de fecha veinticinco (25) de septiembre de dos mil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veintitrés (2023), mediante el cual se rechazó por extemporánea la contestación de la demanda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efectuada por el demandado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RAFAEL MARQUEZ BELTRAN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, conforme a lo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expuesto.-</w:t>
      </w:r>
      <w:proofErr w:type="gramEnd"/>
    </w:p>
    <w:p w14:paraId="103B0203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</w:p>
    <w:p w14:paraId="66B2A1ED" w14:textId="69323C0C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 xml:space="preserve">SEGUNDO: MANTENER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incólume el auto de fecha veinticinco (25) de septiembre de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dos mil veintitrés (2023), mediante el cual se rechazó por extemporánea la contestación de la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demanda efectuada por el demandado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RAFAEL MARQUEZ BELTRAN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, conforme a lo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expuesto, conforme a lo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expuesto.-</w:t>
      </w:r>
      <w:proofErr w:type="gramEnd"/>
    </w:p>
    <w:p w14:paraId="2C8FE8EA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</w:pPr>
    </w:p>
    <w:p w14:paraId="52CB25C6" w14:textId="0325B8D5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 xml:space="preserve">TERCERO: CONCEDER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en el efecto devolutivo y ante el Superior el recurso de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apelación formulado subsidiariamente con el de reposición en contra del auto de fecha veinticinco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(25) de septiembre de dos mil veintitrés (2023), mediante el cual se rechazó por extemporánea la</w:t>
      </w:r>
    </w:p>
    <w:p w14:paraId="56750C92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lastRenderedPageBreak/>
        <w:t xml:space="preserve">contestación de la demanda efectuada por el demandado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 xml:space="preserve">RAFAEL MARQUEZ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lang w:val="es-CO"/>
        </w:rPr>
        <w:t>BELTRAN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  <w:lang w:val="es-CO"/>
        </w:rPr>
        <w:t>.-</w:t>
      </w:r>
      <w:proofErr w:type="gramEnd"/>
    </w:p>
    <w:p w14:paraId="06B5AD0E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lang w:val="es-CO"/>
        </w:rPr>
      </w:pPr>
    </w:p>
    <w:p w14:paraId="320D6F97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lang w:val="es-CO"/>
        </w:rPr>
      </w:pPr>
    </w:p>
    <w:p w14:paraId="63702F9A" w14:textId="6B2F0A94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lang w:val="es-CO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lang w:val="es-CO"/>
        </w:rPr>
        <w:t>NOTIFÍQUESE Y CÚMPLASE</w:t>
      </w:r>
    </w:p>
    <w:p w14:paraId="1AFD0D6B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lang w:val="es-CO"/>
        </w:rPr>
      </w:pPr>
    </w:p>
    <w:p w14:paraId="61DF1CBB" w14:textId="02BCAB1C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lang w:val="es-CO"/>
        </w:rPr>
        <w:t>El Juez</w:t>
      </w:r>
    </w:p>
    <w:p w14:paraId="337A2EC6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lang w:val="es-CO"/>
        </w:rPr>
      </w:pPr>
    </w:p>
    <w:p w14:paraId="475E2074" w14:textId="2AE522F1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lang w:val="es-CO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lang w:val="es-CO"/>
        </w:rPr>
        <w:t>ALFREDO MARTÍNEZ DE LA HOZ</w:t>
      </w:r>
    </w:p>
    <w:p w14:paraId="6EF43D6B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16"/>
          <w:szCs w:val="16"/>
          <w:lang w:val="es-CO"/>
        </w:rPr>
      </w:pPr>
    </w:p>
    <w:p w14:paraId="010FD8E9" w14:textId="78F876D8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16"/>
          <w:szCs w:val="16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16"/>
          <w:szCs w:val="16"/>
          <w:lang w:val="es-CO"/>
        </w:rPr>
        <w:t>LA ANTERIOR PROVIDENCIA SE NOTIFICÓ EN EL ESTADO</w:t>
      </w:r>
    </w:p>
    <w:p w14:paraId="58012328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  <w:sz w:val="16"/>
          <w:szCs w:val="16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16"/>
          <w:szCs w:val="16"/>
          <w:lang w:val="es-CO"/>
        </w:rPr>
        <w:t xml:space="preserve">ELECTRÓNICO DEL DÍA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16"/>
          <w:szCs w:val="16"/>
          <w:lang w:val="es-CO"/>
        </w:rPr>
        <w:t>15 DE ENERO DE 2024</w:t>
      </w:r>
    </w:p>
    <w:p w14:paraId="3EAE9E6F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16"/>
          <w:szCs w:val="16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16"/>
          <w:szCs w:val="16"/>
          <w:lang w:val="es-CO"/>
        </w:rPr>
        <w:t>Nubia Rocío Pineda Peña</w:t>
      </w:r>
    </w:p>
    <w:p w14:paraId="4C00D2A7" w14:textId="77777777" w:rsidR="00A32C3A" w:rsidRDefault="00A32C3A" w:rsidP="00A32C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16"/>
          <w:szCs w:val="16"/>
          <w:lang w:val="es-CO"/>
        </w:rPr>
      </w:pPr>
      <w:r>
        <w:rPr>
          <w:rFonts w:ascii="TimesNewRomanPSMT" w:hAnsi="TimesNewRomanPSMT" w:cs="TimesNewRomanPSMT"/>
          <w:color w:val="000000"/>
          <w:kern w:val="0"/>
          <w:sz w:val="16"/>
          <w:szCs w:val="16"/>
          <w:lang w:val="es-CO"/>
        </w:rPr>
        <w:t>Secretaria</w:t>
      </w:r>
    </w:p>
    <w:p w14:paraId="6CBCC73D" w14:textId="569E31B3" w:rsidR="00A32C3A" w:rsidRDefault="00A32C3A" w:rsidP="00A32C3A">
      <w:pPr>
        <w:jc w:val="both"/>
      </w:pPr>
      <w:proofErr w:type="spellStart"/>
      <w:proofErr w:type="gramStart"/>
      <w:r>
        <w:rPr>
          <w:rFonts w:ascii="TimesNewRomanPSMT" w:hAnsi="TimesNewRomanPSMT" w:cs="TimesNewRomanPSMT"/>
          <w:color w:val="000000"/>
          <w:kern w:val="0"/>
          <w:sz w:val="16"/>
          <w:szCs w:val="16"/>
          <w:lang w:val="es-CO"/>
        </w:rPr>
        <w:t>Lbht</w:t>
      </w:r>
      <w:proofErr w:type="spellEnd"/>
      <w:r>
        <w:rPr>
          <w:rFonts w:ascii="TimesNewRomanPSMT" w:hAnsi="TimesNewRomanPSMT" w:cs="TimesNewRomanPSMT"/>
          <w:color w:val="000000"/>
          <w:kern w:val="0"/>
          <w:sz w:val="16"/>
          <w:szCs w:val="16"/>
          <w:lang w:val="es-CO"/>
        </w:rPr>
        <w:t>.-</w:t>
      </w:r>
      <w:proofErr w:type="gramEnd"/>
    </w:p>
    <w:sectPr w:rsidR="00A32C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A4"/>
    <w:rsid w:val="001F28A4"/>
    <w:rsid w:val="00711491"/>
    <w:rsid w:val="00737460"/>
    <w:rsid w:val="00A32C3A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BE3"/>
  <w15:chartTrackingRefBased/>
  <w15:docId w15:val="{EA329154-372B-4AEF-B7C1-FCE46BEF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1065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2024-01-15T16:01:00Z</dcterms:created>
  <dcterms:modified xsi:type="dcterms:W3CDTF">2024-01-15T16:07:00Z</dcterms:modified>
</cp:coreProperties>
</file>