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32B" w:rsidRPr="00B3532B" w:rsidRDefault="00B3532B" w:rsidP="003A58B4">
      <w:pPr>
        <w:spacing w:line="360" w:lineRule="auto"/>
        <w:jc w:val="both"/>
        <w:rPr>
          <w:rFonts w:ascii="Arial" w:hAnsi="Arial" w:cs="Arial"/>
          <w:b/>
          <w:lang w:val="es-ES"/>
        </w:rPr>
      </w:pPr>
      <w:r>
        <w:rPr>
          <w:rFonts w:ascii="Arial" w:hAnsi="Arial" w:cs="Arial"/>
          <w:b/>
          <w:lang w:val="es-ES"/>
        </w:rPr>
        <w:t>CONVOCANTE:</w:t>
      </w:r>
    </w:p>
    <w:p w:rsidR="00954404" w:rsidRPr="00954404" w:rsidRDefault="00954404" w:rsidP="00954404">
      <w:pPr>
        <w:spacing w:line="360" w:lineRule="auto"/>
        <w:jc w:val="both"/>
        <w:rPr>
          <w:rFonts w:ascii="Arial" w:hAnsi="Arial" w:cs="Arial"/>
          <w:b/>
          <w:lang w:val="es-ES"/>
        </w:rPr>
      </w:pPr>
      <w:r w:rsidRPr="00954404">
        <w:rPr>
          <w:rFonts w:ascii="Arial" w:hAnsi="Arial" w:cs="Arial"/>
          <w:b/>
          <w:lang w:val="es-ES"/>
        </w:rPr>
        <w:t>Persona jurídica:</w:t>
      </w:r>
      <w:r w:rsidRPr="00954404">
        <w:rPr>
          <w:rFonts w:ascii="Arial" w:hAnsi="Arial" w:cs="Arial"/>
          <w:b/>
          <w:lang w:val="es-ES"/>
        </w:rPr>
        <w:tab/>
      </w:r>
      <w:r w:rsidRPr="00954404">
        <w:rPr>
          <w:rFonts w:ascii="Arial" w:hAnsi="Arial" w:cs="Arial"/>
          <w:b/>
          <w:lang w:val="es-ES"/>
        </w:rPr>
        <w:tab/>
      </w:r>
      <w:r w:rsidRPr="00954404">
        <w:rPr>
          <w:rFonts w:ascii="Arial" w:hAnsi="Arial" w:cs="Arial"/>
          <w:lang w:val="es-ES"/>
        </w:rPr>
        <w:t>AXA COLPATRIA SEGUROS S.A.</w:t>
      </w:r>
      <w:r w:rsidRPr="00954404">
        <w:rPr>
          <w:rFonts w:ascii="Arial" w:hAnsi="Arial" w:cs="Arial"/>
          <w:b/>
          <w:lang w:val="es-ES"/>
        </w:rPr>
        <w:t xml:space="preserve"> </w:t>
      </w:r>
    </w:p>
    <w:p w:rsidR="00954404" w:rsidRDefault="00954404" w:rsidP="00954404">
      <w:pPr>
        <w:spacing w:line="360" w:lineRule="auto"/>
        <w:jc w:val="both"/>
        <w:rPr>
          <w:rFonts w:ascii="Arial" w:hAnsi="Arial" w:cs="Arial"/>
          <w:b/>
          <w:lang w:val="es-ES"/>
        </w:rPr>
      </w:pPr>
      <w:r>
        <w:rPr>
          <w:rFonts w:ascii="Arial" w:hAnsi="Arial" w:cs="Arial"/>
          <w:b/>
          <w:lang w:val="es-ES"/>
        </w:rPr>
        <w:t xml:space="preserve">Representante legal: </w:t>
      </w:r>
      <w:r>
        <w:rPr>
          <w:rFonts w:ascii="Arial" w:hAnsi="Arial" w:cs="Arial"/>
          <w:b/>
          <w:lang w:val="es-ES"/>
        </w:rPr>
        <w:tab/>
      </w:r>
      <w:r w:rsidRPr="00954404">
        <w:rPr>
          <w:rFonts w:ascii="Arial" w:hAnsi="Arial" w:cs="Arial"/>
          <w:lang w:val="es-ES"/>
        </w:rPr>
        <w:t>Alexandra Quiroga Velásquez</w:t>
      </w:r>
    </w:p>
    <w:p w:rsidR="00B3532B" w:rsidRPr="00B3532B" w:rsidRDefault="00B3532B" w:rsidP="00954404">
      <w:pPr>
        <w:spacing w:line="360" w:lineRule="auto"/>
        <w:jc w:val="both"/>
        <w:rPr>
          <w:rFonts w:ascii="Arial" w:hAnsi="Arial" w:cs="Arial"/>
          <w:b/>
          <w:lang w:val="es-ES"/>
        </w:rPr>
      </w:pPr>
      <w:r w:rsidRPr="00B3532B">
        <w:rPr>
          <w:rFonts w:ascii="Arial" w:hAnsi="Arial" w:cs="Arial"/>
          <w:b/>
          <w:lang w:val="es-ES"/>
        </w:rPr>
        <w:t xml:space="preserve">NIT:                                </w:t>
      </w:r>
      <w:r w:rsidRPr="00B3532B">
        <w:rPr>
          <w:rFonts w:ascii="Arial" w:hAnsi="Arial" w:cs="Arial"/>
          <w:b/>
          <w:lang w:val="es-ES"/>
        </w:rPr>
        <w:tab/>
      </w:r>
      <w:r w:rsidR="00954404" w:rsidRPr="00954404">
        <w:rPr>
          <w:rFonts w:ascii="Arial" w:hAnsi="Arial" w:cs="Arial"/>
          <w:lang w:val="es-CO"/>
        </w:rPr>
        <w:t>860.002.184-6</w:t>
      </w:r>
      <w:r w:rsidRPr="00B3532B">
        <w:rPr>
          <w:rFonts w:ascii="Arial" w:hAnsi="Arial" w:cs="Arial"/>
          <w:b/>
          <w:lang w:val="es-ES"/>
        </w:rPr>
        <w:t xml:space="preserve"> </w:t>
      </w:r>
    </w:p>
    <w:p w:rsidR="00B3532B" w:rsidRPr="00B3532B" w:rsidRDefault="00B3532B" w:rsidP="003A58B4">
      <w:pPr>
        <w:spacing w:line="360" w:lineRule="auto"/>
        <w:jc w:val="both"/>
        <w:rPr>
          <w:rFonts w:ascii="Arial" w:hAnsi="Arial" w:cs="Arial"/>
          <w:b/>
          <w:lang w:val="es-ES"/>
        </w:rPr>
      </w:pPr>
      <w:r w:rsidRPr="00B3532B">
        <w:rPr>
          <w:rFonts w:ascii="Arial" w:hAnsi="Arial" w:cs="Arial"/>
          <w:b/>
          <w:lang w:val="es-ES"/>
        </w:rPr>
        <w:t xml:space="preserve">Correo electrónico: </w:t>
      </w:r>
      <w:r w:rsidRPr="00B3532B">
        <w:rPr>
          <w:rFonts w:ascii="Arial" w:hAnsi="Arial" w:cs="Arial"/>
          <w:b/>
          <w:lang w:val="es-ES"/>
        </w:rPr>
        <w:tab/>
      </w:r>
      <w:r w:rsidRPr="00B3532B">
        <w:rPr>
          <w:rFonts w:ascii="Arial" w:hAnsi="Arial" w:cs="Arial"/>
          <w:b/>
          <w:lang w:val="es-ES"/>
        </w:rPr>
        <w:tab/>
      </w:r>
      <w:hyperlink r:id="rId6" w:history="1">
        <w:r w:rsidR="00954404" w:rsidRPr="00BB5D03">
          <w:rPr>
            <w:rStyle w:val="Hipervnculo"/>
            <w:rFonts w:ascii="Arial" w:hAnsi="Arial" w:cs="Arial"/>
            <w:lang w:val="es-ES"/>
          </w:rPr>
          <w:t>notificacionesjudiciales@axacolpatria.co</w:t>
        </w:r>
      </w:hyperlink>
      <w:r w:rsidR="00954404">
        <w:rPr>
          <w:rFonts w:ascii="Arial" w:hAnsi="Arial" w:cs="Arial"/>
          <w:lang w:val="es-ES"/>
        </w:rPr>
        <w:t xml:space="preserve"> </w:t>
      </w:r>
      <w:r w:rsidRPr="00B3532B">
        <w:rPr>
          <w:rFonts w:ascii="Arial" w:hAnsi="Arial" w:cs="Arial"/>
          <w:b/>
          <w:lang w:val="es-ES"/>
        </w:rPr>
        <w:t xml:space="preserve">   </w:t>
      </w:r>
    </w:p>
    <w:p w:rsidR="00B3532B" w:rsidRPr="00B3532B" w:rsidRDefault="00B3532B" w:rsidP="003A58B4">
      <w:pPr>
        <w:spacing w:line="360" w:lineRule="auto"/>
        <w:jc w:val="both"/>
        <w:rPr>
          <w:rFonts w:ascii="Arial" w:hAnsi="Arial" w:cs="Arial"/>
          <w:b/>
          <w:lang w:val="es-ES"/>
        </w:rPr>
      </w:pPr>
    </w:p>
    <w:p w:rsidR="00B3532B" w:rsidRPr="00B3532B" w:rsidRDefault="00B3532B" w:rsidP="003A58B4">
      <w:pPr>
        <w:spacing w:line="360" w:lineRule="auto"/>
        <w:jc w:val="both"/>
        <w:rPr>
          <w:rFonts w:ascii="Arial" w:hAnsi="Arial" w:cs="Arial"/>
          <w:b/>
          <w:lang w:val="es-ES"/>
        </w:rPr>
      </w:pPr>
      <w:r w:rsidRPr="00B3532B">
        <w:rPr>
          <w:rFonts w:ascii="Arial" w:hAnsi="Arial" w:cs="Arial"/>
          <w:b/>
          <w:lang w:val="es-ES"/>
        </w:rPr>
        <w:t>CONVOCADO:</w:t>
      </w:r>
    </w:p>
    <w:p w:rsidR="00B3532B" w:rsidRPr="00B3532B" w:rsidRDefault="00B3532B" w:rsidP="003A58B4">
      <w:pPr>
        <w:spacing w:line="360" w:lineRule="auto"/>
        <w:jc w:val="both"/>
        <w:rPr>
          <w:rFonts w:ascii="Arial" w:hAnsi="Arial" w:cs="Arial"/>
          <w:b/>
          <w:lang w:val="es-ES"/>
        </w:rPr>
      </w:pPr>
      <w:r w:rsidRPr="00B3532B">
        <w:rPr>
          <w:rFonts w:ascii="Arial" w:hAnsi="Arial" w:cs="Arial"/>
          <w:b/>
          <w:lang w:val="es-ES"/>
        </w:rPr>
        <w:t xml:space="preserve">Persona jurídica: </w:t>
      </w:r>
      <w:r w:rsidRPr="00B3532B">
        <w:rPr>
          <w:rFonts w:ascii="Arial" w:hAnsi="Arial" w:cs="Arial"/>
          <w:b/>
          <w:lang w:val="es-ES"/>
        </w:rPr>
        <w:tab/>
      </w:r>
      <w:r w:rsidRPr="00B3532B">
        <w:rPr>
          <w:rFonts w:ascii="Arial" w:hAnsi="Arial" w:cs="Arial"/>
          <w:b/>
          <w:lang w:val="es-ES"/>
        </w:rPr>
        <w:tab/>
        <w:t>INVERSIONES ARGENCOL S.A.S.</w:t>
      </w:r>
    </w:p>
    <w:p w:rsidR="00B3532B" w:rsidRPr="00B3532B" w:rsidRDefault="00B3532B" w:rsidP="003A58B4">
      <w:pPr>
        <w:spacing w:line="360" w:lineRule="auto"/>
        <w:jc w:val="both"/>
        <w:rPr>
          <w:rFonts w:ascii="Arial" w:hAnsi="Arial" w:cs="Arial"/>
          <w:b/>
          <w:lang w:val="es-ES"/>
        </w:rPr>
      </w:pPr>
      <w:r w:rsidRPr="00B3532B">
        <w:rPr>
          <w:rFonts w:ascii="Arial" w:hAnsi="Arial" w:cs="Arial"/>
          <w:b/>
          <w:lang w:val="es-ES"/>
        </w:rPr>
        <w:t xml:space="preserve">Representante legal:          </w:t>
      </w:r>
      <w:r w:rsidRPr="00B3532B">
        <w:rPr>
          <w:rFonts w:ascii="Arial" w:hAnsi="Arial" w:cs="Arial"/>
          <w:b/>
          <w:lang w:val="es-ES"/>
        </w:rPr>
        <w:tab/>
        <w:t xml:space="preserve">Raúl Darío Carvajal Muñoz </w:t>
      </w:r>
    </w:p>
    <w:p w:rsidR="00B3532B" w:rsidRPr="00B3532B" w:rsidRDefault="00B3532B" w:rsidP="003A58B4">
      <w:pPr>
        <w:spacing w:line="360" w:lineRule="auto"/>
        <w:jc w:val="both"/>
        <w:rPr>
          <w:rFonts w:ascii="Arial" w:hAnsi="Arial" w:cs="Arial"/>
          <w:b/>
          <w:lang w:val="es-ES"/>
        </w:rPr>
      </w:pPr>
      <w:r w:rsidRPr="00B3532B">
        <w:rPr>
          <w:rFonts w:ascii="Arial" w:hAnsi="Arial" w:cs="Arial"/>
          <w:b/>
          <w:lang w:val="es-ES"/>
        </w:rPr>
        <w:t xml:space="preserve">NIT:                       </w:t>
      </w:r>
      <w:r w:rsidRPr="00B3532B">
        <w:rPr>
          <w:rFonts w:ascii="Arial" w:hAnsi="Arial" w:cs="Arial"/>
          <w:b/>
          <w:lang w:val="es-ES"/>
        </w:rPr>
        <w:tab/>
      </w:r>
      <w:r w:rsidRPr="00B3532B">
        <w:rPr>
          <w:rFonts w:ascii="Arial" w:hAnsi="Arial" w:cs="Arial"/>
          <w:b/>
          <w:lang w:val="es-ES"/>
        </w:rPr>
        <w:tab/>
        <w:t>901.104.211-3</w:t>
      </w:r>
    </w:p>
    <w:p w:rsidR="00B3532B" w:rsidRPr="00B3532B" w:rsidRDefault="00B3532B" w:rsidP="003A58B4">
      <w:pPr>
        <w:spacing w:line="360" w:lineRule="auto"/>
        <w:jc w:val="both"/>
        <w:rPr>
          <w:rFonts w:ascii="Arial" w:hAnsi="Arial" w:cs="Arial"/>
          <w:b/>
          <w:lang w:val="es-ES"/>
        </w:rPr>
      </w:pPr>
      <w:r w:rsidRPr="00B3532B">
        <w:rPr>
          <w:rFonts w:ascii="Arial" w:hAnsi="Arial" w:cs="Arial"/>
          <w:b/>
          <w:lang w:val="es-ES"/>
        </w:rPr>
        <w:t>Dirección:</w:t>
      </w:r>
      <w:r w:rsidRPr="00B3532B">
        <w:rPr>
          <w:rFonts w:ascii="Arial" w:hAnsi="Arial" w:cs="Arial"/>
          <w:b/>
          <w:lang w:val="es-ES"/>
        </w:rPr>
        <w:tab/>
      </w:r>
      <w:r w:rsidRPr="00B3532B">
        <w:rPr>
          <w:rFonts w:ascii="Arial" w:hAnsi="Arial" w:cs="Arial"/>
          <w:b/>
          <w:lang w:val="es-ES"/>
        </w:rPr>
        <w:tab/>
      </w:r>
      <w:r w:rsidRPr="00B3532B">
        <w:rPr>
          <w:rFonts w:ascii="Arial" w:hAnsi="Arial" w:cs="Arial"/>
          <w:b/>
          <w:lang w:val="es-ES"/>
        </w:rPr>
        <w:tab/>
        <w:t xml:space="preserve">Avenida 6A No. 37 Norte - 25 </w:t>
      </w:r>
    </w:p>
    <w:p w:rsidR="00B3532B" w:rsidRPr="00B3532B" w:rsidRDefault="00B3532B" w:rsidP="003A58B4">
      <w:pPr>
        <w:spacing w:line="360" w:lineRule="auto"/>
        <w:jc w:val="both"/>
        <w:rPr>
          <w:rFonts w:ascii="Arial" w:hAnsi="Arial" w:cs="Arial"/>
          <w:b/>
          <w:lang w:val="es-ES"/>
        </w:rPr>
      </w:pPr>
      <w:r w:rsidRPr="00B3532B">
        <w:rPr>
          <w:rFonts w:ascii="Arial" w:hAnsi="Arial" w:cs="Arial"/>
          <w:b/>
          <w:lang w:val="es-ES"/>
        </w:rPr>
        <w:t>Teléfono:</w:t>
      </w:r>
      <w:r w:rsidRPr="00B3532B">
        <w:rPr>
          <w:rFonts w:ascii="Arial" w:hAnsi="Arial" w:cs="Arial"/>
          <w:b/>
          <w:lang w:val="es-ES"/>
        </w:rPr>
        <w:tab/>
      </w:r>
      <w:r w:rsidRPr="00B3532B">
        <w:rPr>
          <w:rFonts w:ascii="Arial" w:hAnsi="Arial" w:cs="Arial"/>
          <w:b/>
          <w:lang w:val="es-ES"/>
        </w:rPr>
        <w:tab/>
      </w:r>
      <w:r w:rsidRPr="00B3532B">
        <w:rPr>
          <w:rFonts w:ascii="Arial" w:hAnsi="Arial" w:cs="Arial"/>
          <w:b/>
          <w:lang w:val="es-ES"/>
        </w:rPr>
        <w:tab/>
        <w:t xml:space="preserve">315 269 1400 </w:t>
      </w:r>
    </w:p>
    <w:p w:rsidR="00B3532B" w:rsidRPr="00B3532B" w:rsidRDefault="00B3532B" w:rsidP="003A58B4">
      <w:pPr>
        <w:spacing w:line="360" w:lineRule="auto"/>
        <w:jc w:val="both"/>
        <w:rPr>
          <w:rFonts w:ascii="Arial" w:hAnsi="Arial" w:cs="Arial"/>
          <w:b/>
          <w:lang w:val="es-ES"/>
        </w:rPr>
      </w:pPr>
      <w:r w:rsidRPr="00B3532B">
        <w:rPr>
          <w:rFonts w:ascii="Arial" w:hAnsi="Arial" w:cs="Arial"/>
          <w:b/>
          <w:lang w:val="es-ES"/>
        </w:rPr>
        <w:t>Ciudad:</w:t>
      </w:r>
      <w:r w:rsidRPr="00B3532B">
        <w:rPr>
          <w:rFonts w:ascii="Arial" w:hAnsi="Arial" w:cs="Arial"/>
          <w:b/>
          <w:lang w:val="es-ES"/>
        </w:rPr>
        <w:tab/>
      </w:r>
      <w:r w:rsidRPr="00B3532B">
        <w:rPr>
          <w:rFonts w:ascii="Arial" w:hAnsi="Arial" w:cs="Arial"/>
          <w:b/>
          <w:lang w:val="es-ES"/>
        </w:rPr>
        <w:tab/>
      </w:r>
      <w:r w:rsidRPr="00B3532B">
        <w:rPr>
          <w:rFonts w:ascii="Arial" w:hAnsi="Arial" w:cs="Arial"/>
          <w:b/>
          <w:lang w:val="es-ES"/>
        </w:rPr>
        <w:tab/>
        <w:t>Santiago de Cali – Valle del Cauca</w:t>
      </w:r>
    </w:p>
    <w:p w:rsidR="00B3532B" w:rsidRDefault="00B3532B" w:rsidP="003A58B4">
      <w:pPr>
        <w:spacing w:line="360" w:lineRule="auto"/>
        <w:jc w:val="both"/>
        <w:rPr>
          <w:rFonts w:ascii="Arial" w:hAnsi="Arial" w:cs="Arial"/>
          <w:b/>
          <w:lang w:val="es-ES"/>
        </w:rPr>
      </w:pPr>
      <w:r w:rsidRPr="00B3532B">
        <w:rPr>
          <w:rFonts w:ascii="Arial" w:hAnsi="Arial" w:cs="Arial"/>
          <w:b/>
          <w:lang w:val="es-ES"/>
        </w:rPr>
        <w:t xml:space="preserve">Correo electrónico: </w:t>
      </w:r>
      <w:r w:rsidRPr="00B3532B">
        <w:rPr>
          <w:rFonts w:ascii="Arial" w:hAnsi="Arial" w:cs="Arial"/>
          <w:b/>
          <w:lang w:val="es-ES"/>
        </w:rPr>
        <w:tab/>
      </w:r>
      <w:r w:rsidRPr="00B3532B">
        <w:rPr>
          <w:rFonts w:ascii="Arial" w:hAnsi="Arial" w:cs="Arial"/>
          <w:b/>
          <w:lang w:val="es-ES"/>
        </w:rPr>
        <w:tab/>
      </w:r>
      <w:hyperlink r:id="rId7" w:history="1">
        <w:r w:rsidRPr="00BB5D03">
          <w:rPr>
            <w:rStyle w:val="Hipervnculo"/>
            <w:rFonts w:ascii="Arial" w:hAnsi="Arial" w:cs="Arial"/>
            <w:b/>
            <w:lang w:val="es-ES"/>
          </w:rPr>
          <w:t>pampamalbecchipichape@hotmail.com</w:t>
        </w:r>
      </w:hyperlink>
    </w:p>
    <w:p w:rsidR="00B3532B" w:rsidRDefault="00B3532B" w:rsidP="003A58B4">
      <w:pPr>
        <w:spacing w:line="360" w:lineRule="auto"/>
        <w:jc w:val="both"/>
        <w:rPr>
          <w:rFonts w:ascii="Arial" w:hAnsi="Arial" w:cs="Arial"/>
          <w:b/>
          <w:lang w:val="es-ES"/>
        </w:rPr>
      </w:pPr>
    </w:p>
    <w:p w:rsidR="00B3532B" w:rsidRDefault="00B3532B" w:rsidP="003A58B4">
      <w:pPr>
        <w:spacing w:line="360" w:lineRule="auto"/>
        <w:jc w:val="both"/>
        <w:rPr>
          <w:rFonts w:ascii="Arial" w:hAnsi="Arial" w:cs="Arial"/>
          <w:b/>
          <w:lang w:val="es-ES"/>
        </w:rPr>
      </w:pPr>
      <w:r>
        <w:rPr>
          <w:rFonts w:ascii="Arial" w:hAnsi="Arial" w:cs="Arial"/>
          <w:b/>
          <w:lang w:val="es-ES"/>
        </w:rPr>
        <w:t xml:space="preserve">Hechos </w:t>
      </w:r>
    </w:p>
    <w:p w:rsidR="00B3532B" w:rsidRPr="00B3532B" w:rsidRDefault="00B3532B" w:rsidP="003A58B4">
      <w:pPr>
        <w:spacing w:line="360" w:lineRule="auto"/>
        <w:jc w:val="both"/>
        <w:rPr>
          <w:rFonts w:ascii="Arial" w:hAnsi="Arial" w:cs="Arial"/>
          <w:lang w:val="es-ES"/>
        </w:rPr>
      </w:pPr>
      <w:r w:rsidRPr="00B3532B">
        <w:rPr>
          <w:rFonts w:ascii="Arial" w:hAnsi="Arial" w:cs="Arial"/>
          <w:lang w:val="es-ES"/>
        </w:rPr>
        <w:t>En el mes de marzo de 2017, el CENTRO COMERCIAL CHIPICHAPE, como concedente, y la sociedad INVERSIONES ARGENCOL S.A.S., como concesionaria, celebraron un contrato de concesión priva</w:t>
      </w:r>
      <w:r>
        <w:rPr>
          <w:rFonts w:ascii="Arial" w:hAnsi="Arial" w:cs="Arial"/>
          <w:lang w:val="es-ES"/>
        </w:rPr>
        <w:t>da por medio del cual se entregó</w:t>
      </w:r>
      <w:r w:rsidRPr="00B3532B">
        <w:rPr>
          <w:rFonts w:ascii="Arial" w:hAnsi="Arial" w:cs="Arial"/>
          <w:lang w:val="es-ES"/>
        </w:rPr>
        <w:t xml:space="preserve"> en concesión a INVERSIONES ARGENCOL S.A.S. un área común del centro comercial (copropiedad) identificada como locales 8-211 y 8-212 de la bodega 8 del segundo piso del CENTRO COMERCIAL CHIPICHAPE, ubicado en la ciudad de Cali, en la Avenida 6 Norte con Calle 36 y 38, para que el concesionario instalara un establecimiento de comercio de su propiedad, destinado al uso específico de expendio a la mesa de comidas preparadas y expendio de bebidas alcohólicas para el consumo dentro del mismo establecimiento.</w:t>
      </w:r>
    </w:p>
    <w:p w:rsidR="00B3532B" w:rsidRPr="00B3532B" w:rsidRDefault="00B3532B" w:rsidP="003A58B4">
      <w:pPr>
        <w:spacing w:line="360" w:lineRule="auto"/>
        <w:jc w:val="both"/>
        <w:rPr>
          <w:rFonts w:ascii="Arial" w:hAnsi="Arial" w:cs="Arial"/>
          <w:lang w:val="es-ES"/>
        </w:rPr>
      </w:pPr>
      <w:r w:rsidRPr="00B3532B">
        <w:rPr>
          <w:rFonts w:ascii="Arial" w:hAnsi="Arial" w:cs="Arial"/>
          <w:lang w:val="es-ES"/>
        </w:rPr>
        <w:lastRenderedPageBreak/>
        <w:t>Dando cumplimiento al contrato de concesión, INVERSIONES ARGENCOL S.A.S. recibió los locales del CENTRO COMERCIAL CHIPICHAPE en el mes de abril de 2017 e inició las obras y adecuaciones para la instalación de un restaurante.</w:t>
      </w:r>
    </w:p>
    <w:p w:rsidR="00B3532B" w:rsidRPr="00B3532B" w:rsidRDefault="00B3532B" w:rsidP="003A58B4">
      <w:pPr>
        <w:spacing w:line="360" w:lineRule="auto"/>
        <w:jc w:val="both"/>
        <w:rPr>
          <w:rFonts w:ascii="Arial" w:hAnsi="Arial" w:cs="Arial"/>
          <w:lang w:val="es-ES"/>
        </w:rPr>
      </w:pPr>
      <w:r w:rsidRPr="00B3532B">
        <w:rPr>
          <w:rFonts w:ascii="Arial" w:hAnsi="Arial" w:cs="Arial"/>
          <w:lang w:val="es-ES"/>
        </w:rPr>
        <w:t>Para el diseño e instalación del sistema de extracción del restaurante, INVERSIONES ARGENCOL S.A.S. contrató a la compañía INGENIERIA GASTRONÓMICA S.A.S.</w:t>
      </w:r>
    </w:p>
    <w:p w:rsidR="00B3532B" w:rsidRPr="00B3532B" w:rsidRDefault="00B3532B" w:rsidP="003A58B4">
      <w:pPr>
        <w:spacing w:line="360" w:lineRule="auto"/>
        <w:jc w:val="both"/>
        <w:rPr>
          <w:rFonts w:ascii="Arial" w:hAnsi="Arial" w:cs="Arial"/>
          <w:lang w:val="es-ES"/>
        </w:rPr>
      </w:pPr>
      <w:r w:rsidRPr="00B3532B">
        <w:rPr>
          <w:rFonts w:ascii="Arial" w:hAnsi="Arial" w:cs="Arial"/>
          <w:lang w:val="es-ES"/>
        </w:rPr>
        <w:t>En el mes de agosto de 2017, se hizo la apertura del restaurante, el cual se denominó PAMPA MALBEC, siendo registrado como establecimiento de comercio de propiedad de INVERSIONES ARGENCOL S.A.S. como PAMPA MALBEC CHIPICHAPE con matrícula mercantil No. 993094.</w:t>
      </w:r>
    </w:p>
    <w:p w:rsidR="003A58B4" w:rsidRDefault="003A58B4" w:rsidP="003A58B4">
      <w:pPr>
        <w:spacing w:line="360" w:lineRule="auto"/>
        <w:jc w:val="both"/>
        <w:rPr>
          <w:rFonts w:ascii="Arial" w:hAnsi="Arial" w:cs="Arial"/>
          <w:lang w:val="es-ES"/>
        </w:rPr>
      </w:pPr>
      <w:r w:rsidRPr="003A58B4">
        <w:rPr>
          <w:rFonts w:ascii="Arial" w:hAnsi="Arial" w:cs="Arial"/>
          <w:lang w:val="es-ES"/>
        </w:rPr>
        <w:t>El día 25 de enero del 2021, alrededor de la 1:00 pm, se registró un incendio en el segundo piso, en la bodega 8, justamente en los locales 8-211 y 8-212 del segundo piso del CENTRO COMERCIAL CHIPICHAPE, es decir, el lugar donde funcionaba el restaurante PAMPA MALBEC de propiedad de INVERSIONES ARGENCOL S.A.S. El siniestro tuvo que ser atendido y controlado por el cuerpo de Bomberos de Cali y 10 voluntarios más en un trabajo de 21 horas, aproximadamente.</w:t>
      </w:r>
    </w:p>
    <w:p w:rsidR="003A58B4" w:rsidRDefault="003A58B4" w:rsidP="003A58B4">
      <w:pPr>
        <w:spacing w:line="360" w:lineRule="auto"/>
        <w:jc w:val="both"/>
        <w:rPr>
          <w:rFonts w:ascii="Arial" w:hAnsi="Arial" w:cs="Arial"/>
          <w:lang w:val="es-CO"/>
        </w:rPr>
      </w:pPr>
      <w:r w:rsidRPr="003A58B4">
        <w:rPr>
          <w:rFonts w:ascii="Arial" w:hAnsi="Arial" w:cs="Arial"/>
          <w:lang w:val="es-CO"/>
        </w:rPr>
        <w:t>Entre SEGUROS GENERALES SURAMERICANA S.A. y CENTRO COMERCIAL CHIPICHAPE P.H., se suscribió contrato de seguro denominado Seguro de Multi Riesgo Corporativo No. 899385, con vigencia entre el 31 de diciembre de 2020 y 31 de diciembre de 2021, que contemplaba el amparo de Daño Materi</w:t>
      </w:r>
      <w:r>
        <w:rPr>
          <w:rFonts w:ascii="Arial" w:hAnsi="Arial" w:cs="Arial"/>
          <w:lang w:val="es-CO"/>
        </w:rPr>
        <w:t xml:space="preserve">al de Edificios, entre otros.  </w:t>
      </w:r>
    </w:p>
    <w:p w:rsidR="003A58B4" w:rsidRPr="003A58B4" w:rsidRDefault="003A58B4" w:rsidP="003A58B4">
      <w:pPr>
        <w:adjustRightInd w:val="0"/>
        <w:spacing w:line="360" w:lineRule="auto"/>
        <w:jc w:val="both"/>
        <w:rPr>
          <w:rFonts w:ascii="Arial" w:hAnsi="Arial" w:cs="Arial"/>
          <w:color w:val="000000"/>
          <w:lang w:val="es-CO"/>
        </w:rPr>
      </w:pPr>
      <w:r w:rsidRPr="003A58B4">
        <w:rPr>
          <w:rFonts w:ascii="Arial" w:hAnsi="Arial" w:cs="Arial"/>
          <w:color w:val="000000"/>
          <w:lang w:val="es-CO"/>
        </w:rPr>
        <w:t xml:space="preserve">Los amparos pactados en la póliza de Seguro de Multi Riesgo Corporativo No. </w:t>
      </w:r>
      <w:r w:rsidRPr="003A58B4">
        <w:rPr>
          <w:rFonts w:ascii="Arial" w:hAnsi="Arial" w:cs="Arial"/>
          <w:lang w:val="es-CO"/>
        </w:rPr>
        <w:t>899385, se otorgaron con participación de las siguientes compañías aseguradoras, en los porcentajes a continuación descritos:</w:t>
      </w:r>
    </w:p>
    <w:tbl>
      <w:tblPr>
        <w:tblStyle w:val="Tablaconcuadrcula"/>
        <w:tblW w:w="0" w:type="auto"/>
        <w:jc w:val="center"/>
        <w:tblLook w:val="04A0" w:firstRow="1" w:lastRow="0" w:firstColumn="1" w:lastColumn="0" w:noHBand="0" w:noVBand="1"/>
      </w:tblPr>
      <w:tblGrid>
        <w:gridCol w:w="4106"/>
        <w:gridCol w:w="3119"/>
      </w:tblGrid>
      <w:tr w:rsidR="003A58B4" w:rsidRPr="009A1043" w:rsidTr="009D268A">
        <w:trPr>
          <w:jc w:val="center"/>
        </w:trPr>
        <w:tc>
          <w:tcPr>
            <w:tcW w:w="4106" w:type="dxa"/>
          </w:tcPr>
          <w:p w:rsidR="003A58B4" w:rsidRPr="009A1043" w:rsidRDefault="003A58B4" w:rsidP="003A58B4">
            <w:pPr>
              <w:pStyle w:val="Prrafodelista"/>
              <w:adjustRightInd w:val="0"/>
              <w:spacing w:line="360" w:lineRule="auto"/>
              <w:ind w:left="0"/>
              <w:jc w:val="both"/>
              <w:rPr>
                <w:rFonts w:ascii="Arial" w:hAnsi="Arial" w:cs="Arial"/>
                <w:b/>
                <w:bCs/>
                <w:color w:val="000000"/>
              </w:rPr>
            </w:pPr>
            <w:r w:rsidRPr="009A1043">
              <w:rPr>
                <w:rFonts w:ascii="Arial" w:hAnsi="Arial" w:cs="Arial"/>
                <w:b/>
                <w:bCs/>
                <w:color w:val="000000"/>
              </w:rPr>
              <w:t>Compañía aseguradora</w:t>
            </w:r>
          </w:p>
        </w:tc>
        <w:tc>
          <w:tcPr>
            <w:tcW w:w="3119" w:type="dxa"/>
          </w:tcPr>
          <w:p w:rsidR="003A58B4" w:rsidRPr="009A1043" w:rsidRDefault="003A58B4" w:rsidP="003A58B4">
            <w:pPr>
              <w:pStyle w:val="Prrafodelista"/>
              <w:adjustRightInd w:val="0"/>
              <w:spacing w:line="360" w:lineRule="auto"/>
              <w:ind w:left="0"/>
              <w:jc w:val="both"/>
              <w:rPr>
                <w:rFonts w:ascii="Arial" w:hAnsi="Arial" w:cs="Arial"/>
                <w:b/>
                <w:bCs/>
                <w:color w:val="000000"/>
              </w:rPr>
            </w:pPr>
            <w:r w:rsidRPr="009A1043">
              <w:rPr>
                <w:rFonts w:ascii="Arial" w:hAnsi="Arial" w:cs="Arial"/>
                <w:b/>
                <w:bCs/>
                <w:color w:val="000000"/>
              </w:rPr>
              <w:t>Porcentaje de participación</w:t>
            </w:r>
          </w:p>
        </w:tc>
      </w:tr>
      <w:tr w:rsidR="003A58B4" w:rsidRPr="009A1043" w:rsidTr="009D268A">
        <w:trPr>
          <w:jc w:val="center"/>
        </w:trPr>
        <w:tc>
          <w:tcPr>
            <w:tcW w:w="4106" w:type="dxa"/>
          </w:tcPr>
          <w:p w:rsidR="003A58B4" w:rsidRPr="009A1043" w:rsidRDefault="003A58B4" w:rsidP="003A58B4">
            <w:pPr>
              <w:pStyle w:val="Prrafodelista"/>
              <w:adjustRightInd w:val="0"/>
              <w:spacing w:line="360" w:lineRule="auto"/>
              <w:ind w:left="0"/>
              <w:jc w:val="both"/>
              <w:rPr>
                <w:rFonts w:ascii="Arial" w:hAnsi="Arial" w:cs="Arial"/>
                <w:color w:val="000000"/>
              </w:rPr>
            </w:pPr>
            <w:r w:rsidRPr="009A1043">
              <w:rPr>
                <w:rFonts w:ascii="Arial" w:hAnsi="Arial" w:cs="Arial"/>
                <w:color w:val="000000"/>
              </w:rPr>
              <w:t>Seguros Generales Suramericana</w:t>
            </w:r>
            <w:r>
              <w:rPr>
                <w:rFonts w:ascii="Arial" w:hAnsi="Arial" w:cs="Arial"/>
                <w:color w:val="000000"/>
              </w:rPr>
              <w:t xml:space="preserve"> S.A.</w:t>
            </w:r>
          </w:p>
        </w:tc>
        <w:tc>
          <w:tcPr>
            <w:tcW w:w="3119" w:type="dxa"/>
          </w:tcPr>
          <w:p w:rsidR="003A58B4" w:rsidRPr="009A1043" w:rsidRDefault="003A58B4" w:rsidP="003A58B4">
            <w:pPr>
              <w:pStyle w:val="Prrafodelista"/>
              <w:adjustRightInd w:val="0"/>
              <w:spacing w:line="360" w:lineRule="auto"/>
              <w:ind w:left="0"/>
              <w:jc w:val="both"/>
              <w:rPr>
                <w:rFonts w:ascii="Arial" w:hAnsi="Arial" w:cs="Arial"/>
                <w:color w:val="000000"/>
              </w:rPr>
            </w:pPr>
            <w:r w:rsidRPr="009A1043">
              <w:rPr>
                <w:rFonts w:ascii="Arial" w:hAnsi="Arial" w:cs="Arial"/>
                <w:color w:val="000000"/>
              </w:rPr>
              <w:t>37.5%</w:t>
            </w:r>
          </w:p>
        </w:tc>
      </w:tr>
      <w:tr w:rsidR="003A58B4" w:rsidRPr="009A1043" w:rsidTr="009D268A">
        <w:trPr>
          <w:jc w:val="center"/>
        </w:trPr>
        <w:tc>
          <w:tcPr>
            <w:tcW w:w="4106" w:type="dxa"/>
          </w:tcPr>
          <w:p w:rsidR="003A58B4" w:rsidRPr="009A1043" w:rsidRDefault="003A58B4" w:rsidP="003A58B4">
            <w:pPr>
              <w:pStyle w:val="Prrafodelista"/>
              <w:adjustRightInd w:val="0"/>
              <w:spacing w:line="360" w:lineRule="auto"/>
              <w:ind w:left="0"/>
              <w:jc w:val="both"/>
              <w:rPr>
                <w:rFonts w:ascii="Arial" w:hAnsi="Arial" w:cs="Arial"/>
                <w:color w:val="000000"/>
              </w:rPr>
            </w:pPr>
            <w:r w:rsidRPr="009A1043">
              <w:rPr>
                <w:rFonts w:ascii="Arial" w:hAnsi="Arial" w:cs="Arial"/>
                <w:color w:val="000000"/>
              </w:rPr>
              <w:t xml:space="preserve">Axa Colpatria </w:t>
            </w:r>
            <w:r>
              <w:rPr>
                <w:rFonts w:ascii="Arial" w:hAnsi="Arial" w:cs="Arial"/>
                <w:color w:val="000000"/>
              </w:rPr>
              <w:t xml:space="preserve">Seguros S.A. </w:t>
            </w:r>
          </w:p>
        </w:tc>
        <w:tc>
          <w:tcPr>
            <w:tcW w:w="3119" w:type="dxa"/>
          </w:tcPr>
          <w:p w:rsidR="003A58B4" w:rsidRPr="009A1043" w:rsidRDefault="003A58B4" w:rsidP="003A58B4">
            <w:pPr>
              <w:pStyle w:val="Prrafodelista"/>
              <w:adjustRightInd w:val="0"/>
              <w:spacing w:line="360" w:lineRule="auto"/>
              <w:ind w:left="0"/>
              <w:jc w:val="both"/>
              <w:rPr>
                <w:rFonts w:ascii="Arial" w:hAnsi="Arial" w:cs="Arial"/>
                <w:color w:val="000000"/>
              </w:rPr>
            </w:pPr>
            <w:r w:rsidRPr="009A1043">
              <w:rPr>
                <w:rFonts w:ascii="Arial" w:hAnsi="Arial" w:cs="Arial"/>
                <w:color w:val="000000"/>
              </w:rPr>
              <w:t>22.5%</w:t>
            </w:r>
          </w:p>
        </w:tc>
      </w:tr>
      <w:tr w:rsidR="003A58B4" w:rsidRPr="009A1043" w:rsidTr="009D268A">
        <w:trPr>
          <w:jc w:val="center"/>
        </w:trPr>
        <w:tc>
          <w:tcPr>
            <w:tcW w:w="4106" w:type="dxa"/>
          </w:tcPr>
          <w:p w:rsidR="003A58B4" w:rsidRPr="009A1043" w:rsidRDefault="003A58B4" w:rsidP="003A58B4">
            <w:pPr>
              <w:pStyle w:val="Prrafodelista"/>
              <w:adjustRightInd w:val="0"/>
              <w:spacing w:line="360" w:lineRule="auto"/>
              <w:ind w:left="0"/>
              <w:jc w:val="both"/>
              <w:rPr>
                <w:rFonts w:ascii="Arial" w:hAnsi="Arial" w:cs="Arial"/>
                <w:color w:val="000000"/>
              </w:rPr>
            </w:pPr>
            <w:r w:rsidRPr="009A1043">
              <w:rPr>
                <w:rFonts w:ascii="Arial" w:hAnsi="Arial" w:cs="Arial"/>
                <w:color w:val="000000"/>
              </w:rPr>
              <w:t xml:space="preserve">Allianz Seguros </w:t>
            </w:r>
            <w:r>
              <w:rPr>
                <w:rFonts w:ascii="Arial" w:hAnsi="Arial" w:cs="Arial"/>
                <w:color w:val="000000"/>
              </w:rPr>
              <w:t xml:space="preserve">S.A. </w:t>
            </w:r>
          </w:p>
        </w:tc>
        <w:tc>
          <w:tcPr>
            <w:tcW w:w="3119" w:type="dxa"/>
          </w:tcPr>
          <w:p w:rsidR="003A58B4" w:rsidRPr="009A1043" w:rsidRDefault="003A58B4" w:rsidP="003A58B4">
            <w:pPr>
              <w:pStyle w:val="Prrafodelista"/>
              <w:adjustRightInd w:val="0"/>
              <w:spacing w:line="360" w:lineRule="auto"/>
              <w:ind w:left="0"/>
              <w:jc w:val="both"/>
              <w:rPr>
                <w:rFonts w:ascii="Arial" w:hAnsi="Arial" w:cs="Arial"/>
                <w:color w:val="000000"/>
              </w:rPr>
            </w:pPr>
            <w:r w:rsidRPr="009A1043">
              <w:rPr>
                <w:rFonts w:ascii="Arial" w:hAnsi="Arial" w:cs="Arial"/>
                <w:color w:val="000000"/>
              </w:rPr>
              <w:t>20%</w:t>
            </w:r>
          </w:p>
        </w:tc>
      </w:tr>
      <w:tr w:rsidR="003A58B4" w:rsidRPr="009A1043" w:rsidTr="009D268A">
        <w:trPr>
          <w:jc w:val="center"/>
        </w:trPr>
        <w:tc>
          <w:tcPr>
            <w:tcW w:w="4106" w:type="dxa"/>
          </w:tcPr>
          <w:p w:rsidR="003A58B4" w:rsidRPr="009A1043" w:rsidRDefault="003A58B4" w:rsidP="003A58B4">
            <w:pPr>
              <w:pStyle w:val="Prrafodelista"/>
              <w:adjustRightInd w:val="0"/>
              <w:spacing w:line="360" w:lineRule="auto"/>
              <w:ind w:left="0"/>
              <w:jc w:val="both"/>
              <w:rPr>
                <w:rFonts w:ascii="Arial" w:hAnsi="Arial" w:cs="Arial"/>
                <w:color w:val="000000"/>
              </w:rPr>
            </w:pPr>
            <w:r w:rsidRPr="009A1043">
              <w:rPr>
                <w:rFonts w:ascii="Arial" w:hAnsi="Arial" w:cs="Arial"/>
                <w:color w:val="000000"/>
              </w:rPr>
              <w:t xml:space="preserve">Zurich Colombia Seguros </w:t>
            </w:r>
            <w:r>
              <w:rPr>
                <w:rFonts w:ascii="Arial" w:hAnsi="Arial" w:cs="Arial"/>
                <w:color w:val="000000"/>
              </w:rPr>
              <w:t xml:space="preserve">S.A. </w:t>
            </w:r>
          </w:p>
        </w:tc>
        <w:tc>
          <w:tcPr>
            <w:tcW w:w="3119" w:type="dxa"/>
          </w:tcPr>
          <w:p w:rsidR="003A58B4" w:rsidRPr="009A1043" w:rsidRDefault="003A58B4" w:rsidP="003A58B4">
            <w:pPr>
              <w:pStyle w:val="Prrafodelista"/>
              <w:adjustRightInd w:val="0"/>
              <w:spacing w:line="360" w:lineRule="auto"/>
              <w:ind w:left="0"/>
              <w:jc w:val="both"/>
              <w:rPr>
                <w:rFonts w:ascii="Arial" w:hAnsi="Arial" w:cs="Arial"/>
                <w:color w:val="000000"/>
              </w:rPr>
            </w:pPr>
            <w:r w:rsidRPr="009A1043">
              <w:rPr>
                <w:rFonts w:ascii="Arial" w:hAnsi="Arial" w:cs="Arial"/>
                <w:color w:val="000000"/>
              </w:rPr>
              <w:t>10%</w:t>
            </w:r>
          </w:p>
        </w:tc>
      </w:tr>
      <w:tr w:rsidR="003A58B4" w:rsidRPr="009A1043" w:rsidTr="009D268A">
        <w:trPr>
          <w:jc w:val="center"/>
        </w:trPr>
        <w:tc>
          <w:tcPr>
            <w:tcW w:w="4106" w:type="dxa"/>
          </w:tcPr>
          <w:p w:rsidR="003A58B4" w:rsidRPr="009A1043" w:rsidRDefault="003A58B4" w:rsidP="003A58B4">
            <w:pPr>
              <w:pStyle w:val="Prrafodelista"/>
              <w:adjustRightInd w:val="0"/>
              <w:spacing w:line="360" w:lineRule="auto"/>
              <w:ind w:left="0"/>
              <w:jc w:val="both"/>
              <w:rPr>
                <w:rFonts w:ascii="Arial" w:hAnsi="Arial" w:cs="Arial"/>
                <w:color w:val="000000"/>
              </w:rPr>
            </w:pPr>
            <w:r w:rsidRPr="009A5B3D">
              <w:rPr>
                <w:rFonts w:ascii="Arial" w:hAnsi="Arial" w:cs="Arial"/>
                <w:color w:val="000000"/>
              </w:rPr>
              <w:t>SBS Seguros Colombia S.A.</w:t>
            </w:r>
          </w:p>
        </w:tc>
        <w:tc>
          <w:tcPr>
            <w:tcW w:w="3119" w:type="dxa"/>
          </w:tcPr>
          <w:p w:rsidR="003A58B4" w:rsidRPr="009A1043" w:rsidRDefault="003A58B4" w:rsidP="003A58B4">
            <w:pPr>
              <w:pStyle w:val="Prrafodelista"/>
              <w:adjustRightInd w:val="0"/>
              <w:spacing w:line="360" w:lineRule="auto"/>
              <w:ind w:left="0"/>
              <w:jc w:val="both"/>
              <w:rPr>
                <w:rFonts w:ascii="Arial" w:hAnsi="Arial" w:cs="Arial"/>
                <w:color w:val="000000"/>
              </w:rPr>
            </w:pPr>
            <w:r w:rsidRPr="009A1043">
              <w:rPr>
                <w:rFonts w:ascii="Arial" w:hAnsi="Arial" w:cs="Arial"/>
                <w:color w:val="000000"/>
              </w:rPr>
              <w:t>10%</w:t>
            </w:r>
          </w:p>
        </w:tc>
      </w:tr>
    </w:tbl>
    <w:p w:rsidR="003A58B4" w:rsidRDefault="003A58B4" w:rsidP="003A58B4">
      <w:pPr>
        <w:spacing w:line="360" w:lineRule="auto"/>
        <w:jc w:val="both"/>
        <w:rPr>
          <w:rFonts w:ascii="Arial" w:hAnsi="Arial" w:cs="Arial"/>
        </w:rPr>
      </w:pPr>
    </w:p>
    <w:p w:rsidR="003A58B4" w:rsidRDefault="003A58B4" w:rsidP="003A58B4">
      <w:pPr>
        <w:spacing w:line="360" w:lineRule="auto"/>
        <w:jc w:val="both"/>
        <w:rPr>
          <w:rFonts w:ascii="Arial" w:hAnsi="Arial" w:cs="Arial"/>
          <w:lang w:val="es-CO"/>
        </w:rPr>
      </w:pPr>
      <w:r w:rsidRPr="003A58B4">
        <w:rPr>
          <w:rFonts w:ascii="Arial" w:hAnsi="Arial" w:cs="Arial"/>
          <w:lang w:val="es-CO"/>
        </w:rPr>
        <w:t xml:space="preserve">Con la reclamación que el asegurado presentó a SEGUROS GENERALES SURAMERICANA S.A. aportó los documentos pertinentes para acreditar la ocurrencia del </w:t>
      </w:r>
      <w:r w:rsidRPr="003A58B4">
        <w:rPr>
          <w:rFonts w:ascii="Arial" w:hAnsi="Arial" w:cs="Arial"/>
          <w:lang w:val="es-CO"/>
        </w:rPr>
        <w:lastRenderedPageBreak/>
        <w:t>evento y la cuantía de la pérdida, por lo cual se pagó a título de indemnización el 8 de marzo de 2021 la suma de $ 150.00.000 y el 14 de diciembre de 2021 la suma de $ 30.702.822, para una suma total indemnizatoria de: $ 180.702.822.</w:t>
      </w:r>
    </w:p>
    <w:p w:rsidR="00954404" w:rsidRDefault="00954404" w:rsidP="003A58B4">
      <w:pPr>
        <w:spacing w:line="360" w:lineRule="auto"/>
        <w:jc w:val="both"/>
        <w:rPr>
          <w:rFonts w:ascii="Arial" w:hAnsi="Arial" w:cs="Arial"/>
          <w:lang w:val="es-CO"/>
        </w:rPr>
      </w:pPr>
      <w:r w:rsidRPr="00954404">
        <w:rPr>
          <w:rFonts w:ascii="Arial" w:hAnsi="Arial" w:cs="Arial"/>
          <w:lang w:val="es-CO"/>
        </w:rPr>
        <w:t xml:space="preserve">En virtud del coaseguro señalado, la suma indemnizatoria que corresponde al 22.5 % de lo pagado por AXA COLPATRIA SEGUROS S.A. asciende a $ 42.341.135 por concepto de la indemnización y los honorarios de la firma ajustadora. Pagos realizados el 17 de junio de 2021 y el 11 de mayo de 2022. </w:t>
      </w:r>
    </w:p>
    <w:p w:rsidR="003A58B4" w:rsidRPr="003A58B4" w:rsidRDefault="003A58B4" w:rsidP="003A58B4">
      <w:pPr>
        <w:spacing w:line="360" w:lineRule="auto"/>
        <w:jc w:val="both"/>
        <w:rPr>
          <w:rFonts w:ascii="Arial" w:hAnsi="Arial" w:cs="Arial"/>
          <w:lang w:val="es-CO"/>
        </w:rPr>
      </w:pPr>
      <w:r w:rsidRPr="003A58B4">
        <w:rPr>
          <w:rFonts w:ascii="Arial" w:hAnsi="Arial" w:cs="Arial"/>
          <w:lang w:val="es-CO"/>
        </w:rPr>
        <w:t xml:space="preserve">Conforme a lo anterior y en virtud a lo señalado en el artículo 1096 del Código de Comercio, </w:t>
      </w:r>
      <w:r w:rsidR="00954404" w:rsidRPr="00954404">
        <w:rPr>
          <w:rFonts w:ascii="Arial" w:hAnsi="Arial" w:cs="Arial"/>
          <w:lang w:val="es-CO"/>
        </w:rPr>
        <w:t>AXA COLPATRIA SEGUROS S.A.</w:t>
      </w:r>
      <w:r>
        <w:rPr>
          <w:rFonts w:ascii="Arial" w:hAnsi="Arial" w:cs="Arial"/>
          <w:lang w:val="es-CO"/>
        </w:rPr>
        <w:t xml:space="preserve"> se subrogó</w:t>
      </w:r>
      <w:r w:rsidRPr="003A58B4">
        <w:rPr>
          <w:rFonts w:ascii="Arial" w:hAnsi="Arial" w:cs="Arial"/>
          <w:lang w:val="es-CO"/>
        </w:rPr>
        <w:t xml:space="preserve"> en los derechos del asegurado contra las personas responsables del siniestro.  </w:t>
      </w:r>
    </w:p>
    <w:p w:rsidR="003A58B4" w:rsidRDefault="003A58B4" w:rsidP="003A58B4">
      <w:pPr>
        <w:spacing w:line="360" w:lineRule="auto"/>
        <w:jc w:val="both"/>
        <w:rPr>
          <w:rFonts w:ascii="Arial" w:hAnsi="Arial" w:cs="Arial"/>
          <w:lang w:val="es-ES"/>
        </w:rPr>
      </w:pPr>
      <w:r>
        <w:rPr>
          <w:rFonts w:ascii="Arial" w:hAnsi="Arial" w:cs="Arial"/>
          <w:lang w:val="es-ES"/>
        </w:rPr>
        <w:t xml:space="preserve">Con ocasión a los anteriores hechos, </w:t>
      </w:r>
      <w:r w:rsidRPr="003A58B4">
        <w:rPr>
          <w:rFonts w:ascii="Arial" w:hAnsi="Arial" w:cs="Arial"/>
          <w:lang w:val="es-ES"/>
        </w:rPr>
        <w:t xml:space="preserve">INVERSIONES ARGENCOL S.A.S. </w:t>
      </w:r>
      <w:r>
        <w:rPr>
          <w:rFonts w:ascii="Arial" w:hAnsi="Arial" w:cs="Arial"/>
          <w:lang w:val="es-ES"/>
        </w:rPr>
        <w:t xml:space="preserve">inició proceso de responsabilidad civil contractual en contra de </w:t>
      </w:r>
      <w:r w:rsidRPr="003A58B4">
        <w:rPr>
          <w:rFonts w:ascii="Arial" w:hAnsi="Arial" w:cs="Arial"/>
          <w:lang w:val="es-CO"/>
        </w:rPr>
        <w:t xml:space="preserve">SEGUROS GENERALES SURAMERICANA S.A. </w:t>
      </w:r>
      <w:r>
        <w:rPr>
          <w:rFonts w:ascii="Arial" w:hAnsi="Arial" w:cs="Arial"/>
          <w:lang w:val="es-CO"/>
        </w:rPr>
        <w:t xml:space="preserve">y el </w:t>
      </w:r>
      <w:r w:rsidRPr="003A58B4">
        <w:rPr>
          <w:rFonts w:ascii="Arial" w:hAnsi="Arial" w:cs="Arial"/>
          <w:lang w:val="es-CO"/>
        </w:rPr>
        <w:t>CENTRO COMERCIAL CHIPICHAPE P.H.</w:t>
      </w:r>
      <w:r>
        <w:rPr>
          <w:rFonts w:ascii="Arial" w:hAnsi="Arial" w:cs="Arial"/>
          <w:lang w:val="es-CO"/>
        </w:rPr>
        <w:t xml:space="preserve">, siendo llamados en garantía </w:t>
      </w:r>
      <w:r w:rsidRPr="003A58B4">
        <w:rPr>
          <w:rFonts w:ascii="Arial" w:hAnsi="Arial" w:cs="Arial"/>
          <w:lang w:val="es-CO"/>
        </w:rPr>
        <w:t>SEGUROS GENERALES SURAMERICANA S.A.</w:t>
      </w:r>
      <w:r>
        <w:rPr>
          <w:rFonts w:ascii="Arial" w:hAnsi="Arial" w:cs="Arial"/>
          <w:lang w:val="es-CO"/>
        </w:rPr>
        <w:t xml:space="preserve">, AXA COLPATRIA SEGUROS S.A., </w:t>
      </w:r>
      <w:r w:rsidRPr="003A58B4">
        <w:rPr>
          <w:rFonts w:ascii="Arial" w:hAnsi="Arial" w:cs="Arial"/>
          <w:lang w:val="es-CO"/>
        </w:rPr>
        <w:t>ALLIANZ SEGUROS S.A.</w:t>
      </w:r>
      <w:r>
        <w:rPr>
          <w:rFonts w:ascii="Arial" w:hAnsi="Arial" w:cs="Arial"/>
          <w:lang w:val="es-CO"/>
        </w:rPr>
        <w:t xml:space="preserve">, </w:t>
      </w:r>
      <w:r w:rsidRPr="003A58B4">
        <w:rPr>
          <w:rFonts w:ascii="Arial" w:hAnsi="Arial" w:cs="Arial"/>
          <w:lang w:val="es-CO"/>
        </w:rPr>
        <w:t xml:space="preserve">ZURICH COLOMBIA SEGUROS S.A. </w:t>
      </w:r>
      <w:r>
        <w:rPr>
          <w:rFonts w:ascii="Arial" w:hAnsi="Arial" w:cs="Arial"/>
          <w:lang w:val="es-CO"/>
        </w:rPr>
        <w:t>y S</w:t>
      </w:r>
      <w:r w:rsidRPr="003A58B4">
        <w:rPr>
          <w:rFonts w:ascii="Arial" w:hAnsi="Arial" w:cs="Arial"/>
          <w:lang w:val="es-CO"/>
        </w:rPr>
        <w:t>BS SEGUROS COLOMBIA S.A.</w:t>
      </w:r>
      <w:r>
        <w:rPr>
          <w:rFonts w:ascii="Arial" w:hAnsi="Arial" w:cs="Arial"/>
          <w:lang w:val="es-CO"/>
        </w:rPr>
        <w:t xml:space="preserve">, proceso conocido por el </w:t>
      </w:r>
      <w:r w:rsidRPr="003A58B4">
        <w:rPr>
          <w:rFonts w:ascii="Arial" w:hAnsi="Arial" w:cs="Arial"/>
          <w:lang w:val="es-CO"/>
        </w:rPr>
        <w:t>JUZGADO DÉCIMO (10) CIVIL DEL CIRCUITO DE CALI</w:t>
      </w:r>
      <w:r>
        <w:rPr>
          <w:rFonts w:ascii="Arial" w:hAnsi="Arial" w:cs="Arial"/>
          <w:lang w:val="es-CO"/>
        </w:rPr>
        <w:t xml:space="preserve"> bajo el radicado </w:t>
      </w:r>
      <w:r w:rsidRPr="003A58B4">
        <w:rPr>
          <w:rFonts w:ascii="Arial" w:hAnsi="Arial" w:cs="Arial"/>
          <w:lang w:val="es-CO"/>
        </w:rPr>
        <w:t>76-001-31-03-010-2021-00326-00</w:t>
      </w:r>
      <w:r>
        <w:rPr>
          <w:rFonts w:ascii="Arial" w:hAnsi="Arial" w:cs="Arial"/>
          <w:lang w:val="es-CO"/>
        </w:rPr>
        <w:t xml:space="preserve">, el cual finalizó en primera instancia el </w:t>
      </w:r>
      <w:r>
        <w:rPr>
          <w:rFonts w:ascii="Arial" w:eastAsia="Times New Roman" w:hAnsi="Arial" w:cs="Arial"/>
          <w:bCs/>
          <w:color w:val="000000"/>
          <w:lang w:val="es-CO" w:eastAsia="es-CO"/>
        </w:rPr>
        <w:t>22</w:t>
      </w:r>
      <w:r w:rsidRPr="003F055C">
        <w:rPr>
          <w:rFonts w:ascii="Arial" w:eastAsia="Times New Roman" w:hAnsi="Arial" w:cs="Arial"/>
          <w:bCs/>
          <w:color w:val="000000"/>
          <w:lang w:val="es-CO" w:eastAsia="es-CO"/>
        </w:rPr>
        <w:t xml:space="preserve"> de </w:t>
      </w:r>
      <w:r>
        <w:rPr>
          <w:rFonts w:ascii="Arial" w:eastAsia="Times New Roman" w:hAnsi="Arial" w:cs="Arial"/>
          <w:bCs/>
          <w:color w:val="000000"/>
          <w:lang w:val="es-CO" w:eastAsia="es-CO"/>
        </w:rPr>
        <w:t xml:space="preserve">septiembre </w:t>
      </w:r>
      <w:r w:rsidRPr="003F055C">
        <w:rPr>
          <w:rFonts w:ascii="Arial" w:eastAsia="Times New Roman" w:hAnsi="Arial" w:cs="Arial"/>
          <w:bCs/>
          <w:color w:val="000000"/>
          <w:lang w:val="es-CO" w:eastAsia="es-CO"/>
        </w:rPr>
        <w:t>de 2023</w:t>
      </w:r>
      <w:r>
        <w:rPr>
          <w:rFonts w:ascii="Arial" w:eastAsia="Times New Roman" w:hAnsi="Arial" w:cs="Arial"/>
          <w:bCs/>
          <w:color w:val="000000"/>
          <w:lang w:val="es-CO" w:eastAsia="es-CO"/>
        </w:rPr>
        <w:t xml:space="preserve"> en el cual se negaron la totalidad de las pretensiones solicitadas por </w:t>
      </w:r>
      <w:r w:rsidRPr="003A58B4">
        <w:rPr>
          <w:rFonts w:ascii="Arial" w:hAnsi="Arial" w:cs="Arial"/>
          <w:lang w:val="es-ES"/>
        </w:rPr>
        <w:t xml:space="preserve">INVERSIONES ARGENCOL S.A.S. </w:t>
      </w:r>
      <w:r>
        <w:rPr>
          <w:rFonts w:ascii="Arial" w:hAnsi="Arial" w:cs="Arial"/>
          <w:lang w:val="es-ES"/>
        </w:rPr>
        <w:t xml:space="preserve">y se accedió parcialmente a las pretensiones en reconvención incoadas por </w:t>
      </w:r>
      <w:r w:rsidRPr="003A58B4">
        <w:rPr>
          <w:rFonts w:ascii="Arial" w:hAnsi="Arial" w:cs="Arial"/>
          <w:lang w:val="es-CO"/>
        </w:rPr>
        <w:t>CENTRO COMERCIAL CHIPICHAPE P.H.</w:t>
      </w:r>
      <w:r>
        <w:rPr>
          <w:rFonts w:ascii="Arial" w:hAnsi="Arial" w:cs="Arial"/>
          <w:lang w:val="es-ES"/>
        </w:rPr>
        <w:t xml:space="preserve"> </w:t>
      </w:r>
      <w:r>
        <w:rPr>
          <w:rFonts w:ascii="Arial" w:eastAsia="Times New Roman" w:hAnsi="Arial" w:cs="Arial"/>
          <w:bCs/>
          <w:color w:val="000000"/>
          <w:lang w:val="es-CO" w:eastAsia="es-CO"/>
        </w:rPr>
        <w:t xml:space="preserve"> </w:t>
      </w:r>
      <w:r>
        <w:rPr>
          <w:rFonts w:ascii="Arial" w:hAnsi="Arial" w:cs="Arial"/>
          <w:lang w:val="es-CO"/>
        </w:rPr>
        <w:t xml:space="preserve">   </w:t>
      </w:r>
      <w:r>
        <w:rPr>
          <w:rFonts w:ascii="Arial" w:hAnsi="Arial" w:cs="Arial"/>
          <w:lang w:val="es-ES"/>
        </w:rPr>
        <w:t xml:space="preserve">   </w:t>
      </w:r>
    </w:p>
    <w:p w:rsidR="00B3532B" w:rsidRDefault="00B3532B" w:rsidP="003A58B4">
      <w:pPr>
        <w:spacing w:line="360" w:lineRule="auto"/>
        <w:jc w:val="both"/>
        <w:rPr>
          <w:rFonts w:ascii="Arial" w:hAnsi="Arial" w:cs="Arial"/>
          <w:b/>
          <w:lang w:val="es-ES"/>
        </w:rPr>
      </w:pPr>
    </w:p>
    <w:p w:rsidR="00262E51" w:rsidRDefault="00B3532B" w:rsidP="003A58B4">
      <w:pPr>
        <w:spacing w:line="360" w:lineRule="auto"/>
        <w:jc w:val="both"/>
        <w:rPr>
          <w:rFonts w:ascii="Arial" w:hAnsi="Arial" w:cs="Arial"/>
          <w:b/>
          <w:lang w:val="es-ES"/>
        </w:rPr>
      </w:pPr>
      <w:r w:rsidRPr="00B3532B">
        <w:rPr>
          <w:rFonts w:ascii="Arial" w:hAnsi="Arial" w:cs="Arial"/>
          <w:b/>
          <w:lang w:val="es-ES"/>
        </w:rPr>
        <w:t>Calificación de la contingencia</w:t>
      </w:r>
    </w:p>
    <w:p w:rsidR="0050294A" w:rsidRPr="00B3532B" w:rsidRDefault="00B3532B" w:rsidP="003A58B4">
      <w:pPr>
        <w:spacing w:line="360" w:lineRule="auto"/>
        <w:jc w:val="both"/>
        <w:rPr>
          <w:rFonts w:ascii="Arial" w:hAnsi="Arial" w:cs="Arial"/>
          <w:lang w:val="es-ES"/>
        </w:rPr>
      </w:pPr>
      <w:r w:rsidRPr="00B3532B">
        <w:rPr>
          <w:rFonts w:ascii="Arial" w:hAnsi="Arial" w:cs="Arial"/>
          <w:lang w:val="es-ES"/>
        </w:rPr>
        <w:t xml:space="preserve">La contingencia se califica como </w:t>
      </w:r>
      <w:r>
        <w:rPr>
          <w:rFonts w:ascii="Arial" w:hAnsi="Arial" w:cs="Arial"/>
          <w:lang w:val="es-ES"/>
        </w:rPr>
        <w:t>PROBABLE, pues</w:t>
      </w:r>
      <w:r w:rsidRPr="00B3532B">
        <w:rPr>
          <w:rFonts w:ascii="Arial" w:hAnsi="Arial" w:cs="Arial"/>
          <w:lang w:val="es-ES"/>
        </w:rPr>
        <w:t xml:space="preserve"> </w:t>
      </w:r>
      <w:r>
        <w:rPr>
          <w:rFonts w:ascii="Arial" w:hAnsi="Arial" w:cs="Arial"/>
          <w:lang w:val="es-ES"/>
        </w:rPr>
        <w:t xml:space="preserve">está acreditado el pago que la Compañía hizo con ocasión a los daños materiales del centro comercial, además la responsabilidad de </w:t>
      </w:r>
      <w:r w:rsidRPr="00B3532B">
        <w:rPr>
          <w:rFonts w:ascii="Arial" w:hAnsi="Arial" w:cs="Arial"/>
          <w:lang w:val="es-ES"/>
        </w:rPr>
        <w:t>INVERSIONES ARGENCOL S.A.S.</w:t>
      </w:r>
      <w:r>
        <w:rPr>
          <w:rFonts w:ascii="Arial" w:hAnsi="Arial" w:cs="Arial"/>
          <w:lang w:val="es-ES"/>
        </w:rPr>
        <w:t xml:space="preserve"> está plenamente demostrada. </w:t>
      </w:r>
    </w:p>
    <w:p w:rsidR="00B3532B" w:rsidRPr="00B3532B" w:rsidRDefault="00B3532B" w:rsidP="003A58B4">
      <w:pPr>
        <w:spacing w:line="360" w:lineRule="auto"/>
        <w:jc w:val="both"/>
        <w:rPr>
          <w:rFonts w:ascii="Arial" w:hAnsi="Arial" w:cs="Arial"/>
          <w:lang w:val="es-ES"/>
        </w:rPr>
      </w:pPr>
      <w:r w:rsidRPr="00B3532B">
        <w:rPr>
          <w:rFonts w:ascii="Arial" w:hAnsi="Arial" w:cs="Arial"/>
          <w:lang w:val="es-ES"/>
        </w:rPr>
        <w:t xml:space="preserve">Lo primero que debe tomarse en consideración es que </w:t>
      </w:r>
      <w:r w:rsidR="00A36776">
        <w:rPr>
          <w:rFonts w:ascii="Arial" w:hAnsi="Arial" w:cs="Arial"/>
          <w:lang w:val="es-ES"/>
        </w:rPr>
        <w:t>la cobertura d</w:t>
      </w:r>
      <w:r w:rsidRPr="00B3532B">
        <w:rPr>
          <w:rFonts w:ascii="Arial" w:hAnsi="Arial" w:cs="Arial"/>
          <w:lang w:val="es-ES"/>
        </w:rPr>
        <w:t>el contrato de seguro No. 899385</w:t>
      </w:r>
      <w:r w:rsidR="00A36776">
        <w:rPr>
          <w:rFonts w:ascii="Arial" w:hAnsi="Arial" w:cs="Arial"/>
          <w:lang w:val="es-ES"/>
        </w:rPr>
        <w:t xml:space="preserve"> </w:t>
      </w:r>
      <w:r w:rsidR="00A36776" w:rsidRPr="00B3532B">
        <w:rPr>
          <w:rFonts w:ascii="Arial" w:hAnsi="Arial" w:cs="Arial"/>
          <w:lang w:val="es-ES"/>
        </w:rPr>
        <w:t>es asegurar los bienes del asegurado en sus daños materiales y si bien se trata de un incendio que ocasionó daños a los locales 211 y 212 del Centro Comercial Chipichape de Cali, lo cierto es que los mismos ya fueron pagados a la propiedad horizontal</w:t>
      </w:r>
      <w:r w:rsidR="00A36776">
        <w:rPr>
          <w:rFonts w:ascii="Arial" w:hAnsi="Arial" w:cs="Arial"/>
          <w:lang w:val="es-ES"/>
        </w:rPr>
        <w:t>.</w:t>
      </w:r>
    </w:p>
    <w:p w:rsidR="00B3532B" w:rsidRPr="00B3532B" w:rsidRDefault="00B3532B" w:rsidP="003A58B4">
      <w:pPr>
        <w:spacing w:line="360" w:lineRule="auto"/>
        <w:jc w:val="both"/>
        <w:rPr>
          <w:rFonts w:ascii="Arial" w:hAnsi="Arial" w:cs="Arial"/>
          <w:lang w:val="es-ES"/>
        </w:rPr>
      </w:pPr>
      <w:r w:rsidRPr="00B3532B">
        <w:rPr>
          <w:rFonts w:ascii="Arial" w:hAnsi="Arial" w:cs="Arial"/>
          <w:lang w:val="es-ES"/>
        </w:rPr>
        <w:t xml:space="preserve">Lo anteriormente esgrimido debe ser analizado de manera conjunta con el estudio de la responsabilidad del </w:t>
      </w:r>
      <w:r w:rsidR="00A36776">
        <w:rPr>
          <w:rFonts w:ascii="Arial" w:hAnsi="Arial" w:cs="Arial"/>
          <w:lang w:val="es-ES"/>
        </w:rPr>
        <w:t>convocado</w:t>
      </w:r>
      <w:r w:rsidRPr="00B3532B">
        <w:rPr>
          <w:rFonts w:ascii="Arial" w:hAnsi="Arial" w:cs="Arial"/>
          <w:lang w:val="es-ES"/>
        </w:rPr>
        <w:t xml:space="preserve">, toda vez que la misma está acreditada. De acuerdo a los </w:t>
      </w:r>
      <w:r w:rsidRPr="00B3532B">
        <w:rPr>
          <w:rFonts w:ascii="Arial" w:hAnsi="Arial" w:cs="Arial"/>
          <w:lang w:val="es-ES"/>
        </w:rPr>
        <w:lastRenderedPageBreak/>
        <w:t>medios de prueba</w:t>
      </w:r>
      <w:r w:rsidR="00A36776">
        <w:rPr>
          <w:rFonts w:ascii="Arial" w:hAnsi="Arial" w:cs="Arial"/>
          <w:lang w:val="es-ES"/>
        </w:rPr>
        <w:t xml:space="preserve"> practicados en el proceso, se concluyó</w:t>
      </w:r>
      <w:r w:rsidRPr="00B3532B">
        <w:rPr>
          <w:rFonts w:ascii="Arial" w:hAnsi="Arial" w:cs="Arial"/>
          <w:lang w:val="es-ES"/>
        </w:rPr>
        <w:t xml:space="preserve"> que: (i) la única obligación que recaía en el centro comercial consistía en entregar real y materialmente los locales dados en concesión en las fechas indicadas y con servicios públicos, obligación que fue cumplida. (ii) Era obligación del demandante adecuar los locales para que operara un restaurante, por lo tanto, los diseños de los ductos de escape (donde se originó el incendio) eran responsabilidad del demandante. (iii) El demandante debía hacer limpieza a los ductos de escape de gases y de acuerdo a las pruebas, esto se hacía de manera incompleta, quedando hollín y grasa dentro de los ductos. (iv) El demandante no adecuó los locales comerciales con equipos contra incendios industriales. (v) </w:t>
      </w:r>
      <w:r w:rsidR="00A36776">
        <w:rPr>
          <w:rFonts w:ascii="Arial" w:hAnsi="Arial" w:cs="Arial"/>
          <w:lang w:val="es-ES"/>
        </w:rPr>
        <w:t xml:space="preserve">En el proceso judicial quedó plenamente demostrado que </w:t>
      </w:r>
      <w:r w:rsidR="00A36776" w:rsidRPr="00B3532B">
        <w:rPr>
          <w:rFonts w:ascii="Arial" w:hAnsi="Arial" w:cs="Arial"/>
          <w:lang w:val="es-ES"/>
        </w:rPr>
        <w:t>INVERSIONES ARGENCOL S.A.S.</w:t>
      </w:r>
      <w:r w:rsidR="00A36776">
        <w:rPr>
          <w:rFonts w:ascii="Arial" w:hAnsi="Arial" w:cs="Arial"/>
          <w:lang w:val="es-ES"/>
        </w:rPr>
        <w:t xml:space="preserve"> incumplió el contrato de concesión y fue su responsabilidad la ocurrencia del incendio, así como su propagación.</w:t>
      </w:r>
    </w:p>
    <w:p w:rsidR="00B3532B" w:rsidRDefault="00B3532B" w:rsidP="003A58B4">
      <w:pPr>
        <w:spacing w:line="360" w:lineRule="auto"/>
        <w:jc w:val="both"/>
        <w:rPr>
          <w:rFonts w:ascii="Arial" w:hAnsi="Arial" w:cs="Arial"/>
          <w:lang w:val="es-ES"/>
        </w:rPr>
      </w:pPr>
      <w:r w:rsidRPr="00B3532B">
        <w:rPr>
          <w:rFonts w:ascii="Arial" w:hAnsi="Arial" w:cs="Arial"/>
          <w:lang w:val="es-ES"/>
        </w:rPr>
        <w:t>Todo lo anterior sin perjuicio del carácter contingente del proceso.</w:t>
      </w:r>
    </w:p>
    <w:p w:rsidR="005D5652" w:rsidRDefault="005D5652" w:rsidP="003A58B4">
      <w:pPr>
        <w:spacing w:line="360" w:lineRule="auto"/>
        <w:jc w:val="both"/>
        <w:rPr>
          <w:rFonts w:ascii="Arial" w:hAnsi="Arial" w:cs="Arial"/>
          <w:lang w:val="es-ES"/>
        </w:rPr>
      </w:pPr>
    </w:p>
    <w:p w:rsidR="005D5652" w:rsidRDefault="005D5652" w:rsidP="003A58B4">
      <w:pPr>
        <w:spacing w:line="360" w:lineRule="auto"/>
        <w:jc w:val="both"/>
        <w:rPr>
          <w:rFonts w:ascii="Arial" w:hAnsi="Arial" w:cs="Arial"/>
          <w:b/>
          <w:lang w:val="es-ES"/>
        </w:rPr>
      </w:pPr>
      <w:r w:rsidRPr="005D5652">
        <w:rPr>
          <w:rFonts w:ascii="Arial" w:hAnsi="Arial" w:cs="Arial"/>
          <w:b/>
          <w:lang w:val="es-ES"/>
        </w:rPr>
        <w:t xml:space="preserve">Liquidación objetiva. </w:t>
      </w:r>
    </w:p>
    <w:p w:rsidR="005D5652" w:rsidRDefault="005D5652" w:rsidP="003A58B4">
      <w:pPr>
        <w:spacing w:line="360" w:lineRule="auto"/>
        <w:jc w:val="both"/>
        <w:rPr>
          <w:rFonts w:ascii="Arial" w:hAnsi="Arial" w:cs="Arial"/>
          <w:lang w:val="es-ES"/>
        </w:rPr>
      </w:pPr>
      <w:r w:rsidRPr="005D5652">
        <w:rPr>
          <w:rFonts w:ascii="Arial" w:hAnsi="Arial" w:cs="Arial"/>
          <w:lang w:val="es-ES"/>
        </w:rPr>
        <w:t xml:space="preserve">Como liquidación objetiva de perjuicios se tiene la suma de </w:t>
      </w:r>
      <w:r w:rsidRPr="005D5652">
        <w:rPr>
          <w:rFonts w:ascii="Arial" w:hAnsi="Arial" w:cs="Arial"/>
          <w:b/>
          <w:lang w:val="es-ES"/>
        </w:rPr>
        <w:t xml:space="preserve">$ </w:t>
      </w:r>
      <w:r w:rsidR="005F68A9" w:rsidRPr="005F68A9">
        <w:rPr>
          <w:rFonts w:ascii="Arial" w:hAnsi="Arial" w:cs="Arial"/>
          <w:b/>
          <w:lang w:val="es-ES"/>
        </w:rPr>
        <w:t>75.158.774</w:t>
      </w:r>
      <w:bookmarkStart w:id="0" w:name="_GoBack"/>
      <w:bookmarkEnd w:id="0"/>
      <w:r w:rsidRPr="005D5652">
        <w:rPr>
          <w:rFonts w:ascii="Arial" w:hAnsi="Arial" w:cs="Arial"/>
          <w:lang w:val="es-ES"/>
        </w:rPr>
        <w:t>, valor al que se llegó de la siguiente manera:</w:t>
      </w:r>
    </w:p>
    <w:p w:rsidR="005D5652" w:rsidRDefault="005D5652" w:rsidP="003A58B4">
      <w:pPr>
        <w:spacing w:line="360" w:lineRule="auto"/>
        <w:jc w:val="both"/>
        <w:rPr>
          <w:rFonts w:ascii="Arial" w:eastAsia="Arial Unicode MS" w:hAnsi="Arial" w:cs="Arial"/>
          <w:bCs/>
          <w:color w:val="000000"/>
          <w:lang w:val="es-CO"/>
        </w:rPr>
      </w:pPr>
      <w:r w:rsidRPr="005D5652">
        <w:rPr>
          <w:rFonts w:ascii="Arial" w:hAnsi="Arial" w:cs="Arial"/>
          <w:b/>
          <w:lang w:val="es-ES"/>
        </w:rPr>
        <w:t>Daño emergente</w:t>
      </w:r>
      <w:r>
        <w:rPr>
          <w:rFonts w:ascii="Arial" w:hAnsi="Arial" w:cs="Arial"/>
          <w:b/>
          <w:lang w:val="es-ES"/>
        </w:rPr>
        <w:t xml:space="preserve">: </w:t>
      </w:r>
      <w:r>
        <w:rPr>
          <w:rFonts w:ascii="Arial" w:hAnsi="Arial" w:cs="Arial"/>
          <w:lang w:val="es-ES"/>
        </w:rPr>
        <w:t xml:space="preserve">se reconoce la suma de </w:t>
      </w:r>
      <w:r w:rsidR="00954404">
        <w:rPr>
          <w:rFonts w:ascii="Arial" w:hAnsi="Arial" w:cs="Arial"/>
          <w:b/>
          <w:lang w:val="es-CO"/>
        </w:rPr>
        <w:t xml:space="preserve">$ 42.341.135 </w:t>
      </w:r>
      <w:r w:rsidRPr="003A58B4">
        <w:rPr>
          <w:rFonts w:ascii="Arial" w:hAnsi="Arial" w:cs="Arial"/>
          <w:lang w:val="es-CO"/>
        </w:rPr>
        <w:t>por concepto de la indemnización y los honorarios de la firma ajustadora</w:t>
      </w:r>
      <w:r>
        <w:rPr>
          <w:rFonts w:ascii="Arial" w:hAnsi="Arial" w:cs="Arial"/>
          <w:lang w:val="es-ES"/>
        </w:rPr>
        <w:t xml:space="preserve"> que pagó la Compañía al </w:t>
      </w:r>
      <w:r>
        <w:rPr>
          <w:rFonts w:ascii="Arial" w:hAnsi="Arial" w:cs="Arial"/>
          <w:lang w:val="es-CO"/>
        </w:rPr>
        <w:t>CENTRO COMERCIAL CHIPICHAPE P.H</w:t>
      </w:r>
      <w:r>
        <w:rPr>
          <w:rFonts w:ascii="Arial" w:hAnsi="Arial" w:cs="Arial"/>
          <w:lang w:val="es-ES"/>
        </w:rPr>
        <w:t xml:space="preserve">. </w:t>
      </w:r>
      <w:r w:rsidRPr="005D5652">
        <w:rPr>
          <w:rFonts w:ascii="Arial" w:eastAsia="Arial Unicode MS" w:hAnsi="Arial" w:cs="Arial"/>
          <w:bCs/>
          <w:color w:val="000000"/>
          <w:lang w:val="es-CO"/>
        </w:rPr>
        <w:t>por los hechos del 25 de enero de 2021</w:t>
      </w:r>
      <w:r>
        <w:rPr>
          <w:rFonts w:ascii="Arial" w:eastAsia="Arial Unicode MS" w:hAnsi="Arial" w:cs="Arial"/>
          <w:bCs/>
          <w:color w:val="000000"/>
          <w:lang w:val="es-CO"/>
        </w:rPr>
        <w:t xml:space="preserve">. </w:t>
      </w:r>
    </w:p>
    <w:p w:rsidR="00106D02" w:rsidRDefault="000278E7" w:rsidP="000278E7">
      <w:pPr>
        <w:spacing w:line="360" w:lineRule="auto"/>
        <w:jc w:val="both"/>
        <w:rPr>
          <w:rFonts w:ascii="Arial" w:eastAsia="Arial Unicode MS" w:hAnsi="Arial" w:cs="Arial"/>
          <w:bCs/>
          <w:color w:val="000000"/>
          <w:lang w:val="es-CO"/>
        </w:rPr>
      </w:pPr>
      <w:r w:rsidRPr="000278E7">
        <w:rPr>
          <w:rFonts w:ascii="Arial" w:eastAsia="Arial Unicode MS" w:hAnsi="Arial" w:cs="Arial"/>
          <w:b/>
          <w:bCs/>
          <w:color w:val="000000"/>
          <w:lang w:val="es-CO"/>
        </w:rPr>
        <w:t>Intereses moratorios:</w:t>
      </w:r>
      <w:r>
        <w:rPr>
          <w:rFonts w:ascii="Arial" w:eastAsia="Arial Unicode MS" w:hAnsi="Arial" w:cs="Arial"/>
          <w:b/>
          <w:bCs/>
          <w:color w:val="000000"/>
          <w:lang w:val="es-CO"/>
        </w:rPr>
        <w:t xml:space="preserve"> </w:t>
      </w:r>
      <w:r>
        <w:rPr>
          <w:rFonts w:ascii="Arial" w:eastAsia="Arial Unicode MS" w:hAnsi="Arial" w:cs="Arial"/>
          <w:bCs/>
          <w:color w:val="000000"/>
          <w:lang w:val="es-CO"/>
        </w:rPr>
        <w:t xml:space="preserve">se reconoce la suma de </w:t>
      </w:r>
      <w:r w:rsidR="0044086B">
        <w:rPr>
          <w:rFonts w:ascii="Arial" w:eastAsia="Arial Unicode MS" w:hAnsi="Arial" w:cs="Arial"/>
          <w:b/>
          <w:bCs/>
          <w:color w:val="000000"/>
          <w:lang w:val="es-CO"/>
        </w:rPr>
        <w:t>$ 26</w:t>
      </w:r>
      <w:r w:rsidR="00106D02" w:rsidRPr="00106D02">
        <w:rPr>
          <w:rFonts w:ascii="Arial" w:eastAsia="Arial Unicode MS" w:hAnsi="Arial" w:cs="Arial"/>
          <w:b/>
          <w:bCs/>
          <w:color w:val="000000"/>
          <w:lang w:val="es-CO"/>
        </w:rPr>
        <w:t>.</w:t>
      </w:r>
      <w:r w:rsidR="0044086B">
        <w:rPr>
          <w:rFonts w:ascii="Arial" w:eastAsia="Arial Unicode MS" w:hAnsi="Arial" w:cs="Arial"/>
          <w:b/>
          <w:bCs/>
          <w:color w:val="000000"/>
          <w:lang w:val="es-CO"/>
        </w:rPr>
        <w:t>138</w:t>
      </w:r>
      <w:r w:rsidR="00106D02" w:rsidRPr="00106D02">
        <w:rPr>
          <w:rFonts w:ascii="Arial" w:eastAsia="Arial Unicode MS" w:hAnsi="Arial" w:cs="Arial"/>
          <w:b/>
          <w:bCs/>
          <w:color w:val="000000"/>
          <w:lang w:val="es-CO"/>
        </w:rPr>
        <w:t>.</w:t>
      </w:r>
      <w:r w:rsidR="0044086B">
        <w:rPr>
          <w:rFonts w:ascii="Arial" w:eastAsia="Arial Unicode MS" w:hAnsi="Arial" w:cs="Arial"/>
          <w:b/>
          <w:bCs/>
          <w:color w:val="000000"/>
          <w:lang w:val="es-CO"/>
        </w:rPr>
        <w:t>775</w:t>
      </w:r>
      <w:r>
        <w:rPr>
          <w:rFonts w:ascii="Arial" w:eastAsia="Arial Unicode MS" w:hAnsi="Arial" w:cs="Arial"/>
          <w:bCs/>
          <w:color w:val="000000"/>
          <w:lang w:val="es-CO"/>
        </w:rPr>
        <w:t xml:space="preserve"> por concepto de intereses moratorios sobre la suma de</w:t>
      </w:r>
      <w:r w:rsidRPr="000278E7">
        <w:rPr>
          <w:rFonts w:ascii="Arial" w:eastAsia="Arial Unicode MS" w:hAnsi="Arial" w:cs="Arial"/>
          <w:bCs/>
          <w:color w:val="000000"/>
          <w:lang w:val="es-CO"/>
        </w:rPr>
        <w:t xml:space="preserve"> </w:t>
      </w:r>
      <w:r w:rsidR="00954404" w:rsidRPr="00954404">
        <w:rPr>
          <w:rFonts w:ascii="Arial" w:hAnsi="Arial" w:cs="Arial"/>
          <w:lang w:val="es-CO"/>
        </w:rPr>
        <w:t>$ 33.750.000</w:t>
      </w:r>
      <w:r>
        <w:rPr>
          <w:rFonts w:ascii="Arial" w:eastAsia="Arial Unicode MS" w:hAnsi="Arial" w:cs="Arial"/>
          <w:bCs/>
          <w:color w:val="000000"/>
          <w:lang w:val="es-CO"/>
        </w:rPr>
        <w:t>,</w:t>
      </w:r>
      <w:r>
        <w:rPr>
          <w:rFonts w:ascii="Arial" w:eastAsia="Arial Unicode MS" w:hAnsi="Arial" w:cs="Arial"/>
          <w:bCs/>
          <w:color w:val="000000"/>
          <w:lang w:val="es-CO"/>
        </w:rPr>
        <w:t xml:space="preserve"> liquidados</w:t>
      </w:r>
      <w:r w:rsidRPr="000278E7">
        <w:rPr>
          <w:rFonts w:ascii="Arial" w:eastAsia="Arial Unicode MS" w:hAnsi="Arial" w:cs="Arial"/>
          <w:bCs/>
          <w:color w:val="000000"/>
          <w:lang w:val="es-CO"/>
        </w:rPr>
        <w:t xml:space="preserve"> desde el 18 de junio de 2021</w:t>
      </w:r>
      <w:r w:rsidR="00565591">
        <w:rPr>
          <w:rFonts w:ascii="Arial" w:eastAsia="Arial Unicode MS" w:hAnsi="Arial" w:cs="Arial"/>
          <w:bCs/>
          <w:color w:val="000000"/>
          <w:lang w:val="es-CO"/>
        </w:rPr>
        <w:t xml:space="preserve"> hasta el 4</w:t>
      </w:r>
      <w:r w:rsidR="00106D02">
        <w:rPr>
          <w:rFonts w:ascii="Arial" w:eastAsia="Arial Unicode MS" w:hAnsi="Arial" w:cs="Arial"/>
          <w:bCs/>
          <w:color w:val="000000"/>
          <w:lang w:val="es-CO"/>
        </w:rPr>
        <w:t xml:space="preserve"> de enero de 2024, como se observa a continuación: </w:t>
      </w:r>
    </w:p>
    <w:p w:rsidR="00106D02" w:rsidRDefault="00106D02" w:rsidP="000278E7">
      <w:pPr>
        <w:spacing w:line="360" w:lineRule="auto"/>
        <w:jc w:val="both"/>
        <w:rPr>
          <w:rFonts w:ascii="Arial" w:eastAsia="Arial Unicode MS" w:hAnsi="Arial" w:cs="Arial"/>
          <w:bCs/>
          <w:color w:val="000000"/>
          <w:lang w:val="es-CO"/>
        </w:rPr>
      </w:pPr>
    </w:p>
    <w:p w:rsidR="005D5652" w:rsidRDefault="0044086B" w:rsidP="003A58B4">
      <w:pPr>
        <w:spacing w:line="360" w:lineRule="auto"/>
        <w:jc w:val="both"/>
        <w:rPr>
          <w:rFonts w:ascii="Arial" w:eastAsia="Arial Unicode MS" w:hAnsi="Arial" w:cs="Arial"/>
          <w:bCs/>
          <w:color w:val="000000"/>
          <w:lang w:val="es-CO"/>
        </w:rPr>
      </w:pPr>
      <w:r w:rsidRPr="0044086B">
        <w:lastRenderedPageBreak/>
        <w:drawing>
          <wp:inline distT="0" distB="0" distL="0" distR="0">
            <wp:extent cx="5612130" cy="6401221"/>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6401221"/>
                    </a:xfrm>
                    <a:prstGeom prst="rect">
                      <a:avLst/>
                    </a:prstGeom>
                    <a:noFill/>
                    <a:ln>
                      <a:noFill/>
                    </a:ln>
                  </pic:spPr>
                </pic:pic>
              </a:graphicData>
            </a:graphic>
          </wp:inline>
        </w:drawing>
      </w:r>
      <w:r w:rsidR="000278E7">
        <w:rPr>
          <w:rFonts w:ascii="Arial" w:eastAsia="Arial Unicode MS" w:hAnsi="Arial" w:cs="Arial"/>
          <w:bCs/>
          <w:color w:val="000000"/>
          <w:lang w:val="es-CO"/>
        </w:rPr>
        <w:t xml:space="preserve"> </w:t>
      </w:r>
    </w:p>
    <w:p w:rsidR="0044086B" w:rsidRPr="0044086B" w:rsidRDefault="0044086B" w:rsidP="003A58B4">
      <w:pPr>
        <w:spacing w:line="360" w:lineRule="auto"/>
        <w:jc w:val="both"/>
        <w:rPr>
          <w:rFonts w:ascii="Arial" w:eastAsia="Arial Unicode MS" w:hAnsi="Arial" w:cs="Arial"/>
          <w:bCs/>
          <w:color w:val="000000"/>
          <w:lang w:val="es-CO"/>
        </w:rPr>
      </w:pPr>
    </w:p>
    <w:p w:rsidR="00106D02" w:rsidRDefault="00106D02" w:rsidP="00106D02">
      <w:pPr>
        <w:spacing w:line="360" w:lineRule="auto"/>
        <w:jc w:val="both"/>
        <w:rPr>
          <w:rFonts w:ascii="Arial" w:eastAsia="Arial Unicode MS" w:hAnsi="Arial" w:cs="Arial"/>
          <w:bCs/>
          <w:color w:val="000000"/>
          <w:lang w:val="es-CO"/>
        </w:rPr>
      </w:pPr>
      <w:r w:rsidRPr="000278E7">
        <w:rPr>
          <w:rFonts w:ascii="Arial" w:eastAsia="Arial Unicode MS" w:hAnsi="Arial" w:cs="Arial"/>
          <w:b/>
          <w:bCs/>
          <w:color w:val="000000"/>
          <w:lang w:val="es-CO"/>
        </w:rPr>
        <w:t>Intereses moratorios:</w:t>
      </w:r>
      <w:r>
        <w:rPr>
          <w:rFonts w:ascii="Arial" w:eastAsia="Arial Unicode MS" w:hAnsi="Arial" w:cs="Arial"/>
          <w:b/>
          <w:bCs/>
          <w:color w:val="000000"/>
          <w:lang w:val="es-CO"/>
        </w:rPr>
        <w:t xml:space="preserve"> </w:t>
      </w:r>
      <w:r>
        <w:rPr>
          <w:rFonts w:ascii="Arial" w:eastAsia="Arial Unicode MS" w:hAnsi="Arial" w:cs="Arial"/>
          <w:bCs/>
          <w:color w:val="000000"/>
          <w:lang w:val="es-CO"/>
        </w:rPr>
        <w:t xml:space="preserve">se reconoce la suma de </w:t>
      </w:r>
      <w:r w:rsidRPr="00106D02">
        <w:rPr>
          <w:rFonts w:ascii="Arial" w:eastAsia="Arial Unicode MS" w:hAnsi="Arial" w:cs="Arial"/>
          <w:b/>
          <w:bCs/>
          <w:color w:val="000000"/>
          <w:lang w:val="es-CO"/>
        </w:rPr>
        <w:t xml:space="preserve">$ </w:t>
      </w:r>
      <w:r w:rsidR="00954404">
        <w:rPr>
          <w:rFonts w:ascii="Arial" w:eastAsia="Arial Unicode MS" w:hAnsi="Arial" w:cs="Arial"/>
          <w:b/>
          <w:bCs/>
          <w:color w:val="000000"/>
          <w:lang w:val="es-CO"/>
        </w:rPr>
        <w:t>6.678.864</w:t>
      </w:r>
      <w:r>
        <w:rPr>
          <w:rFonts w:ascii="Arial" w:eastAsia="Arial Unicode MS" w:hAnsi="Arial" w:cs="Arial"/>
          <w:bCs/>
          <w:color w:val="000000"/>
          <w:lang w:val="es-CO"/>
        </w:rPr>
        <w:t xml:space="preserve"> por concepto de intereses moratorios sobre la suma de</w:t>
      </w:r>
      <w:r w:rsidRPr="000278E7">
        <w:rPr>
          <w:rFonts w:ascii="Arial" w:eastAsia="Arial Unicode MS" w:hAnsi="Arial" w:cs="Arial"/>
          <w:bCs/>
          <w:color w:val="000000"/>
          <w:lang w:val="es-CO"/>
        </w:rPr>
        <w:t xml:space="preserve"> </w:t>
      </w:r>
      <w:r w:rsidR="00954404" w:rsidRPr="00954404">
        <w:rPr>
          <w:rFonts w:ascii="Arial" w:hAnsi="Arial" w:cs="Arial"/>
          <w:lang w:val="es-CO"/>
        </w:rPr>
        <w:t>$ 8.591.135</w:t>
      </w:r>
      <w:r>
        <w:rPr>
          <w:rFonts w:ascii="Arial" w:eastAsia="Arial Unicode MS" w:hAnsi="Arial" w:cs="Arial"/>
          <w:bCs/>
          <w:color w:val="000000"/>
          <w:lang w:val="es-CO"/>
        </w:rPr>
        <w:t>,</w:t>
      </w:r>
      <w:r>
        <w:rPr>
          <w:rFonts w:ascii="Arial" w:eastAsia="Arial Unicode MS" w:hAnsi="Arial" w:cs="Arial"/>
          <w:bCs/>
          <w:color w:val="000000"/>
          <w:lang w:val="es-CO"/>
        </w:rPr>
        <w:t xml:space="preserve"> liquidados</w:t>
      </w:r>
      <w:r w:rsidRPr="000278E7">
        <w:rPr>
          <w:rFonts w:ascii="Arial" w:eastAsia="Arial Unicode MS" w:hAnsi="Arial" w:cs="Arial"/>
          <w:bCs/>
          <w:color w:val="000000"/>
          <w:lang w:val="es-CO"/>
        </w:rPr>
        <w:t xml:space="preserve"> desde el </w:t>
      </w:r>
      <w:r w:rsidRPr="00106D02">
        <w:rPr>
          <w:rFonts w:ascii="Arial" w:hAnsi="Arial" w:cs="Arial"/>
          <w:lang w:val="es-CO"/>
        </w:rPr>
        <w:t xml:space="preserve">12 de mayo de 2022 </w:t>
      </w:r>
      <w:r>
        <w:rPr>
          <w:rFonts w:ascii="Arial" w:eastAsia="Arial Unicode MS" w:hAnsi="Arial" w:cs="Arial"/>
          <w:bCs/>
          <w:color w:val="000000"/>
          <w:lang w:val="es-CO"/>
        </w:rPr>
        <w:t xml:space="preserve">hasta el 4 de enero de 2024, como se observa a continuación: </w:t>
      </w:r>
    </w:p>
    <w:p w:rsidR="00106D02" w:rsidRDefault="00106D02" w:rsidP="00106D02">
      <w:pPr>
        <w:spacing w:line="360" w:lineRule="auto"/>
        <w:jc w:val="both"/>
        <w:rPr>
          <w:rFonts w:ascii="Arial" w:eastAsia="Arial Unicode MS" w:hAnsi="Arial" w:cs="Arial"/>
          <w:bCs/>
          <w:color w:val="000000"/>
          <w:lang w:val="es-CO"/>
        </w:rPr>
      </w:pPr>
    </w:p>
    <w:p w:rsidR="00954404" w:rsidRPr="00954404" w:rsidRDefault="00954404" w:rsidP="003A58B4">
      <w:pPr>
        <w:spacing w:line="360" w:lineRule="auto"/>
        <w:jc w:val="both"/>
        <w:rPr>
          <w:rFonts w:ascii="Arial" w:eastAsia="Arial Unicode MS" w:hAnsi="Arial" w:cs="Arial"/>
          <w:bCs/>
          <w:color w:val="000000"/>
          <w:lang w:val="es-CO"/>
        </w:rPr>
      </w:pPr>
      <w:r w:rsidRPr="00954404">
        <w:lastRenderedPageBreak/>
        <w:drawing>
          <wp:inline distT="0" distB="0" distL="0" distR="0">
            <wp:extent cx="5612130" cy="4697670"/>
            <wp:effectExtent l="0" t="0" r="762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4697670"/>
                    </a:xfrm>
                    <a:prstGeom prst="rect">
                      <a:avLst/>
                    </a:prstGeom>
                    <a:noFill/>
                    <a:ln>
                      <a:noFill/>
                    </a:ln>
                  </pic:spPr>
                </pic:pic>
              </a:graphicData>
            </a:graphic>
          </wp:inline>
        </w:drawing>
      </w:r>
    </w:p>
    <w:sectPr w:rsidR="00954404" w:rsidRPr="0095440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F99" w:rsidRDefault="00C00F99" w:rsidP="00B3532B">
      <w:pPr>
        <w:spacing w:after="0" w:line="240" w:lineRule="auto"/>
      </w:pPr>
      <w:r>
        <w:separator/>
      </w:r>
    </w:p>
  </w:endnote>
  <w:endnote w:type="continuationSeparator" w:id="0">
    <w:p w:rsidR="00C00F99" w:rsidRDefault="00C00F99" w:rsidP="00B35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F99" w:rsidRDefault="00C00F99" w:rsidP="00B3532B">
      <w:pPr>
        <w:spacing w:after="0" w:line="240" w:lineRule="auto"/>
      </w:pPr>
      <w:r>
        <w:separator/>
      </w:r>
    </w:p>
  </w:footnote>
  <w:footnote w:type="continuationSeparator" w:id="0">
    <w:p w:rsidR="00C00F99" w:rsidRDefault="00C00F99" w:rsidP="00B353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2B"/>
    <w:rsid w:val="000278E7"/>
    <w:rsid w:val="00101C5D"/>
    <w:rsid w:val="00106D02"/>
    <w:rsid w:val="00262E51"/>
    <w:rsid w:val="003A58B4"/>
    <w:rsid w:val="003E01D2"/>
    <w:rsid w:val="0044086B"/>
    <w:rsid w:val="0050294A"/>
    <w:rsid w:val="00565591"/>
    <w:rsid w:val="005D5652"/>
    <w:rsid w:val="005F68A9"/>
    <w:rsid w:val="00954404"/>
    <w:rsid w:val="00A36776"/>
    <w:rsid w:val="00B3532B"/>
    <w:rsid w:val="00C00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5D4AA"/>
  <w15:chartTrackingRefBased/>
  <w15:docId w15:val="{19A5D0C7-11A5-403A-8543-9A10C3A8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3532B"/>
    <w:rPr>
      <w:color w:val="0563C1" w:themeColor="hyperlink"/>
      <w:u w:val="single"/>
    </w:rPr>
  </w:style>
  <w:style w:type="paragraph" w:styleId="Prrafodelista">
    <w:name w:val="List Paragraph"/>
    <w:aliases w:val="Nivel 1,Párrafo de lista1"/>
    <w:basedOn w:val="Normal"/>
    <w:link w:val="PrrafodelistaCar"/>
    <w:uiPriority w:val="34"/>
    <w:qFormat/>
    <w:rsid w:val="003A58B4"/>
    <w:pPr>
      <w:widowControl w:val="0"/>
      <w:autoSpaceDE w:val="0"/>
      <w:autoSpaceDN w:val="0"/>
      <w:spacing w:after="0" w:line="240" w:lineRule="auto"/>
      <w:ind w:left="720"/>
      <w:contextualSpacing/>
    </w:pPr>
    <w:rPr>
      <w:rFonts w:ascii="Times New Roman" w:eastAsia="Times New Roman" w:hAnsi="Times New Roman" w:cs="Times New Roman"/>
      <w:lang w:val="es-ES"/>
    </w:rPr>
  </w:style>
  <w:style w:type="character" w:customStyle="1" w:styleId="PrrafodelistaCar">
    <w:name w:val="Párrafo de lista Car"/>
    <w:aliases w:val="Nivel 1 Car,Párrafo de lista1 Car"/>
    <w:link w:val="Prrafodelista"/>
    <w:uiPriority w:val="34"/>
    <w:locked/>
    <w:rsid w:val="003A58B4"/>
    <w:rPr>
      <w:rFonts w:ascii="Times New Roman" w:eastAsia="Times New Roman" w:hAnsi="Times New Roman" w:cs="Times New Roman"/>
      <w:lang w:val="es-ES"/>
    </w:rPr>
  </w:style>
  <w:style w:type="table" w:styleId="Tablaconcuadrcula">
    <w:name w:val="Table Grid"/>
    <w:basedOn w:val="Tablanormal"/>
    <w:uiPriority w:val="39"/>
    <w:rsid w:val="003A58B4"/>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13087">
      <w:bodyDiv w:val="1"/>
      <w:marLeft w:val="0"/>
      <w:marRight w:val="0"/>
      <w:marTop w:val="0"/>
      <w:marBottom w:val="0"/>
      <w:divBdr>
        <w:top w:val="none" w:sz="0" w:space="0" w:color="auto"/>
        <w:left w:val="none" w:sz="0" w:space="0" w:color="auto"/>
        <w:bottom w:val="none" w:sz="0" w:space="0" w:color="auto"/>
        <w:right w:val="none" w:sz="0" w:space="0" w:color="auto"/>
      </w:divBdr>
    </w:div>
    <w:div w:id="1061976150">
      <w:bodyDiv w:val="1"/>
      <w:marLeft w:val="0"/>
      <w:marRight w:val="0"/>
      <w:marTop w:val="0"/>
      <w:marBottom w:val="0"/>
      <w:divBdr>
        <w:top w:val="none" w:sz="0" w:space="0" w:color="auto"/>
        <w:left w:val="none" w:sz="0" w:space="0" w:color="auto"/>
        <w:bottom w:val="none" w:sz="0" w:space="0" w:color="auto"/>
        <w:right w:val="none" w:sz="0" w:space="0" w:color="auto"/>
      </w:divBdr>
    </w:div>
    <w:div w:id="1294140680">
      <w:bodyDiv w:val="1"/>
      <w:marLeft w:val="0"/>
      <w:marRight w:val="0"/>
      <w:marTop w:val="0"/>
      <w:marBottom w:val="0"/>
      <w:divBdr>
        <w:top w:val="none" w:sz="0" w:space="0" w:color="auto"/>
        <w:left w:val="none" w:sz="0" w:space="0" w:color="auto"/>
        <w:bottom w:val="none" w:sz="0" w:space="0" w:color="auto"/>
        <w:right w:val="none" w:sz="0" w:space="0" w:color="auto"/>
      </w:divBdr>
    </w:div>
    <w:div w:id="1309702814">
      <w:bodyDiv w:val="1"/>
      <w:marLeft w:val="0"/>
      <w:marRight w:val="0"/>
      <w:marTop w:val="0"/>
      <w:marBottom w:val="0"/>
      <w:divBdr>
        <w:top w:val="none" w:sz="0" w:space="0" w:color="auto"/>
        <w:left w:val="none" w:sz="0" w:space="0" w:color="auto"/>
        <w:bottom w:val="none" w:sz="0" w:space="0" w:color="auto"/>
        <w:right w:val="none" w:sz="0" w:space="0" w:color="auto"/>
      </w:divBdr>
    </w:div>
    <w:div w:id="147968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hyperlink" Target="mailto:pampamalbecchipichape@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ficacionesjudiciales@axacolpatria.c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1128</Words>
  <Characters>6430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dc:creator>
  <cp:keywords/>
  <dc:description/>
  <cp:lastModifiedBy>Gerardo</cp:lastModifiedBy>
  <cp:revision>8</cp:revision>
  <dcterms:created xsi:type="dcterms:W3CDTF">2024-01-03T14:49:00Z</dcterms:created>
  <dcterms:modified xsi:type="dcterms:W3CDTF">2024-01-03T15:54:00Z</dcterms:modified>
</cp:coreProperties>
</file>