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90210" w14:textId="7EC568F7" w:rsidR="00AA1F3A" w:rsidRPr="0035145F" w:rsidRDefault="004341A8" w:rsidP="00EC3B75">
      <w:pPr>
        <w:spacing w:after="0" w:line="276" w:lineRule="auto"/>
        <w:jc w:val="both"/>
        <w:rPr>
          <w:rFonts w:ascii="Aptos" w:eastAsia="Times New Roman" w:hAnsi="Aptos" w:cs="Open Sans"/>
          <w:kern w:val="0"/>
          <w:sz w:val="22"/>
          <w:szCs w:val="22"/>
          <w:lang w:eastAsia="es-CO"/>
          <w14:ligatures w14:val="none"/>
        </w:rPr>
      </w:pPr>
      <w:r>
        <w:rPr>
          <w:rFonts w:ascii="Aptos" w:eastAsia="Times New Roman" w:hAnsi="Aptos" w:cs="Open Sans"/>
          <w:kern w:val="0"/>
          <w:sz w:val="22"/>
          <w:szCs w:val="22"/>
          <w:lang w:eastAsia="es-CO"/>
          <w14:ligatures w14:val="none"/>
        </w:rPr>
        <w:t>R</w:t>
      </w:r>
      <w:r w:rsidR="00AA1F3A" w:rsidRPr="00AA1F3A">
        <w:rPr>
          <w:rFonts w:ascii="Aptos" w:eastAsia="Times New Roman" w:hAnsi="Aptos" w:cs="Open Sans"/>
          <w:kern w:val="0"/>
          <w:sz w:val="22"/>
          <w:szCs w:val="22"/>
          <w:lang w:eastAsia="es-CO"/>
          <w14:ligatures w14:val="none"/>
        </w:rPr>
        <w:t xml:space="preserve">adicado interno </w:t>
      </w:r>
      <w:r w:rsidR="00AA1F3A" w:rsidRPr="00AA1F3A">
        <w:rPr>
          <w:rFonts w:ascii="Aptos" w:eastAsia="Times New Roman" w:hAnsi="Aptos" w:cs="Open Sans"/>
          <w:b/>
          <w:bCs/>
          <w:kern w:val="0"/>
          <w:sz w:val="22"/>
          <w:szCs w:val="22"/>
          <w:lang w:eastAsia="es-CO"/>
          <w14:ligatures w14:val="none"/>
        </w:rPr>
        <w:t>ARM47222</w:t>
      </w:r>
      <w:r w:rsidR="00AA1F3A" w:rsidRPr="008059B3">
        <w:rPr>
          <w:rFonts w:ascii="Aptos" w:eastAsia="Times New Roman" w:hAnsi="Aptos" w:cs="Open Sans"/>
          <w:b/>
          <w:bCs/>
          <w:kern w:val="0"/>
          <w:sz w:val="22"/>
          <w:szCs w:val="22"/>
          <w:lang w:eastAsia="es-CO"/>
          <w14:ligatures w14:val="none"/>
        </w:rPr>
        <w:t>:</w:t>
      </w:r>
    </w:p>
    <w:p w14:paraId="4E981358" w14:textId="77777777" w:rsidR="00AA1F3A" w:rsidRPr="0035145F" w:rsidRDefault="00AA1F3A" w:rsidP="00EC3B75">
      <w:pPr>
        <w:spacing w:after="0" w:line="276" w:lineRule="auto"/>
        <w:jc w:val="both"/>
        <w:rPr>
          <w:rFonts w:ascii="Aptos" w:eastAsia="Times New Roman" w:hAnsi="Aptos" w:cs="Open Sans"/>
          <w:kern w:val="0"/>
          <w:sz w:val="22"/>
          <w:szCs w:val="22"/>
          <w:lang w:eastAsia="es-CO"/>
          <w14:ligatures w14:val="none"/>
        </w:rPr>
      </w:pPr>
    </w:p>
    <w:p w14:paraId="7FC75113" w14:textId="64C8A389" w:rsidR="00AA1F3A" w:rsidRPr="00AA1F3A" w:rsidRDefault="007215D2" w:rsidP="00EC3B75">
      <w:pPr>
        <w:spacing w:after="0" w:line="276" w:lineRule="auto"/>
        <w:jc w:val="both"/>
        <w:rPr>
          <w:rFonts w:ascii="Aptos" w:eastAsia="Times New Roman" w:hAnsi="Aptos" w:cs="Open Sans"/>
          <w:kern w:val="0"/>
          <w:sz w:val="22"/>
          <w:szCs w:val="22"/>
          <w:lang w:eastAsia="es-CO"/>
          <w14:ligatures w14:val="none"/>
        </w:rPr>
      </w:pPr>
      <w:r w:rsidRPr="0035145F">
        <w:rPr>
          <w:rFonts w:ascii="Aptos" w:eastAsia="Times New Roman" w:hAnsi="Aptos" w:cs="Open Sans"/>
          <w:kern w:val="0"/>
          <w:sz w:val="22"/>
          <w:szCs w:val="22"/>
          <w:lang w:eastAsia="es-CO"/>
          <w14:ligatures w14:val="none"/>
        </w:rPr>
        <w:t>Este caso</w:t>
      </w:r>
      <w:r w:rsidR="00AA1F3A" w:rsidRPr="00AA1F3A">
        <w:rPr>
          <w:rFonts w:ascii="Aptos" w:eastAsia="Times New Roman" w:hAnsi="Aptos" w:cs="Open Sans"/>
          <w:kern w:val="0"/>
          <w:sz w:val="22"/>
          <w:szCs w:val="22"/>
          <w:lang w:eastAsia="es-CO"/>
          <w14:ligatures w14:val="none"/>
        </w:rPr>
        <w:t xml:space="preserve"> cuenta con sentencia de primera instancia favorable, en la que el juez de instancia de manera oficiosa declaró la nulidad absoluta del contrato interadministrativo por existir objeto ilícito, privándolo </w:t>
      </w:r>
      <w:r w:rsidR="00C22579" w:rsidRPr="0035145F">
        <w:rPr>
          <w:rFonts w:ascii="Aptos" w:eastAsia="Times New Roman" w:hAnsi="Aptos" w:cs="Open Sans"/>
          <w:kern w:val="0"/>
          <w:sz w:val="22"/>
          <w:szCs w:val="22"/>
          <w:lang w:eastAsia="es-CO"/>
          <w14:ligatures w14:val="none"/>
        </w:rPr>
        <w:t>así</w:t>
      </w:r>
      <w:r w:rsidR="00AA1F3A" w:rsidRPr="00AA1F3A">
        <w:rPr>
          <w:rFonts w:ascii="Aptos" w:eastAsia="Times New Roman" w:hAnsi="Aptos" w:cs="Open Sans"/>
          <w:kern w:val="0"/>
          <w:sz w:val="22"/>
          <w:szCs w:val="22"/>
          <w:lang w:eastAsia="es-CO"/>
          <w14:ligatures w14:val="none"/>
        </w:rPr>
        <w:t xml:space="preserve"> de cualquier efecto jurídico y desapareciendo por tanto el objeto del contrato de seguro contenido en la póliza 300-47-994000007584</w:t>
      </w:r>
      <w:r w:rsidRPr="0035145F">
        <w:rPr>
          <w:rFonts w:ascii="Aptos" w:eastAsia="Times New Roman" w:hAnsi="Aptos" w:cs="Open Sans"/>
          <w:kern w:val="0"/>
          <w:sz w:val="22"/>
          <w:szCs w:val="22"/>
          <w:lang w:eastAsia="es-CO"/>
          <w14:ligatures w14:val="none"/>
        </w:rPr>
        <w:t>.</w:t>
      </w:r>
    </w:p>
    <w:p w14:paraId="13DB913E" w14:textId="35532740" w:rsidR="00E44432" w:rsidRPr="0035145F" w:rsidRDefault="00E44432" w:rsidP="00EC3B75">
      <w:pPr>
        <w:spacing w:line="276" w:lineRule="auto"/>
        <w:jc w:val="both"/>
        <w:rPr>
          <w:rFonts w:ascii="Aptos" w:hAnsi="Aptos" w:cs="Open Sans"/>
          <w:sz w:val="22"/>
          <w:szCs w:val="22"/>
        </w:rPr>
      </w:pPr>
    </w:p>
    <w:p w14:paraId="52158AA1" w14:textId="372737F9" w:rsidR="00AA1F3A" w:rsidRPr="0035145F" w:rsidRDefault="00AA1F3A" w:rsidP="00EC3B75">
      <w:pPr>
        <w:spacing w:line="276" w:lineRule="auto"/>
        <w:jc w:val="both"/>
        <w:rPr>
          <w:rFonts w:ascii="Aptos" w:hAnsi="Aptos" w:cs="Open Sans"/>
          <w:sz w:val="22"/>
          <w:szCs w:val="22"/>
        </w:rPr>
      </w:pPr>
      <w:r w:rsidRPr="0035145F">
        <w:rPr>
          <w:rFonts w:ascii="Aptos" w:hAnsi="Aptos" w:cs="Open Sans"/>
          <w:sz w:val="22"/>
          <w:szCs w:val="22"/>
        </w:rPr>
        <w:t>En sentencia de primera instancia el juez encontró configurada la nulidad absoluta del contrato interadministrativo No. 008 de 2015 por existir objeto ilícito</w:t>
      </w:r>
      <w:r w:rsidR="001E242C" w:rsidRPr="0035145F">
        <w:rPr>
          <w:rFonts w:ascii="Aptos" w:hAnsi="Aptos" w:cs="Open Sans"/>
          <w:sz w:val="22"/>
          <w:szCs w:val="22"/>
        </w:rPr>
        <w:t xml:space="preserve">, teniendo en cuenta </w:t>
      </w:r>
      <w:r w:rsidR="007215D2" w:rsidRPr="0035145F">
        <w:rPr>
          <w:rFonts w:ascii="Aptos" w:hAnsi="Aptos" w:cs="Open Sans"/>
          <w:sz w:val="22"/>
          <w:szCs w:val="22"/>
        </w:rPr>
        <w:t>los siguientes aspectos</w:t>
      </w:r>
      <w:r w:rsidRPr="0035145F">
        <w:rPr>
          <w:rFonts w:ascii="Aptos" w:hAnsi="Aptos" w:cs="Open Sans"/>
          <w:sz w:val="22"/>
          <w:szCs w:val="22"/>
        </w:rPr>
        <w:t>:</w:t>
      </w:r>
    </w:p>
    <w:p w14:paraId="0897270C" w14:textId="29FE9933" w:rsidR="001E242C" w:rsidRPr="0035145F" w:rsidRDefault="001E242C" w:rsidP="00EC3B75">
      <w:pPr>
        <w:spacing w:line="276" w:lineRule="auto"/>
        <w:jc w:val="both"/>
        <w:rPr>
          <w:rFonts w:ascii="Aptos" w:hAnsi="Aptos" w:cs="Open Sans"/>
          <w:sz w:val="22"/>
          <w:szCs w:val="22"/>
        </w:rPr>
      </w:pPr>
      <w:r w:rsidRPr="0035145F">
        <w:rPr>
          <w:rFonts w:ascii="Aptos" w:hAnsi="Aptos" w:cs="Open Sans"/>
          <w:b/>
          <w:bCs/>
          <w:sz w:val="22"/>
          <w:szCs w:val="22"/>
        </w:rPr>
        <w:t>i)</w:t>
      </w:r>
      <w:r w:rsidR="007F782E" w:rsidRPr="0035145F">
        <w:rPr>
          <w:rFonts w:ascii="Aptos" w:hAnsi="Aptos" w:cs="Open Sans"/>
          <w:b/>
          <w:bCs/>
          <w:sz w:val="22"/>
          <w:szCs w:val="22"/>
        </w:rPr>
        <w:t xml:space="preserve"> </w:t>
      </w:r>
      <w:r w:rsidR="002B2765" w:rsidRPr="0035145F">
        <w:rPr>
          <w:rFonts w:ascii="Aptos" w:hAnsi="Aptos" w:cs="Open Sans"/>
          <w:b/>
          <w:bCs/>
          <w:i/>
          <w:iCs/>
          <w:sz w:val="22"/>
          <w:szCs w:val="22"/>
        </w:rPr>
        <w:t>“</w:t>
      </w:r>
      <w:r w:rsidRPr="0035145F">
        <w:rPr>
          <w:rFonts w:ascii="Aptos" w:hAnsi="Aptos" w:cs="Open Sans"/>
          <w:b/>
          <w:bCs/>
          <w:i/>
          <w:iCs/>
          <w:sz w:val="22"/>
          <w:szCs w:val="22"/>
        </w:rPr>
        <w:t>La EDUA no podía obligarse válidamente a cumplir con el objeto contractual consistente en la construcción del centro cultural y turístico La Estación Fase 1, toda vez que no contaba con la idoneidad técnica ni la experiencia operativa y financiera requerida para el respectivo negocio</w:t>
      </w:r>
      <w:r w:rsidR="00B638C4" w:rsidRPr="0035145F">
        <w:rPr>
          <w:rFonts w:ascii="Aptos" w:hAnsi="Aptos" w:cs="Open Sans"/>
          <w:b/>
          <w:bCs/>
          <w:i/>
          <w:iCs/>
          <w:sz w:val="22"/>
          <w:szCs w:val="22"/>
        </w:rPr>
        <w:t>”</w:t>
      </w:r>
      <w:r w:rsidR="00EF5F50" w:rsidRPr="0035145F">
        <w:rPr>
          <w:rFonts w:ascii="Aptos" w:hAnsi="Aptos" w:cs="Open Sans"/>
          <w:b/>
          <w:bCs/>
          <w:i/>
          <w:iCs/>
          <w:sz w:val="22"/>
          <w:szCs w:val="22"/>
        </w:rPr>
        <w:t>.</w:t>
      </w:r>
      <w:r w:rsidRPr="0035145F">
        <w:rPr>
          <w:rFonts w:ascii="Aptos" w:hAnsi="Aptos" w:cs="Open Sans"/>
          <w:sz w:val="22"/>
          <w:szCs w:val="22"/>
        </w:rPr>
        <w:t xml:space="preserve"> </w:t>
      </w:r>
      <w:r w:rsidR="00C50698" w:rsidRPr="0035145F">
        <w:rPr>
          <w:rFonts w:ascii="Aptos" w:hAnsi="Aptos" w:cs="Open Sans"/>
          <w:sz w:val="22"/>
          <w:szCs w:val="22"/>
        </w:rPr>
        <w:t>Q</w:t>
      </w:r>
      <w:r w:rsidRPr="0035145F">
        <w:rPr>
          <w:rFonts w:ascii="Aptos" w:hAnsi="Aptos" w:cs="Open Sans"/>
          <w:sz w:val="22"/>
          <w:szCs w:val="22"/>
        </w:rPr>
        <w:t>uedó acreditado que</w:t>
      </w:r>
      <w:r w:rsidR="00C50698" w:rsidRPr="0035145F">
        <w:rPr>
          <w:rFonts w:ascii="Aptos" w:hAnsi="Aptos" w:cs="Open Sans"/>
          <w:sz w:val="22"/>
          <w:szCs w:val="22"/>
        </w:rPr>
        <w:t xml:space="preserve"> la entidad ejecutora (EDUA)</w:t>
      </w:r>
      <w:r w:rsidRPr="0035145F">
        <w:rPr>
          <w:rFonts w:ascii="Aptos" w:hAnsi="Aptos" w:cs="Open Sans"/>
          <w:sz w:val="22"/>
          <w:szCs w:val="22"/>
        </w:rPr>
        <w:t xml:space="preserve"> no contaba con la capacidad técnica y operativa para ejecutar el objeto contractual consistente en la construcción del centro cultural y turístico La</w:t>
      </w:r>
      <w:r w:rsidRPr="0035145F">
        <w:rPr>
          <w:rFonts w:ascii="Aptos" w:hAnsi="Aptos"/>
          <w:sz w:val="22"/>
          <w:szCs w:val="22"/>
        </w:rPr>
        <w:t xml:space="preserve"> </w:t>
      </w:r>
      <w:r w:rsidRPr="0035145F">
        <w:rPr>
          <w:rFonts w:ascii="Aptos" w:hAnsi="Aptos" w:cs="Open Sans"/>
          <w:sz w:val="22"/>
          <w:szCs w:val="22"/>
        </w:rPr>
        <w:t xml:space="preserve">Estación Fase 1, pues </w:t>
      </w:r>
      <w:r w:rsidRPr="0035145F">
        <w:rPr>
          <w:rFonts w:ascii="Aptos" w:hAnsi="Aptos" w:cs="Open Sans"/>
          <w:sz w:val="22"/>
          <w:szCs w:val="22"/>
          <w:u w:val="single"/>
        </w:rPr>
        <w:t>todas y cada una de las actividades fueron subcontratadas desde el inicio de su ejecución.</w:t>
      </w:r>
    </w:p>
    <w:p w14:paraId="17AC7118" w14:textId="4E7200F7" w:rsidR="001E242C" w:rsidRPr="0035145F" w:rsidRDefault="001E242C" w:rsidP="00EC3B75">
      <w:pPr>
        <w:spacing w:line="276" w:lineRule="auto"/>
        <w:jc w:val="both"/>
        <w:rPr>
          <w:rFonts w:ascii="Aptos" w:hAnsi="Aptos" w:cs="Open Sans"/>
          <w:sz w:val="22"/>
          <w:szCs w:val="22"/>
        </w:rPr>
      </w:pPr>
      <w:r w:rsidRPr="0035145F">
        <w:rPr>
          <w:rFonts w:ascii="Aptos" w:hAnsi="Aptos" w:cs="Open Sans"/>
          <w:sz w:val="22"/>
          <w:szCs w:val="22"/>
        </w:rPr>
        <w:t xml:space="preserve">Se encontró que la EDUA para ejecutar el objeto contractual celebró varios contratos de obra </w:t>
      </w:r>
      <w:r w:rsidR="002C6070" w:rsidRPr="0035145F">
        <w:rPr>
          <w:rFonts w:ascii="Aptos" w:hAnsi="Aptos" w:cs="Open Sans"/>
          <w:sz w:val="22"/>
          <w:szCs w:val="22"/>
        </w:rPr>
        <w:t>con particulares</w:t>
      </w:r>
      <w:r w:rsidR="00D13165" w:rsidRPr="0035145F">
        <w:rPr>
          <w:rFonts w:ascii="Aptos" w:hAnsi="Aptos" w:cs="Open Sans"/>
          <w:sz w:val="22"/>
          <w:szCs w:val="22"/>
        </w:rPr>
        <w:t xml:space="preserve"> para que ejecutaran todas las actividades, </w:t>
      </w:r>
      <w:r w:rsidR="00044FE2" w:rsidRPr="0035145F">
        <w:rPr>
          <w:rFonts w:ascii="Aptos" w:hAnsi="Aptos" w:cs="Open Sans"/>
          <w:sz w:val="22"/>
          <w:szCs w:val="22"/>
        </w:rPr>
        <w:t xml:space="preserve">lo que denota que absolutamente todas las actividades fueron subcontratadas, desnaturalizando el contrato interadministrativo, </w:t>
      </w:r>
      <w:r w:rsidR="00B60D20" w:rsidRPr="0035145F">
        <w:rPr>
          <w:rFonts w:ascii="Aptos" w:hAnsi="Aptos" w:cs="Open Sans"/>
          <w:sz w:val="22"/>
          <w:szCs w:val="22"/>
        </w:rPr>
        <w:t xml:space="preserve">dejando en evidencia </w:t>
      </w:r>
      <w:r w:rsidR="00044FE2" w:rsidRPr="0035145F">
        <w:rPr>
          <w:rFonts w:ascii="Aptos" w:hAnsi="Aptos" w:cs="Open Sans"/>
          <w:sz w:val="22"/>
          <w:szCs w:val="22"/>
        </w:rPr>
        <w:t>que la EDUA no contaba con la idoneidad técnica, ni la experiencia operativa y financiera requerida para el respectivo negocio.</w:t>
      </w:r>
    </w:p>
    <w:p w14:paraId="0C9652B1" w14:textId="77777777" w:rsidR="009F45B7" w:rsidRPr="0035145F" w:rsidRDefault="001E242C" w:rsidP="00EC3B75">
      <w:pPr>
        <w:spacing w:line="276" w:lineRule="auto"/>
        <w:jc w:val="both"/>
        <w:rPr>
          <w:rFonts w:ascii="Aptos" w:hAnsi="Aptos" w:cs="Open Sans"/>
          <w:b/>
          <w:bCs/>
          <w:sz w:val="22"/>
          <w:szCs w:val="22"/>
        </w:rPr>
      </w:pPr>
      <w:r w:rsidRPr="0035145F">
        <w:rPr>
          <w:rFonts w:ascii="Aptos" w:hAnsi="Aptos" w:cs="Open Sans"/>
          <w:b/>
          <w:bCs/>
          <w:sz w:val="22"/>
          <w:szCs w:val="22"/>
        </w:rPr>
        <w:t xml:space="preserve">Pruebas que se tuvieron en cuenta para sustentar el argumento que antecede: </w:t>
      </w:r>
    </w:p>
    <w:p w14:paraId="547F3C1C" w14:textId="5E99C2D3" w:rsidR="001E242C" w:rsidRPr="0035145F" w:rsidRDefault="009F45B7" w:rsidP="00EC3B75">
      <w:pPr>
        <w:pStyle w:val="Prrafodelista"/>
        <w:numPr>
          <w:ilvl w:val="0"/>
          <w:numId w:val="3"/>
        </w:numPr>
        <w:spacing w:line="276" w:lineRule="auto"/>
        <w:ind w:left="360"/>
        <w:jc w:val="both"/>
        <w:rPr>
          <w:rFonts w:ascii="Aptos" w:hAnsi="Aptos" w:cs="Open Sans"/>
          <w:b/>
          <w:bCs/>
          <w:sz w:val="22"/>
          <w:szCs w:val="22"/>
        </w:rPr>
      </w:pPr>
      <w:r w:rsidRPr="0035145F">
        <w:rPr>
          <w:rFonts w:ascii="Aptos" w:hAnsi="Aptos" w:cs="Open Sans"/>
          <w:sz w:val="22"/>
          <w:szCs w:val="22"/>
        </w:rPr>
        <w:t>I</w:t>
      </w:r>
      <w:r w:rsidR="001E242C" w:rsidRPr="0035145F">
        <w:rPr>
          <w:rFonts w:ascii="Aptos" w:hAnsi="Aptos" w:cs="Open Sans"/>
          <w:sz w:val="22"/>
          <w:szCs w:val="22"/>
        </w:rPr>
        <w:t xml:space="preserve">nformes presentados por la EDUA sobre el cumplimiento de las obligaciones del </w:t>
      </w:r>
      <w:r w:rsidR="00B60D20" w:rsidRPr="0035145F">
        <w:rPr>
          <w:rFonts w:ascii="Aptos" w:hAnsi="Aptos" w:cs="Open Sans"/>
          <w:sz w:val="22"/>
          <w:szCs w:val="22"/>
        </w:rPr>
        <w:t>contrato</w:t>
      </w:r>
      <w:r w:rsidRPr="0035145F">
        <w:rPr>
          <w:rFonts w:ascii="Aptos" w:hAnsi="Aptos" w:cs="Open Sans"/>
          <w:sz w:val="22"/>
          <w:szCs w:val="22"/>
        </w:rPr>
        <w:t xml:space="preserve">, los cuales </w:t>
      </w:r>
      <w:r w:rsidR="001E242C" w:rsidRPr="0035145F">
        <w:rPr>
          <w:rFonts w:ascii="Aptos" w:hAnsi="Aptos" w:cs="Open Sans"/>
          <w:sz w:val="22"/>
          <w:szCs w:val="22"/>
        </w:rPr>
        <w:t>hacían referencia a los subcontratos que celebró con particulares, brillando por su ausencia el reporte de actividades realizado directamente por la entidad contratista.</w:t>
      </w:r>
    </w:p>
    <w:p w14:paraId="6B9572DC" w14:textId="77777777" w:rsidR="00662A1E" w:rsidRPr="0035145F" w:rsidRDefault="00662A1E" w:rsidP="00EC3B75">
      <w:pPr>
        <w:spacing w:line="276" w:lineRule="auto"/>
        <w:jc w:val="both"/>
        <w:rPr>
          <w:rFonts w:ascii="Aptos" w:hAnsi="Aptos" w:cs="Open Sans"/>
          <w:sz w:val="22"/>
          <w:szCs w:val="22"/>
        </w:rPr>
      </w:pPr>
    </w:p>
    <w:p w14:paraId="5F09FC57" w14:textId="7FFF3018" w:rsidR="00F11CD1" w:rsidRPr="0035145F" w:rsidRDefault="00EF5F50" w:rsidP="00EC3B75">
      <w:pPr>
        <w:spacing w:line="276" w:lineRule="auto"/>
        <w:jc w:val="both"/>
        <w:rPr>
          <w:rFonts w:ascii="Aptos" w:hAnsi="Aptos"/>
          <w:sz w:val="22"/>
          <w:szCs w:val="22"/>
        </w:rPr>
      </w:pPr>
      <w:proofErr w:type="spellStart"/>
      <w:r w:rsidRPr="0035145F">
        <w:rPr>
          <w:rFonts w:ascii="Aptos" w:hAnsi="Aptos" w:cs="Open Sans"/>
          <w:b/>
          <w:bCs/>
          <w:sz w:val="22"/>
          <w:szCs w:val="22"/>
        </w:rPr>
        <w:t>ii</w:t>
      </w:r>
      <w:proofErr w:type="spellEnd"/>
      <w:r w:rsidRPr="0035145F">
        <w:rPr>
          <w:rFonts w:ascii="Aptos" w:hAnsi="Aptos" w:cs="Open Sans"/>
          <w:b/>
          <w:bCs/>
          <w:sz w:val="22"/>
          <w:szCs w:val="22"/>
        </w:rPr>
        <w:t>)</w:t>
      </w:r>
      <w:r w:rsidRPr="0035145F">
        <w:rPr>
          <w:rFonts w:ascii="Aptos" w:hAnsi="Aptos"/>
          <w:b/>
          <w:bCs/>
          <w:i/>
          <w:iCs/>
          <w:sz w:val="22"/>
          <w:szCs w:val="22"/>
        </w:rPr>
        <w:t xml:space="preserve"> </w:t>
      </w:r>
      <w:r w:rsidR="002B2765" w:rsidRPr="0035145F">
        <w:rPr>
          <w:rFonts w:ascii="Aptos" w:hAnsi="Aptos" w:cs="Open Sans"/>
          <w:b/>
          <w:bCs/>
          <w:i/>
          <w:iCs/>
          <w:sz w:val="22"/>
          <w:szCs w:val="22"/>
        </w:rPr>
        <w:t>“</w:t>
      </w:r>
      <w:r w:rsidRPr="0035145F">
        <w:rPr>
          <w:rFonts w:ascii="Aptos" w:hAnsi="Aptos" w:cs="Open Sans"/>
          <w:b/>
          <w:bCs/>
          <w:i/>
          <w:iCs/>
          <w:sz w:val="22"/>
          <w:szCs w:val="22"/>
        </w:rPr>
        <w:t>Se contrató la intervención de un bien inmueble que fue declarado bien de interés cultural del ámbito nacional, sin contar con la autorización previa del Ministerio de Cultura</w:t>
      </w:r>
      <w:r w:rsidR="00B638C4" w:rsidRPr="0035145F">
        <w:rPr>
          <w:rFonts w:ascii="Aptos" w:hAnsi="Aptos" w:cs="Open Sans"/>
          <w:b/>
          <w:bCs/>
          <w:i/>
          <w:iCs/>
          <w:sz w:val="22"/>
          <w:szCs w:val="22"/>
        </w:rPr>
        <w:t>”</w:t>
      </w:r>
      <w:r w:rsidRPr="0035145F">
        <w:rPr>
          <w:rFonts w:ascii="Aptos" w:hAnsi="Aptos" w:cs="Open Sans"/>
          <w:i/>
          <w:iCs/>
          <w:sz w:val="22"/>
          <w:szCs w:val="22"/>
        </w:rPr>
        <w:t>.</w:t>
      </w:r>
      <w:r w:rsidR="00606A22" w:rsidRPr="0035145F">
        <w:rPr>
          <w:rFonts w:ascii="Aptos" w:hAnsi="Aptos"/>
          <w:sz w:val="22"/>
          <w:szCs w:val="22"/>
        </w:rPr>
        <w:t xml:space="preserve"> T</w:t>
      </w:r>
      <w:r w:rsidR="00606A22" w:rsidRPr="0035145F">
        <w:rPr>
          <w:rFonts w:ascii="Aptos" w:hAnsi="Aptos" w:cs="Open Sans"/>
          <w:sz w:val="22"/>
          <w:szCs w:val="22"/>
        </w:rPr>
        <w:t>ambién se acreditó que el bien inmueble que se intervino para</w:t>
      </w:r>
      <w:r w:rsidR="0066482D" w:rsidRPr="0035145F">
        <w:rPr>
          <w:rFonts w:ascii="Aptos" w:hAnsi="Aptos"/>
          <w:sz w:val="22"/>
          <w:szCs w:val="22"/>
        </w:rPr>
        <w:t xml:space="preserve"> </w:t>
      </w:r>
      <w:r w:rsidR="0066482D" w:rsidRPr="0035145F">
        <w:rPr>
          <w:rFonts w:ascii="Aptos" w:hAnsi="Aptos" w:cs="Open Sans"/>
          <w:sz w:val="22"/>
          <w:szCs w:val="22"/>
        </w:rPr>
        <w:t>ejecutar la construcción del centro cultural y turístico La Estación Fase 1, fue declarado bien de interés cultural del ámbito nacional (BICNAL) mediante Decreto 746 de 24 de abril de 1996 y si bien contaba con un Plan Especial de Manejo y Protección (PEMP) aprobado a través de Resolución No. 3277 de 2014, lo cierto es que el proyecto no contaba con la autorización del Ministerio de Cultura, por lo tanto, no podía ser intervenido.</w:t>
      </w:r>
      <w:r w:rsidR="00E61531" w:rsidRPr="0035145F">
        <w:rPr>
          <w:rFonts w:ascii="Aptos" w:hAnsi="Aptos"/>
          <w:sz w:val="22"/>
          <w:szCs w:val="22"/>
        </w:rPr>
        <w:t xml:space="preserve"> </w:t>
      </w:r>
    </w:p>
    <w:p w14:paraId="1CF9799B" w14:textId="2C6FFB57" w:rsidR="00D73E49" w:rsidRPr="0035145F" w:rsidRDefault="00E61531" w:rsidP="00EC3B75">
      <w:pPr>
        <w:spacing w:line="276" w:lineRule="auto"/>
        <w:jc w:val="both"/>
        <w:rPr>
          <w:rFonts w:ascii="Aptos" w:hAnsi="Aptos" w:cs="Open Sans"/>
          <w:sz w:val="22"/>
          <w:szCs w:val="22"/>
        </w:rPr>
      </w:pPr>
      <w:r w:rsidRPr="0035145F">
        <w:rPr>
          <w:rFonts w:ascii="Aptos" w:hAnsi="Aptos" w:cs="Open Sans"/>
          <w:sz w:val="22"/>
          <w:szCs w:val="22"/>
        </w:rPr>
        <w:t>Por consiguiente, el despacho consideró que el objeto contractual era ilícito, ya que no existía la autorización previa del Ministerio de Cultura para intervenir el bien inmueble que fue declarado bien de interés cultural del ámbito nacional.</w:t>
      </w:r>
    </w:p>
    <w:p w14:paraId="7FC18C20" w14:textId="77777777" w:rsidR="001E242C" w:rsidRPr="0035145F" w:rsidRDefault="001E242C" w:rsidP="00EC3B75">
      <w:pPr>
        <w:spacing w:line="276" w:lineRule="auto"/>
        <w:jc w:val="both"/>
        <w:rPr>
          <w:rFonts w:ascii="Aptos" w:hAnsi="Aptos" w:cs="Open Sans"/>
          <w:sz w:val="22"/>
          <w:szCs w:val="22"/>
        </w:rPr>
      </w:pPr>
    </w:p>
    <w:p w14:paraId="217F5149" w14:textId="4ECE3C03" w:rsidR="007B5011" w:rsidRPr="0035145F" w:rsidRDefault="007B5011" w:rsidP="00EC3B75">
      <w:pPr>
        <w:spacing w:line="276" w:lineRule="auto"/>
        <w:jc w:val="both"/>
        <w:rPr>
          <w:rFonts w:ascii="Aptos" w:hAnsi="Aptos" w:cs="Open Sans"/>
          <w:b/>
          <w:bCs/>
          <w:sz w:val="22"/>
          <w:szCs w:val="22"/>
        </w:rPr>
      </w:pPr>
      <w:r w:rsidRPr="0035145F">
        <w:rPr>
          <w:rFonts w:ascii="Aptos" w:hAnsi="Aptos" w:cs="Open Sans"/>
          <w:b/>
          <w:bCs/>
          <w:sz w:val="22"/>
          <w:szCs w:val="22"/>
        </w:rPr>
        <w:t xml:space="preserve">Pruebas que se tuvieron en cuenta para sustentar el argumento que antecede: </w:t>
      </w:r>
    </w:p>
    <w:p w14:paraId="3F1BBFC0" w14:textId="77777777" w:rsidR="001B3D64" w:rsidRPr="0035145F" w:rsidRDefault="001B3D64" w:rsidP="00EC3B75">
      <w:pPr>
        <w:pStyle w:val="Prrafodelista"/>
        <w:numPr>
          <w:ilvl w:val="0"/>
          <w:numId w:val="3"/>
        </w:numPr>
        <w:spacing w:line="276" w:lineRule="auto"/>
        <w:ind w:left="360"/>
        <w:jc w:val="both"/>
        <w:rPr>
          <w:rFonts w:ascii="Aptos" w:hAnsi="Aptos" w:cs="Open Sans"/>
          <w:sz w:val="22"/>
          <w:szCs w:val="22"/>
        </w:rPr>
      </w:pPr>
      <w:r w:rsidRPr="0035145F">
        <w:rPr>
          <w:rFonts w:ascii="Aptos" w:hAnsi="Aptos" w:cs="Open Sans"/>
          <w:sz w:val="22"/>
          <w:szCs w:val="22"/>
        </w:rPr>
        <w:t>La suspensión del contrato interadministrativo</w:t>
      </w:r>
      <w:r w:rsidR="007B5011" w:rsidRPr="0035145F">
        <w:rPr>
          <w:rFonts w:ascii="Aptos" w:hAnsi="Aptos" w:cs="Open Sans"/>
          <w:sz w:val="22"/>
          <w:szCs w:val="22"/>
        </w:rPr>
        <w:t xml:space="preserve"> p</w:t>
      </w:r>
      <w:r w:rsidRPr="0035145F">
        <w:rPr>
          <w:rFonts w:ascii="Aptos" w:hAnsi="Aptos" w:cs="Open Sans"/>
          <w:sz w:val="22"/>
          <w:szCs w:val="22"/>
        </w:rPr>
        <w:t xml:space="preserve">ues </w:t>
      </w:r>
      <w:r w:rsidR="007B5011" w:rsidRPr="0035145F">
        <w:rPr>
          <w:rFonts w:ascii="Aptos" w:hAnsi="Aptos" w:cs="Open Sans"/>
          <w:sz w:val="22"/>
          <w:szCs w:val="22"/>
        </w:rPr>
        <w:t>estando en la etapa de ejecución se percataron de que no contaban con la autorización del Ministerio de Cultura</w:t>
      </w:r>
      <w:r w:rsidRPr="0035145F">
        <w:rPr>
          <w:rFonts w:ascii="Aptos" w:hAnsi="Aptos" w:cs="Open Sans"/>
          <w:sz w:val="22"/>
          <w:szCs w:val="22"/>
        </w:rPr>
        <w:t>.</w:t>
      </w:r>
    </w:p>
    <w:p w14:paraId="6A87E999" w14:textId="77777777" w:rsidR="00391F2B" w:rsidRPr="0035145F" w:rsidRDefault="00391F2B" w:rsidP="00EC3B75">
      <w:pPr>
        <w:pStyle w:val="Prrafodelista"/>
        <w:spacing w:line="276" w:lineRule="auto"/>
        <w:ind w:left="360"/>
        <w:jc w:val="both"/>
        <w:rPr>
          <w:rFonts w:ascii="Aptos" w:hAnsi="Aptos" w:cs="Open Sans"/>
          <w:sz w:val="22"/>
          <w:szCs w:val="22"/>
        </w:rPr>
      </w:pPr>
    </w:p>
    <w:p w14:paraId="59BAA963" w14:textId="3E26FA53" w:rsidR="007B5011" w:rsidRPr="0035145F" w:rsidRDefault="007B5011" w:rsidP="00EC3B75">
      <w:pPr>
        <w:pStyle w:val="Prrafodelista"/>
        <w:numPr>
          <w:ilvl w:val="0"/>
          <w:numId w:val="3"/>
        </w:numPr>
        <w:spacing w:line="276" w:lineRule="auto"/>
        <w:ind w:left="360"/>
        <w:jc w:val="both"/>
        <w:rPr>
          <w:rFonts w:ascii="Aptos" w:hAnsi="Aptos" w:cs="Open Sans"/>
          <w:sz w:val="22"/>
          <w:szCs w:val="22"/>
        </w:rPr>
      </w:pPr>
      <w:r w:rsidRPr="0035145F">
        <w:rPr>
          <w:rFonts w:ascii="Aptos" w:hAnsi="Aptos" w:cs="Open Sans"/>
          <w:sz w:val="22"/>
          <w:szCs w:val="22"/>
        </w:rPr>
        <w:t xml:space="preserve">Resolución No.1512 de 16 de mayo de 2018 a través de la cual </w:t>
      </w:r>
      <w:r w:rsidR="001B3D64" w:rsidRPr="0035145F">
        <w:rPr>
          <w:rFonts w:ascii="Aptos" w:hAnsi="Aptos" w:cs="Open Sans"/>
          <w:sz w:val="22"/>
          <w:szCs w:val="22"/>
        </w:rPr>
        <w:t xml:space="preserve">el Ministerio de Cultura </w:t>
      </w:r>
      <w:r w:rsidRPr="0035145F">
        <w:rPr>
          <w:rFonts w:ascii="Aptos" w:hAnsi="Aptos" w:cs="Open Sans"/>
          <w:sz w:val="22"/>
          <w:szCs w:val="22"/>
        </w:rPr>
        <w:t>sancionó al Municipio de Armenia por intervenir sin autorización el inmueble denominado Bodega Costado Sur de la Estación del Ferrocarril de Armenia, como parte de la ejecución del Contrato No. 08 de 2015.</w:t>
      </w:r>
    </w:p>
    <w:p w14:paraId="37552C4E" w14:textId="77777777" w:rsidR="009D13F0" w:rsidRPr="0035145F" w:rsidRDefault="009D13F0" w:rsidP="00EC3B75">
      <w:pPr>
        <w:spacing w:line="276" w:lineRule="auto"/>
        <w:jc w:val="both"/>
        <w:rPr>
          <w:rFonts w:ascii="Aptos" w:hAnsi="Aptos" w:cs="Open Sans"/>
          <w:sz w:val="22"/>
          <w:szCs w:val="22"/>
        </w:rPr>
      </w:pPr>
    </w:p>
    <w:p w14:paraId="3A190F97" w14:textId="4B9A4A7C" w:rsidR="0034687A" w:rsidRPr="0035145F" w:rsidRDefault="0034687A" w:rsidP="00EC3B75">
      <w:pPr>
        <w:spacing w:line="276" w:lineRule="auto"/>
        <w:jc w:val="both"/>
        <w:rPr>
          <w:rFonts w:ascii="Aptos" w:hAnsi="Aptos" w:cs="Open Sans"/>
          <w:b/>
          <w:bCs/>
          <w:sz w:val="22"/>
          <w:szCs w:val="22"/>
        </w:rPr>
      </w:pPr>
      <w:proofErr w:type="spellStart"/>
      <w:r w:rsidRPr="0035145F">
        <w:rPr>
          <w:rFonts w:ascii="Aptos" w:hAnsi="Aptos" w:cs="Open Sans"/>
          <w:b/>
          <w:bCs/>
          <w:sz w:val="22"/>
          <w:szCs w:val="22"/>
        </w:rPr>
        <w:t>iii</w:t>
      </w:r>
      <w:proofErr w:type="spellEnd"/>
      <w:r w:rsidRPr="0035145F">
        <w:rPr>
          <w:rFonts w:ascii="Aptos" w:hAnsi="Aptos" w:cs="Open Sans"/>
          <w:b/>
          <w:bCs/>
          <w:sz w:val="22"/>
          <w:szCs w:val="22"/>
        </w:rPr>
        <w:t>)</w:t>
      </w:r>
      <w:r w:rsidRPr="0035145F">
        <w:rPr>
          <w:rFonts w:ascii="Aptos" w:hAnsi="Aptos" w:cs="Open Sans"/>
          <w:b/>
          <w:bCs/>
          <w:i/>
          <w:iCs/>
          <w:sz w:val="22"/>
          <w:szCs w:val="22"/>
        </w:rPr>
        <w:t xml:space="preserve"> </w:t>
      </w:r>
      <w:r w:rsidR="002B2765" w:rsidRPr="0035145F">
        <w:rPr>
          <w:rFonts w:ascii="Aptos" w:hAnsi="Aptos" w:cs="Open Sans"/>
          <w:b/>
          <w:bCs/>
          <w:i/>
          <w:iCs/>
          <w:sz w:val="22"/>
          <w:szCs w:val="22"/>
        </w:rPr>
        <w:t>“</w:t>
      </w:r>
      <w:r w:rsidRPr="0035145F">
        <w:rPr>
          <w:rFonts w:ascii="Aptos" w:hAnsi="Aptos" w:cs="Open Sans"/>
          <w:b/>
          <w:bCs/>
          <w:i/>
          <w:iCs/>
          <w:sz w:val="22"/>
          <w:szCs w:val="22"/>
        </w:rPr>
        <w:t>Se contrató la intervención de un predio que no era propiedad de la entidad contratante, Municipio de Armenia, sino que pertenecía al Instituto Nacional de Vías y que demás se trataba de una vía para la prestación del servicio público de transporte férreo</w:t>
      </w:r>
      <w:r w:rsidR="00B638C4" w:rsidRPr="0035145F">
        <w:rPr>
          <w:rFonts w:ascii="Aptos" w:hAnsi="Aptos" w:cs="Open Sans"/>
          <w:b/>
          <w:bCs/>
          <w:i/>
          <w:iCs/>
          <w:sz w:val="22"/>
          <w:szCs w:val="22"/>
        </w:rPr>
        <w:t>”</w:t>
      </w:r>
      <w:r w:rsidRPr="0035145F">
        <w:rPr>
          <w:rFonts w:ascii="Aptos" w:hAnsi="Aptos" w:cs="Open Sans"/>
          <w:b/>
          <w:bCs/>
          <w:i/>
          <w:iCs/>
          <w:sz w:val="22"/>
          <w:szCs w:val="22"/>
        </w:rPr>
        <w:t>.</w:t>
      </w:r>
      <w:r w:rsidR="00A569BA" w:rsidRPr="0035145F">
        <w:rPr>
          <w:rFonts w:ascii="Aptos" w:hAnsi="Aptos"/>
          <w:sz w:val="22"/>
          <w:szCs w:val="22"/>
        </w:rPr>
        <w:t xml:space="preserve"> </w:t>
      </w:r>
      <w:r w:rsidR="00A569BA" w:rsidRPr="0035145F">
        <w:rPr>
          <w:rFonts w:ascii="Aptos" w:hAnsi="Aptos" w:cs="Open Sans"/>
          <w:sz w:val="22"/>
          <w:szCs w:val="22"/>
        </w:rPr>
        <w:t>Quedó demostrado además que los predios donde se adelantó la obra no todos eran propiedad del Municipio de Armenia, toda vez que se pudo establecer que en la ejecución del Contrato No. 08 de 2015 se intervino el predio identificado con matrícula inmobiliaria No. 280-118943 de propiedad del INVIAS que se trata de un corredor férreo, bien de uso público</w:t>
      </w:r>
      <w:r w:rsidR="00A569BA" w:rsidRPr="0035145F">
        <w:rPr>
          <w:rFonts w:ascii="Aptos" w:hAnsi="Aptos" w:cs="Open Sans"/>
          <w:b/>
          <w:bCs/>
          <w:sz w:val="22"/>
          <w:szCs w:val="22"/>
        </w:rPr>
        <w:t>.</w:t>
      </w:r>
    </w:p>
    <w:p w14:paraId="06EC0625" w14:textId="77777777" w:rsidR="00346CE0" w:rsidRPr="0035145F" w:rsidRDefault="00346CE0" w:rsidP="00EC3B75">
      <w:pPr>
        <w:spacing w:line="276" w:lineRule="auto"/>
        <w:jc w:val="both"/>
        <w:rPr>
          <w:rFonts w:ascii="Aptos" w:hAnsi="Aptos" w:cs="Open Sans"/>
          <w:sz w:val="22"/>
          <w:szCs w:val="22"/>
        </w:rPr>
      </w:pPr>
    </w:p>
    <w:p w14:paraId="0AAA0E8C" w14:textId="7E2DB053" w:rsidR="0034687A" w:rsidRPr="0035145F" w:rsidRDefault="00B155A6" w:rsidP="00EC3B75">
      <w:pPr>
        <w:spacing w:line="276" w:lineRule="auto"/>
        <w:jc w:val="both"/>
        <w:rPr>
          <w:rFonts w:ascii="Aptos" w:hAnsi="Aptos" w:cs="Open Sans"/>
          <w:sz w:val="22"/>
          <w:szCs w:val="22"/>
        </w:rPr>
      </w:pPr>
      <w:r w:rsidRPr="0035145F">
        <w:rPr>
          <w:rFonts w:ascii="Aptos" w:hAnsi="Aptos" w:cs="Open Sans"/>
          <w:sz w:val="22"/>
          <w:szCs w:val="22"/>
        </w:rPr>
        <w:t>Con base en los fundamentos expuestos,</w:t>
      </w:r>
      <w:r w:rsidR="00346CE0" w:rsidRPr="0035145F">
        <w:rPr>
          <w:rFonts w:ascii="Aptos" w:hAnsi="Aptos" w:cs="Open Sans"/>
          <w:sz w:val="22"/>
          <w:szCs w:val="22"/>
        </w:rPr>
        <w:t xml:space="preserve"> </w:t>
      </w:r>
      <w:r w:rsidR="00346CE0" w:rsidRPr="00AA1F3A">
        <w:rPr>
          <w:rFonts w:ascii="Aptos" w:hAnsi="Aptos" w:cs="Open Sans"/>
          <w:sz w:val="22"/>
          <w:szCs w:val="22"/>
        </w:rPr>
        <w:t xml:space="preserve">el juez de instancia declaró la nulidad absoluta del contrato interadministrativo por existir objeto ilícito, privándolo </w:t>
      </w:r>
      <w:r w:rsidR="00346CE0" w:rsidRPr="0035145F">
        <w:rPr>
          <w:rFonts w:ascii="Aptos" w:hAnsi="Aptos" w:cs="Open Sans"/>
          <w:sz w:val="22"/>
          <w:szCs w:val="22"/>
        </w:rPr>
        <w:t>así</w:t>
      </w:r>
      <w:r w:rsidR="00346CE0" w:rsidRPr="00AA1F3A">
        <w:rPr>
          <w:rFonts w:ascii="Aptos" w:hAnsi="Aptos" w:cs="Open Sans"/>
          <w:sz w:val="22"/>
          <w:szCs w:val="22"/>
        </w:rPr>
        <w:t xml:space="preserve"> de cualquier efecto jurídico y desapareciendo por tanto el objeto del contrato de seguro contenido en la póliza 300-47-994000007584</w:t>
      </w:r>
      <w:r w:rsidR="007C0B7B" w:rsidRPr="0035145F">
        <w:rPr>
          <w:rFonts w:ascii="Aptos" w:hAnsi="Aptos" w:cs="Open Sans"/>
          <w:sz w:val="22"/>
          <w:szCs w:val="22"/>
        </w:rPr>
        <w:t xml:space="preserve">. </w:t>
      </w:r>
      <w:r w:rsidR="006965C2" w:rsidRPr="0035145F">
        <w:rPr>
          <w:rFonts w:ascii="Aptos" w:hAnsi="Aptos" w:cs="Open Sans"/>
          <w:sz w:val="22"/>
          <w:szCs w:val="22"/>
        </w:rPr>
        <w:t xml:space="preserve">Esto por cuanto, </w:t>
      </w:r>
      <w:r w:rsidR="007C0B7B" w:rsidRPr="0035145F">
        <w:rPr>
          <w:rFonts w:ascii="Aptos" w:hAnsi="Aptos" w:cs="Open Sans"/>
          <w:sz w:val="22"/>
          <w:szCs w:val="22"/>
        </w:rPr>
        <w:t xml:space="preserve">la nulidad del contrato interadministrativo tiene incidencia en el objeto del contrato de seguro, </w:t>
      </w:r>
      <w:r w:rsidR="00160D8B" w:rsidRPr="0035145F">
        <w:rPr>
          <w:rFonts w:ascii="Aptos" w:hAnsi="Aptos" w:cs="Open Sans"/>
          <w:sz w:val="22"/>
          <w:szCs w:val="22"/>
        </w:rPr>
        <w:t>teniendo en cuenta que</w:t>
      </w:r>
      <w:r w:rsidR="007C0B7B" w:rsidRPr="0035145F">
        <w:rPr>
          <w:rFonts w:ascii="Aptos" w:hAnsi="Aptos" w:cs="Open Sans"/>
          <w:sz w:val="22"/>
          <w:szCs w:val="22"/>
        </w:rPr>
        <w:t xml:space="preserve"> desaparece los supuestos de</w:t>
      </w:r>
      <w:r w:rsidR="00160D8B" w:rsidRPr="0035145F">
        <w:rPr>
          <w:rFonts w:ascii="Aptos" w:hAnsi="Aptos" w:cs="Open Sans"/>
          <w:sz w:val="22"/>
          <w:szCs w:val="22"/>
        </w:rPr>
        <w:t>l</w:t>
      </w:r>
      <w:r w:rsidR="007C0B7B" w:rsidRPr="0035145F">
        <w:rPr>
          <w:rFonts w:ascii="Aptos" w:hAnsi="Aptos" w:cs="Open Sans"/>
          <w:sz w:val="22"/>
          <w:szCs w:val="22"/>
        </w:rPr>
        <w:t xml:space="preserve"> amparo</w:t>
      </w:r>
      <w:r w:rsidR="006965C2" w:rsidRPr="0035145F">
        <w:rPr>
          <w:rFonts w:ascii="Aptos" w:hAnsi="Aptos" w:cs="Open Sans"/>
          <w:sz w:val="22"/>
          <w:szCs w:val="22"/>
        </w:rPr>
        <w:t>.</w:t>
      </w:r>
    </w:p>
    <w:p w14:paraId="5238FD9B" w14:textId="77777777" w:rsidR="0034687A" w:rsidRPr="0035145F" w:rsidRDefault="0034687A" w:rsidP="00EC3B75">
      <w:pPr>
        <w:spacing w:line="276" w:lineRule="auto"/>
        <w:jc w:val="both"/>
        <w:rPr>
          <w:rFonts w:ascii="Aptos" w:hAnsi="Aptos" w:cs="Open Sans"/>
          <w:b/>
          <w:bCs/>
          <w:sz w:val="22"/>
          <w:szCs w:val="22"/>
        </w:rPr>
      </w:pPr>
    </w:p>
    <w:p w14:paraId="1C6144EB" w14:textId="518CD56C" w:rsidR="007F782E" w:rsidRPr="0035145F" w:rsidRDefault="007F782E" w:rsidP="00EC3B75">
      <w:pPr>
        <w:spacing w:line="276" w:lineRule="auto"/>
        <w:jc w:val="both"/>
        <w:rPr>
          <w:rFonts w:ascii="Aptos" w:hAnsi="Aptos" w:cs="Open Sans"/>
          <w:b/>
          <w:bCs/>
          <w:sz w:val="22"/>
          <w:szCs w:val="22"/>
        </w:rPr>
      </w:pPr>
      <w:r w:rsidRPr="0035145F">
        <w:rPr>
          <w:rFonts w:ascii="Aptos" w:hAnsi="Aptos" w:cs="Open Sans"/>
          <w:b/>
          <w:bCs/>
          <w:sz w:val="22"/>
          <w:szCs w:val="22"/>
        </w:rPr>
        <w:t xml:space="preserve">Frente al </w:t>
      </w:r>
      <w:r w:rsidRPr="008059B3">
        <w:rPr>
          <w:rFonts w:ascii="Aptos" w:hAnsi="Aptos" w:cs="Open Sans"/>
          <w:b/>
          <w:bCs/>
          <w:sz w:val="22"/>
          <w:szCs w:val="22"/>
          <w:u w:val="single"/>
        </w:rPr>
        <w:t>recurso de apelación</w:t>
      </w:r>
      <w:r w:rsidRPr="0035145F">
        <w:rPr>
          <w:rFonts w:ascii="Aptos" w:hAnsi="Aptos" w:cs="Open Sans"/>
          <w:b/>
          <w:bCs/>
          <w:sz w:val="22"/>
          <w:szCs w:val="22"/>
        </w:rPr>
        <w:t xml:space="preserve"> presentado por la parte actora: </w:t>
      </w:r>
    </w:p>
    <w:p w14:paraId="4EC04AB7" w14:textId="5C6C5A8C" w:rsidR="00AA1F3A" w:rsidRPr="0035145F" w:rsidRDefault="000D01EF" w:rsidP="00EC3B75">
      <w:pPr>
        <w:spacing w:line="276" w:lineRule="auto"/>
        <w:jc w:val="both"/>
        <w:rPr>
          <w:rFonts w:ascii="Aptos" w:hAnsi="Aptos" w:cs="Open Sans"/>
          <w:sz w:val="22"/>
          <w:szCs w:val="22"/>
        </w:rPr>
      </w:pPr>
      <w:r w:rsidRPr="0035145F">
        <w:rPr>
          <w:rFonts w:ascii="Aptos" w:hAnsi="Aptos" w:cs="Open Sans"/>
          <w:sz w:val="22"/>
          <w:szCs w:val="22"/>
        </w:rPr>
        <w:t xml:space="preserve">Ahora bien, se tienen que la anterior providencia fue apelada por el demandante Municipio de Armenia, teniendo en cuenta los siguientes reparos: </w:t>
      </w:r>
    </w:p>
    <w:p w14:paraId="18BB2473" w14:textId="282172E5" w:rsidR="009E5513" w:rsidRPr="005B7AF3" w:rsidRDefault="009A6698" w:rsidP="00EC3B75">
      <w:pPr>
        <w:pStyle w:val="Prrafodelista"/>
        <w:numPr>
          <w:ilvl w:val="0"/>
          <w:numId w:val="4"/>
        </w:numPr>
        <w:spacing w:line="276" w:lineRule="auto"/>
        <w:ind w:left="720"/>
        <w:jc w:val="both"/>
        <w:rPr>
          <w:rFonts w:ascii="Aptos" w:hAnsi="Aptos" w:cs="Open Sans"/>
          <w:sz w:val="22"/>
          <w:szCs w:val="22"/>
        </w:rPr>
      </w:pPr>
      <w:r w:rsidRPr="005B7AF3">
        <w:rPr>
          <w:rFonts w:ascii="Aptos" w:hAnsi="Aptos" w:cs="Open Sans"/>
          <w:sz w:val="22"/>
          <w:szCs w:val="22"/>
        </w:rPr>
        <w:t xml:space="preserve">El apelante manifiesta que </w:t>
      </w:r>
      <w:r w:rsidR="008E7129" w:rsidRPr="005B7AF3">
        <w:rPr>
          <w:rFonts w:ascii="Aptos" w:hAnsi="Aptos" w:cs="Open Sans"/>
          <w:sz w:val="22"/>
          <w:szCs w:val="22"/>
        </w:rPr>
        <w:t>“</w:t>
      </w:r>
      <w:r w:rsidR="00AF5D3F" w:rsidRPr="005B7AF3">
        <w:rPr>
          <w:rFonts w:ascii="Aptos" w:hAnsi="Aptos" w:cs="Open Sans"/>
          <w:i/>
          <w:iCs/>
          <w:sz w:val="22"/>
          <w:szCs w:val="22"/>
        </w:rPr>
        <w:t>la EDUA tiene dentro de su objeto y sus funciones actividades inherentes al sector administrativo de vivienda, ciudad y territorio como es el caso del desarrollo urbanístico articulado con actuaciones sectoriales que le permitían acometer la ejecución de negocio jurídico nulitado oficiosamente por el fallador de primera instancia.</w:t>
      </w:r>
      <w:r w:rsidR="008E7129" w:rsidRPr="005B7AF3">
        <w:rPr>
          <w:rFonts w:ascii="Aptos" w:hAnsi="Aptos" w:cs="Open Sans"/>
          <w:i/>
          <w:iCs/>
          <w:sz w:val="22"/>
          <w:szCs w:val="22"/>
        </w:rPr>
        <w:t>”</w:t>
      </w:r>
      <w:r w:rsidR="00CB4594" w:rsidRPr="005B7AF3">
        <w:rPr>
          <w:rFonts w:ascii="Aptos" w:hAnsi="Aptos" w:cs="Open Sans"/>
          <w:sz w:val="22"/>
          <w:szCs w:val="22"/>
        </w:rPr>
        <w:t xml:space="preserve"> </w:t>
      </w:r>
      <w:r w:rsidR="008D4834" w:rsidRPr="005B7AF3">
        <w:rPr>
          <w:rFonts w:ascii="Aptos" w:hAnsi="Aptos" w:cs="Open Sans"/>
          <w:sz w:val="22"/>
          <w:szCs w:val="22"/>
        </w:rPr>
        <w:t>Indicando además que, la suscripción del negocio jurídico ocurrió a partir de la validación en el cumplimiento de requisitos del proponente,</w:t>
      </w:r>
      <w:r w:rsidR="009E5513" w:rsidRPr="005B7AF3">
        <w:rPr>
          <w:rFonts w:ascii="Aptos" w:hAnsi="Aptos" w:cs="Open Sans"/>
          <w:sz w:val="22"/>
          <w:szCs w:val="22"/>
        </w:rPr>
        <w:t xml:space="preserve"> y que c</w:t>
      </w:r>
      <w:r w:rsidR="008D4834" w:rsidRPr="005B7AF3">
        <w:rPr>
          <w:rFonts w:ascii="Aptos" w:hAnsi="Aptos" w:cs="Open Sans"/>
          <w:sz w:val="22"/>
          <w:szCs w:val="22"/>
        </w:rPr>
        <w:t>osa en contrario es que la E</w:t>
      </w:r>
      <w:r w:rsidR="009E5513" w:rsidRPr="005B7AF3">
        <w:rPr>
          <w:rFonts w:ascii="Aptos" w:hAnsi="Aptos" w:cs="Open Sans"/>
          <w:sz w:val="22"/>
          <w:szCs w:val="22"/>
        </w:rPr>
        <w:t>DUA</w:t>
      </w:r>
      <w:r w:rsidR="008D4834" w:rsidRPr="005B7AF3">
        <w:rPr>
          <w:rFonts w:ascii="Aptos" w:hAnsi="Aptos" w:cs="Open Sans"/>
          <w:sz w:val="22"/>
          <w:szCs w:val="22"/>
        </w:rPr>
        <w:t xml:space="preserve"> en el marco del </w:t>
      </w:r>
      <w:r w:rsidR="009E5513" w:rsidRPr="005B7AF3">
        <w:rPr>
          <w:rFonts w:ascii="Aptos" w:hAnsi="Aptos" w:cs="Open Sans"/>
          <w:sz w:val="22"/>
          <w:szCs w:val="22"/>
        </w:rPr>
        <w:t xml:space="preserve">desarrollo del </w:t>
      </w:r>
      <w:r w:rsidR="009E5513" w:rsidRPr="005B7AF3">
        <w:rPr>
          <w:rFonts w:ascii="Aptos" w:hAnsi="Aptos" w:cs="Open Sans"/>
          <w:sz w:val="22"/>
          <w:szCs w:val="22"/>
        </w:rPr>
        <w:lastRenderedPageBreak/>
        <w:t>contrato</w:t>
      </w:r>
      <w:r w:rsidR="008D4834" w:rsidRPr="005B7AF3">
        <w:rPr>
          <w:rFonts w:ascii="Aptos" w:hAnsi="Aptos" w:cs="Open Sans"/>
          <w:sz w:val="22"/>
          <w:szCs w:val="22"/>
        </w:rPr>
        <w:t xml:space="preserve"> haya resuelto acudir a la subcontratación del objeto que le fuera encomendado.</w:t>
      </w:r>
    </w:p>
    <w:p w14:paraId="5928BEA5" w14:textId="6817CDA8" w:rsidR="006E68ED" w:rsidRDefault="00E30A6B" w:rsidP="00EC3B75">
      <w:pPr>
        <w:spacing w:line="276" w:lineRule="auto"/>
        <w:jc w:val="both"/>
        <w:rPr>
          <w:rFonts w:ascii="Aptos" w:hAnsi="Aptos" w:cs="Open Sans"/>
          <w:sz w:val="22"/>
          <w:szCs w:val="22"/>
        </w:rPr>
      </w:pPr>
      <w:r w:rsidRPr="0035145F">
        <w:rPr>
          <w:rFonts w:ascii="Aptos" w:hAnsi="Aptos" w:cs="Open Sans"/>
          <w:sz w:val="22"/>
          <w:szCs w:val="22"/>
        </w:rPr>
        <w:t xml:space="preserve">Frente al reparo esbozado </w:t>
      </w:r>
      <w:r w:rsidR="00391821" w:rsidRPr="0035145F">
        <w:rPr>
          <w:rFonts w:ascii="Aptos" w:hAnsi="Aptos" w:cs="Open Sans"/>
          <w:sz w:val="22"/>
          <w:szCs w:val="22"/>
        </w:rPr>
        <w:t>se advierte que este carece de la fuerza persuasiva suficiente</w:t>
      </w:r>
      <w:r w:rsidR="00C50698" w:rsidRPr="0035145F">
        <w:rPr>
          <w:rFonts w:ascii="Aptos" w:hAnsi="Aptos" w:cs="Open Sans"/>
          <w:sz w:val="22"/>
          <w:szCs w:val="22"/>
        </w:rPr>
        <w:t xml:space="preserve">, </w:t>
      </w:r>
      <w:r w:rsidR="00391821" w:rsidRPr="0035145F">
        <w:rPr>
          <w:rFonts w:ascii="Aptos" w:hAnsi="Aptos" w:cs="Open Sans"/>
          <w:sz w:val="22"/>
          <w:szCs w:val="22"/>
        </w:rPr>
        <w:t xml:space="preserve">pues </w:t>
      </w:r>
      <w:r w:rsidR="00C50698" w:rsidRPr="0035145F">
        <w:rPr>
          <w:rFonts w:ascii="Aptos" w:hAnsi="Aptos" w:cs="Open Sans"/>
          <w:sz w:val="22"/>
          <w:szCs w:val="22"/>
        </w:rPr>
        <w:t xml:space="preserve">si bien el objeto de la EDUA podía tener relación con las obligaciones del contrato interadministrativo No. 008 de 2015, pues según sus estatutos se encuentran los de </w:t>
      </w:r>
      <w:r w:rsidR="00C50698" w:rsidRPr="0035145F">
        <w:rPr>
          <w:rFonts w:ascii="Aptos" w:hAnsi="Aptos" w:cs="Open Sans"/>
          <w:i/>
          <w:iCs/>
          <w:sz w:val="22"/>
          <w:szCs w:val="22"/>
        </w:rPr>
        <w:t>formular, diseñar, promover, gestionar, y ejecutar proyectos urbanísticos y/o inmobiliarios en el espacio público y en zonas de renovación urbana, zonas de expansión, centros históricos, entre otros</w:t>
      </w:r>
      <w:r w:rsidR="00C50698" w:rsidRPr="0035145F">
        <w:rPr>
          <w:rFonts w:ascii="Aptos" w:hAnsi="Aptos" w:cs="Open Sans"/>
          <w:sz w:val="22"/>
          <w:szCs w:val="22"/>
        </w:rPr>
        <w:t>, lo cierto es que</w:t>
      </w:r>
      <w:r w:rsidR="00F20225" w:rsidRPr="0035145F">
        <w:rPr>
          <w:rFonts w:ascii="Aptos" w:hAnsi="Aptos" w:cs="Open Sans"/>
          <w:sz w:val="22"/>
          <w:szCs w:val="22"/>
        </w:rPr>
        <w:t xml:space="preserve"> el despacho encontró acreditado que la EDUA no contaba con la capacidad técnica y operativa para ejecutar el objeto contractual consistente en la construcción del centro cultural y turístico La</w:t>
      </w:r>
      <w:r w:rsidR="002D4B02" w:rsidRPr="0035145F">
        <w:rPr>
          <w:rFonts w:ascii="Aptos" w:hAnsi="Aptos" w:cs="Open Sans"/>
          <w:sz w:val="22"/>
          <w:szCs w:val="22"/>
        </w:rPr>
        <w:t xml:space="preserve"> Estación Fase 1, pues todas las actividades fueron subcontratadas desde el inicio de su ejecución.</w:t>
      </w:r>
    </w:p>
    <w:p w14:paraId="5DDFB4B0" w14:textId="77777777" w:rsidR="006E68ED" w:rsidRDefault="006E68ED" w:rsidP="00EC3B75">
      <w:pPr>
        <w:spacing w:line="276" w:lineRule="auto"/>
        <w:jc w:val="both"/>
        <w:rPr>
          <w:rFonts w:ascii="Aptos" w:hAnsi="Aptos" w:cs="Open Sans"/>
          <w:sz w:val="22"/>
          <w:szCs w:val="22"/>
        </w:rPr>
      </w:pPr>
    </w:p>
    <w:p w14:paraId="5B74C74A" w14:textId="249316DE" w:rsidR="00EC59EF" w:rsidRDefault="00A30C5A" w:rsidP="00EC3B75">
      <w:pPr>
        <w:pStyle w:val="Prrafodelista"/>
        <w:numPr>
          <w:ilvl w:val="0"/>
          <w:numId w:val="4"/>
        </w:numPr>
        <w:spacing w:line="276" w:lineRule="auto"/>
        <w:ind w:left="720"/>
        <w:jc w:val="both"/>
        <w:rPr>
          <w:rFonts w:ascii="Aptos" w:hAnsi="Aptos" w:cs="Open Sans"/>
          <w:sz w:val="22"/>
          <w:szCs w:val="22"/>
        </w:rPr>
      </w:pPr>
      <w:r>
        <w:rPr>
          <w:rFonts w:ascii="Aptos" w:hAnsi="Aptos" w:cs="Open Sans"/>
          <w:sz w:val="22"/>
          <w:szCs w:val="22"/>
        </w:rPr>
        <w:t>Respecto al segundo reparo, i</w:t>
      </w:r>
      <w:r w:rsidR="006E68ED">
        <w:rPr>
          <w:rFonts w:ascii="Aptos" w:hAnsi="Aptos" w:cs="Open Sans"/>
          <w:sz w:val="22"/>
          <w:szCs w:val="22"/>
        </w:rPr>
        <w:t>ndica</w:t>
      </w:r>
      <w:r w:rsidR="006E68ED" w:rsidRPr="006E68ED">
        <w:rPr>
          <w:rFonts w:ascii="Aptos" w:hAnsi="Aptos" w:cs="Open Sans"/>
          <w:sz w:val="22"/>
          <w:szCs w:val="22"/>
        </w:rPr>
        <w:t xml:space="preserve"> la parte recurrente que la aplicación de</w:t>
      </w:r>
      <w:r w:rsidR="005144B7">
        <w:rPr>
          <w:rFonts w:ascii="Aptos" w:hAnsi="Aptos" w:cs="Open Sans"/>
          <w:sz w:val="22"/>
          <w:szCs w:val="22"/>
        </w:rPr>
        <w:t xml:space="preserve"> la </w:t>
      </w:r>
      <w:r w:rsidR="006E68ED" w:rsidRPr="006E68ED">
        <w:rPr>
          <w:rFonts w:ascii="Aptos" w:hAnsi="Aptos" w:cs="Open Sans"/>
          <w:sz w:val="22"/>
          <w:szCs w:val="22"/>
        </w:rPr>
        <w:t xml:space="preserve">figura </w:t>
      </w:r>
      <w:r w:rsidR="005144B7" w:rsidRPr="005144B7">
        <w:rPr>
          <w:rFonts w:ascii="Aptos" w:hAnsi="Aptos" w:cs="Open Sans"/>
          <w:sz w:val="22"/>
          <w:szCs w:val="22"/>
        </w:rPr>
        <w:t>de las restituciones mutuas</w:t>
      </w:r>
      <w:r w:rsidR="005144B7">
        <w:rPr>
          <w:rFonts w:ascii="Aptos" w:hAnsi="Aptos" w:cs="Open Sans"/>
          <w:sz w:val="22"/>
          <w:szCs w:val="22"/>
        </w:rPr>
        <w:t xml:space="preserve"> </w:t>
      </w:r>
      <w:r w:rsidR="006E68ED" w:rsidRPr="006E68ED">
        <w:rPr>
          <w:rFonts w:ascii="Aptos" w:hAnsi="Aptos" w:cs="Open Sans"/>
          <w:sz w:val="22"/>
          <w:szCs w:val="22"/>
        </w:rPr>
        <w:t>en el caso de marras no fue acertada.</w:t>
      </w:r>
      <w:r w:rsidR="00D1512A" w:rsidRPr="00D1512A">
        <w:t xml:space="preserve"> </w:t>
      </w:r>
      <w:r w:rsidR="0014421E">
        <w:rPr>
          <w:rFonts w:ascii="Aptos" w:hAnsi="Aptos" w:cs="Open Sans"/>
          <w:sz w:val="22"/>
          <w:szCs w:val="22"/>
        </w:rPr>
        <w:t xml:space="preserve">Lo anterior, porque según </w:t>
      </w:r>
      <w:r>
        <w:rPr>
          <w:rFonts w:ascii="Aptos" w:hAnsi="Aptos" w:cs="Open Sans"/>
          <w:sz w:val="22"/>
          <w:szCs w:val="22"/>
        </w:rPr>
        <w:t xml:space="preserve">aquel, </w:t>
      </w:r>
      <w:r w:rsidR="00030F0A">
        <w:rPr>
          <w:rFonts w:ascii="Aptos" w:hAnsi="Aptos" w:cs="Open Sans"/>
          <w:sz w:val="22"/>
          <w:szCs w:val="22"/>
        </w:rPr>
        <w:t xml:space="preserve">el fallo no </w:t>
      </w:r>
      <w:r w:rsidR="0045485B">
        <w:rPr>
          <w:rFonts w:ascii="Aptos" w:hAnsi="Aptos" w:cs="Open Sans"/>
          <w:sz w:val="22"/>
          <w:szCs w:val="22"/>
        </w:rPr>
        <w:t xml:space="preserve">analizó </w:t>
      </w:r>
      <w:r w:rsidR="00E371CA">
        <w:rPr>
          <w:rFonts w:ascii="Aptos" w:hAnsi="Aptos" w:cs="Open Sans"/>
          <w:sz w:val="22"/>
          <w:szCs w:val="22"/>
        </w:rPr>
        <w:t xml:space="preserve">dos aspectos i) </w:t>
      </w:r>
      <w:r w:rsidR="0045485B">
        <w:rPr>
          <w:rFonts w:ascii="Aptos" w:hAnsi="Aptos" w:cs="Open Sans"/>
          <w:sz w:val="22"/>
          <w:szCs w:val="22"/>
        </w:rPr>
        <w:t>el</w:t>
      </w:r>
      <w:r w:rsidR="00C863FA" w:rsidRPr="0045485B">
        <w:rPr>
          <w:rFonts w:ascii="Aptos" w:hAnsi="Aptos" w:cs="Open Sans"/>
          <w:sz w:val="22"/>
          <w:szCs w:val="22"/>
        </w:rPr>
        <w:t xml:space="preserve"> beneficio percibido por las partes, y</w:t>
      </w:r>
      <w:r w:rsidR="00E371CA">
        <w:rPr>
          <w:rFonts w:ascii="Aptos" w:hAnsi="Aptos" w:cs="Open Sans"/>
          <w:sz w:val="22"/>
          <w:szCs w:val="22"/>
        </w:rPr>
        <w:t xml:space="preserve"> </w:t>
      </w:r>
      <w:proofErr w:type="spellStart"/>
      <w:r w:rsidR="00E371CA">
        <w:rPr>
          <w:rFonts w:ascii="Aptos" w:hAnsi="Aptos" w:cs="Open Sans"/>
          <w:sz w:val="22"/>
          <w:szCs w:val="22"/>
        </w:rPr>
        <w:t>ii</w:t>
      </w:r>
      <w:proofErr w:type="spellEnd"/>
      <w:r w:rsidR="00E371CA">
        <w:rPr>
          <w:rFonts w:ascii="Aptos" w:hAnsi="Aptos" w:cs="Open Sans"/>
          <w:sz w:val="22"/>
          <w:szCs w:val="22"/>
        </w:rPr>
        <w:t>)</w:t>
      </w:r>
      <w:r w:rsidR="00C863FA" w:rsidRPr="0045485B">
        <w:rPr>
          <w:rFonts w:ascii="Aptos" w:hAnsi="Aptos" w:cs="Open Sans"/>
          <w:sz w:val="22"/>
          <w:szCs w:val="22"/>
        </w:rPr>
        <w:t xml:space="preserve"> la inexistencia de conocimiento previo frente a la circunstancia constitutiva de </w:t>
      </w:r>
      <w:r>
        <w:rPr>
          <w:rFonts w:ascii="Aptos" w:hAnsi="Aptos" w:cs="Open Sans"/>
          <w:sz w:val="22"/>
          <w:szCs w:val="22"/>
        </w:rPr>
        <w:t xml:space="preserve">la </w:t>
      </w:r>
      <w:r w:rsidR="00C863FA" w:rsidRPr="0045485B">
        <w:rPr>
          <w:rFonts w:ascii="Aptos" w:hAnsi="Aptos" w:cs="Open Sans"/>
          <w:sz w:val="22"/>
          <w:szCs w:val="22"/>
        </w:rPr>
        <w:t>nulidad</w:t>
      </w:r>
      <w:r w:rsidR="00DC6039">
        <w:rPr>
          <w:rFonts w:ascii="Aptos" w:hAnsi="Aptos" w:cs="Open Sans"/>
          <w:sz w:val="22"/>
          <w:szCs w:val="22"/>
        </w:rPr>
        <w:t xml:space="preserve">, indicando que </w:t>
      </w:r>
      <w:r w:rsidR="009E09D9" w:rsidRPr="009E09D9">
        <w:rPr>
          <w:rFonts w:ascii="Aptos" w:hAnsi="Aptos" w:cs="Open Sans"/>
          <w:sz w:val="22"/>
          <w:szCs w:val="22"/>
        </w:rPr>
        <w:t xml:space="preserve">ni el conocimiento previo por parte del Municipio de Armenia en relación con el interés de la EDUA de subcontratar el objeto encargado, ni el beneficio común derivado de las obras ejecutadas, </w:t>
      </w:r>
      <w:r w:rsidR="008F0EDF">
        <w:rPr>
          <w:rFonts w:ascii="Aptos" w:hAnsi="Aptos" w:cs="Open Sans"/>
          <w:sz w:val="22"/>
          <w:szCs w:val="22"/>
        </w:rPr>
        <w:t xml:space="preserve">se </w:t>
      </w:r>
      <w:r w:rsidR="009E09D9" w:rsidRPr="009E09D9">
        <w:rPr>
          <w:rFonts w:ascii="Aptos" w:hAnsi="Aptos" w:cs="Open Sans"/>
          <w:sz w:val="22"/>
          <w:szCs w:val="22"/>
        </w:rPr>
        <w:t xml:space="preserve">encuentran </w:t>
      </w:r>
      <w:r w:rsidR="008F0EDF">
        <w:rPr>
          <w:rFonts w:ascii="Aptos" w:hAnsi="Aptos" w:cs="Open Sans"/>
          <w:sz w:val="22"/>
          <w:szCs w:val="22"/>
        </w:rPr>
        <w:t>probados</w:t>
      </w:r>
      <w:r w:rsidR="009E09D9" w:rsidRPr="009E09D9">
        <w:rPr>
          <w:rFonts w:ascii="Aptos" w:hAnsi="Aptos" w:cs="Open Sans"/>
          <w:sz w:val="22"/>
          <w:szCs w:val="22"/>
        </w:rPr>
        <w:t xml:space="preserve"> dentro del proceso</w:t>
      </w:r>
      <w:r w:rsidR="008F0EDF">
        <w:rPr>
          <w:rFonts w:ascii="Aptos" w:hAnsi="Aptos" w:cs="Open Sans"/>
          <w:sz w:val="22"/>
          <w:szCs w:val="22"/>
        </w:rPr>
        <w:t>.</w:t>
      </w:r>
    </w:p>
    <w:p w14:paraId="06471813" w14:textId="77777777" w:rsidR="004B6FA4" w:rsidRPr="0045485B" w:rsidRDefault="004B6FA4" w:rsidP="004B6FA4">
      <w:pPr>
        <w:pStyle w:val="Prrafodelista"/>
        <w:spacing w:line="276" w:lineRule="auto"/>
        <w:jc w:val="both"/>
        <w:rPr>
          <w:rFonts w:ascii="Aptos" w:hAnsi="Aptos" w:cs="Open Sans"/>
          <w:sz w:val="22"/>
          <w:szCs w:val="22"/>
        </w:rPr>
      </w:pPr>
    </w:p>
    <w:p w14:paraId="27FF28F6" w14:textId="36703FCC" w:rsidR="00B07107" w:rsidRPr="004B6FA4" w:rsidRDefault="004B6FA4" w:rsidP="00EC3B75">
      <w:pPr>
        <w:spacing w:line="276" w:lineRule="auto"/>
        <w:jc w:val="both"/>
        <w:rPr>
          <w:rFonts w:ascii="Aptos" w:hAnsi="Aptos" w:cs="Open Sans"/>
          <w:sz w:val="22"/>
          <w:szCs w:val="22"/>
        </w:rPr>
      </w:pPr>
      <w:r>
        <w:rPr>
          <w:rFonts w:ascii="Aptos" w:hAnsi="Aptos" w:cs="Open Sans"/>
          <w:sz w:val="22"/>
          <w:szCs w:val="22"/>
        </w:rPr>
        <w:t>Frente a este reparo se precisa que</w:t>
      </w:r>
      <w:r w:rsidR="0014500D">
        <w:rPr>
          <w:rFonts w:ascii="Aptos" w:hAnsi="Aptos" w:cs="Open Sans"/>
          <w:sz w:val="22"/>
          <w:szCs w:val="22"/>
        </w:rPr>
        <w:t xml:space="preserve"> el mismo no </w:t>
      </w:r>
      <w:r w:rsidR="004915BB">
        <w:rPr>
          <w:rFonts w:ascii="Aptos" w:hAnsi="Aptos" w:cs="Open Sans"/>
          <w:sz w:val="22"/>
          <w:szCs w:val="22"/>
        </w:rPr>
        <w:t>está</w:t>
      </w:r>
      <w:r w:rsidR="0014500D">
        <w:rPr>
          <w:rFonts w:ascii="Aptos" w:hAnsi="Aptos" w:cs="Open Sans"/>
          <w:sz w:val="22"/>
          <w:szCs w:val="22"/>
        </w:rPr>
        <w:t xml:space="preserve"> cuestionando o atacando la declaratoria de nulidad </w:t>
      </w:r>
      <w:proofErr w:type="gramStart"/>
      <w:r w:rsidR="0014500D">
        <w:rPr>
          <w:rFonts w:ascii="Aptos" w:hAnsi="Aptos" w:cs="Open Sans"/>
          <w:sz w:val="22"/>
          <w:szCs w:val="22"/>
        </w:rPr>
        <w:t>y</w:t>
      </w:r>
      <w:proofErr w:type="gramEnd"/>
      <w:r w:rsidR="0014500D">
        <w:rPr>
          <w:rFonts w:ascii="Aptos" w:hAnsi="Aptos" w:cs="Open Sans"/>
          <w:sz w:val="22"/>
          <w:szCs w:val="22"/>
        </w:rPr>
        <w:t xml:space="preserve"> por ende, </w:t>
      </w:r>
      <w:r>
        <w:rPr>
          <w:rFonts w:ascii="Aptos" w:hAnsi="Aptos" w:cs="Open Sans"/>
          <w:sz w:val="22"/>
          <w:szCs w:val="22"/>
        </w:rPr>
        <w:t xml:space="preserve">en caso de que se acceda al mismo y en segunda instancia se entre a revisar la aplicación de </w:t>
      </w:r>
      <w:r w:rsidR="0014500D">
        <w:rPr>
          <w:rFonts w:ascii="Aptos" w:hAnsi="Aptos" w:cs="Open Sans"/>
          <w:sz w:val="22"/>
          <w:szCs w:val="22"/>
        </w:rPr>
        <w:t>esta figura</w:t>
      </w:r>
      <w:r w:rsidR="002251D0">
        <w:rPr>
          <w:rFonts w:ascii="Aptos" w:hAnsi="Aptos" w:cs="Open Sans"/>
          <w:sz w:val="22"/>
          <w:szCs w:val="22"/>
        </w:rPr>
        <w:t>, ello no afectaría en ningún caso a la aseguradora</w:t>
      </w:r>
      <w:r w:rsidR="00800F4B">
        <w:rPr>
          <w:rFonts w:ascii="Aptos" w:hAnsi="Aptos" w:cs="Open Sans"/>
          <w:sz w:val="22"/>
          <w:szCs w:val="22"/>
        </w:rPr>
        <w:t xml:space="preserve">; </w:t>
      </w:r>
      <w:r w:rsidR="004B2C7A">
        <w:rPr>
          <w:rFonts w:ascii="Aptos" w:hAnsi="Aptos" w:cs="Open Sans"/>
          <w:sz w:val="22"/>
          <w:szCs w:val="22"/>
        </w:rPr>
        <w:t>lo anterior si se tiene en cuenta que</w:t>
      </w:r>
      <w:r w:rsidR="004B2C7A" w:rsidRPr="004B2C7A">
        <w:rPr>
          <w:rFonts w:ascii="Aptos" w:hAnsi="Aptos" w:cs="Open Sans"/>
          <w:sz w:val="22"/>
          <w:szCs w:val="22"/>
        </w:rPr>
        <w:t xml:space="preserve"> la aseguradora no sería llamada a responder, porque la póliza de cumplimiento solo opera ante incumplimiento imputable del contratista dentro de un contrato válido y exigible. La nulidad absoluta desnaturaliza esa relación jurídica</w:t>
      </w:r>
      <w:r w:rsidR="00556A99">
        <w:rPr>
          <w:rFonts w:ascii="Aptos" w:hAnsi="Aptos" w:cs="Open Sans"/>
          <w:sz w:val="22"/>
          <w:szCs w:val="22"/>
        </w:rPr>
        <w:t>.</w:t>
      </w:r>
    </w:p>
    <w:p w14:paraId="5CEE4B91" w14:textId="77777777" w:rsidR="00B92DE0" w:rsidRPr="006E2678" w:rsidRDefault="00B92DE0" w:rsidP="00EC3B75">
      <w:pPr>
        <w:spacing w:line="276" w:lineRule="auto"/>
        <w:jc w:val="both"/>
        <w:rPr>
          <w:rFonts w:ascii="Aptos" w:hAnsi="Aptos" w:cs="Open Sans"/>
          <w:b/>
          <w:bCs/>
          <w:sz w:val="22"/>
          <w:szCs w:val="22"/>
        </w:rPr>
      </w:pPr>
    </w:p>
    <w:p w14:paraId="7C5115FF" w14:textId="378E219E" w:rsidR="006E2678" w:rsidRPr="006E2678" w:rsidRDefault="006E2678" w:rsidP="00EC3B75">
      <w:pPr>
        <w:spacing w:line="276" w:lineRule="auto"/>
        <w:jc w:val="both"/>
        <w:rPr>
          <w:rFonts w:ascii="Aptos" w:hAnsi="Aptos" w:cs="Open Sans"/>
          <w:b/>
          <w:bCs/>
          <w:sz w:val="22"/>
          <w:szCs w:val="22"/>
          <w:u w:val="single"/>
        </w:rPr>
      </w:pPr>
      <w:r w:rsidRPr="004A2BD0">
        <w:rPr>
          <w:rFonts w:ascii="Aptos" w:hAnsi="Aptos" w:cs="Open Sans"/>
          <w:b/>
          <w:bCs/>
          <w:sz w:val="22"/>
          <w:szCs w:val="22"/>
          <w:highlight w:val="yellow"/>
          <w:u w:val="single"/>
        </w:rPr>
        <w:t>ACTUALIZACIÓN DE LA CONTINGENCIA:</w:t>
      </w:r>
      <w:r w:rsidRPr="006E2678">
        <w:rPr>
          <w:rFonts w:ascii="Aptos" w:hAnsi="Aptos" w:cs="Open Sans"/>
          <w:b/>
          <w:bCs/>
          <w:sz w:val="22"/>
          <w:szCs w:val="22"/>
          <w:u w:val="single"/>
        </w:rPr>
        <w:t xml:space="preserve"> </w:t>
      </w:r>
    </w:p>
    <w:p w14:paraId="53E91A9B" w14:textId="5F128F9F" w:rsidR="00800724" w:rsidRDefault="00DC5FC7" w:rsidP="00EC3B75">
      <w:pPr>
        <w:spacing w:line="276" w:lineRule="auto"/>
        <w:jc w:val="both"/>
        <w:rPr>
          <w:rFonts w:ascii="Aptos" w:hAnsi="Aptos" w:cs="Open Sans"/>
          <w:sz w:val="22"/>
          <w:szCs w:val="22"/>
        </w:rPr>
      </w:pPr>
      <w:r>
        <w:rPr>
          <w:rFonts w:ascii="Aptos" w:hAnsi="Aptos" w:cs="Open Sans"/>
          <w:sz w:val="22"/>
          <w:szCs w:val="22"/>
        </w:rPr>
        <w:t xml:space="preserve">Por lo expuesto, </w:t>
      </w:r>
      <w:r w:rsidR="004A2BD0">
        <w:rPr>
          <w:rFonts w:ascii="Aptos" w:hAnsi="Aptos" w:cs="Open Sans"/>
          <w:sz w:val="22"/>
          <w:szCs w:val="22"/>
        </w:rPr>
        <w:t>considerando que</w:t>
      </w:r>
      <w:r w:rsidR="00B07107" w:rsidRPr="00B07107">
        <w:rPr>
          <w:rFonts w:ascii="Aptos" w:hAnsi="Aptos" w:cs="Open Sans"/>
          <w:sz w:val="22"/>
          <w:szCs w:val="22"/>
        </w:rPr>
        <w:t xml:space="preserve"> la sentencia de primera instancia presenta una fundamentación sólida y se alinea con la jurisprudencia vigente</w:t>
      </w:r>
      <w:r w:rsidR="00DF0CEB">
        <w:rPr>
          <w:rFonts w:ascii="Aptos" w:hAnsi="Aptos" w:cs="Open Sans"/>
          <w:sz w:val="22"/>
          <w:szCs w:val="22"/>
        </w:rPr>
        <w:t xml:space="preserve"> y aplicable al caso</w:t>
      </w:r>
      <w:r w:rsidR="00B07107" w:rsidRPr="00B07107">
        <w:rPr>
          <w:rFonts w:ascii="Aptos" w:hAnsi="Aptos" w:cs="Open Sans"/>
          <w:sz w:val="22"/>
          <w:szCs w:val="22"/>
        </w:rPr>
        <w:t xml:space="preserve">, </w:t>
      </w:r>
      <w:r w:rsidR="004A2BD0">
        <w:rPr>
          <w:rFonts w:ascii="Aptos" w:hAnsi="Aptos" w:cs="Open Sans"/>
          <w:sz w:val="22"/>
          <w:szCs w:val="22"/>
        </w:rPr>
        <w:t xml:space="preserve">se advierte que la probabilidad de revocatoria por parte del tribunal de segunda instancia </w:t>
      </w:r>
      <w:r w:rsidR="004A2BD0" w:rsidRPr="00B07107">
        <w:rPr>
          <w:rFonts w:ascii="Aptos" w:hAnsi="Aptos" w:cs="Open Sans"/>
          <w:sz w:val="22"/>
          <w:szCs w:val="22"/>
        </w:rPr>
        <w:t>dadas las circunstancias jurídicas y probatorias del cas</w:t>
      </w:r>
      <w:r w:rsidR="004A2BD0">
        <w:rPr>
          <w:rFonts w:ascii="Aptos" w:hAnsi="Aptos" w:cs="Open Sans"/>
          <w:sz w:val="22"/>
          <w:szCs w:val="22"/>
        </w:rPr>
        <w:t xml:space="preserve">o se considera remota. </w:t>
      </w:r>
    </w:p>
    <w:p w14:paraId="3C42BCAA" w14:textId="4EB63E5F" w:rsidR="004A2BD0" w:rsidRDefault="004A2BD0" w:rsidP="00EC3B75">
      <w:pPr>
        <w:spacing w:line="276" w:lineRule="auto"/>
        <w:jc w:val="both"/>
        <w:rPr>
          <w:rFonts w:ascii="Aptos" w:hAnsi="Aptos" w:cs="Open Sans"/>
          <w:sz w:val="22"/>
          <w:szCs w:val="22"/>
        </w:rPr>
      </w:pPr>
    </w:p>
    <w:p w14:paraId="6030F899" w14:textId="51BDF6A6" w:rsidR="00AA1F3A" w:rsidRPr="0035145F" w:rsidRDefault="00AA1F3A" w:rsidP="00EC3B75">
      <w:pPr>
        <w:spacing w:line="276" w:lineRule="auto"/>
        <w:jc w:val="both"/>
        <w:rPr>
          <w:rFonts w:ascii="Aptos" w:hAnsi="Aptos" w:cs="Open Sans"/>
          <w:sz w:val="22"/>
          <w:szCs w:val="22"/>
        </w:rPr>
      </w:pPr>
    </w:p>
    <w:p w14:paraId="7FAC1BD0" w14:textId="77777777" w:rsidR="00AA1F3A" w:rsidRPr="0035145F" w:rsidRDefault="00AA1F3A" w:rsidP="00EC3B75">
      <w:pPr>
        <w:spacing w:line="276" w:lineRule="auto"/>
        <w:jc w:val="both"/>
        <w:rPr>
          <w:rFonts w:ascii="Aptos" w:hAnsi="Aptos" w:cs="Open Sans"/>
          <w:sz w:val="22"/>
          <w:szCs w:val="22"/>
        </w:rPr>
      </w:pPr>
    </w:p>
    <w:sectPr w:rsidR="00AA1F3A" w:rsidRPr="003514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0F4"/>
    <w:multiLevelType w:val="hybridMultilevel"/>
    <w:tmpl w:val="D78499E4"/>
    <w:lvl w:ilvl="0" w:tplc="EE086E8E">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413B8E"/>
    <w:multiLevelType w:val="hybridMultilevel"/>
    <w:tmpl w:val="D63A3160"/>
    <w:lvl w:ilvl="0" w:tplc="77264A68">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FA25204"/>
    <w:multiLevelType w:val="hybridMultilevel"/>
    <w:tmpl w:val="C3C4B1A8"/>
    <w:lvl w:ilvl="0" w:tplc="CECC099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72B198B"/>
    <w:multiLevelType w:val="hybridMultilevel"/>
    <w:tmpl w:val="E75A0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6083178">
    <w:abstractNumId w:val="0"/>
  </w:num>
  <w:num w:numId="2" w16cid:durableId="1377583682">
    <w:abstractNumId w:val="2"/>
  </w:num>
  <w:num w:numId="3" w16cid:durableId="963269581">
    <w:abstractNumId w:val="3"/>
  </w:num>
  <w:num w:numId="4" w16cid:durableId="89188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3A"/>
    <w:rsid w:val="00030F0A"/>
    <w:rsid w:val="00044FE2"/>
    <w:rsid w:val="0004676E"/>
    <w:rsid w:val="000D01EF"/>
    <w:rsid w:val="000D391A"/>
    <w:rsid w:val="000F3A82"/>
    <w:rsid w:val="001017B2"/>
    <w:rsid w:val="0014421E"/>
    <w:rsid w:val="0014500D"/>
    <w:rsid w:val="00160D8B"/>
    <w:rsid w:val="001B3D64"/>
    <w:rsid w:val="001E242C"/>
    <w:rsid w:val="0020449A"/>
    <w:rsid w:val="002251D0"/>
    <w:rsid w:val="00227543"/>
    <w:rsid w:val="00227BF8"/>
    <w:rsid w:val="00231DC7"/>
    <w:rsid w:val="00245DAE"/>
    <w:rsid w:val="00280041"/>
    <w:rsid w:val="002B2765"/>
    <w:rsid w:val="002C6070"/>
    <w:rsid w:val="002D4B02"/>
    <w:rsid w:val="00322040"/>
    <w:rsid w:val="00327AEE"/>
    <w:rsid w:val="0034687A"/>
    <w:rsid w:val="00346CE0"/>
    <w:rsid w:val="0035145F"/>
    <w:rsid w:val="00391821"/>
    <w:rsid w:val="00391F2B"/>
    <w:rsid w:val="004341A8"/>
    <w:rsid w:val="0045485B"/>
    <w:rsid w:val="004915BB"/>
    <w:rsid w:val="004A2BD0"/>
    <w:rsid w:val="004B2C7A"/>
    <w:rsid w:val="004B6FA4"/>
    <w:rsid w:val="005144B7"/>
    <w:rsid w:val="00556A99"/>
    <w:rsid w:val="00593F0B"/>
    <w:rsid w:val="005B38A8"/>
    <w:rsid w:val="005B7AF3"/>
    <w:rsid w:val="00606A22"/>
    <w:rsid w:val="00661520"/>
    <w:rsid w:val="00662A1E"/>
    <w:rsid w:val="0066482D"/>
    <w:rsid w:val="00681846"/>
    <w:rsid w:val="006965C2"/>
    <w:rsid w:val="006C1A80"/>
    <w:rsid w:val="006E2678"/>
    <w:rsid w:val="006E68ED"/>
    <w:rsid w:val="007215D2"/>
    <w:rsid w:val="007B5011"/>
    <w:rsid w:val="007C0B7B"/>
    <w:rsid w:val="007F782E"/>
    <w:rsid w:val="00800724"/>
    <w:rsid w:val="00800F4B"/>
    <w:rsid w:val="008059B3"/>
    <w:rsid w:val="008A0752"/>
    <w:rsid w:val="008D4834"/>
    <w:rsid w:val="008E7129"/>
    <w:rsid w:val="008F0EDF"/>
    <w:rsid w:val="00943DA4"/>
    <w:rsid w:val="00953FF9"/>
    <w:rsid w:val="009A6698"/>
    <w:rsid w:val="009D13F0"/>
    <w:rsid w:val="009E09D9"/>
    <w:rsid w:val="009E5513"/>
    <w:rsid w:val="009F45B7"/>
    <w:rsid w:val="00A30C5A"/>
    <w:rsid w:val="00A569BA"/>
    <w:rsid w:val="00A62203"/>
    <w:rsid w:val="00A80049"/>
    <w:rsid w:val="00AA1F3A"/>
    <w:rsid w:val="00AF5D3F"/>
    <w:rsid w:val="00B07107"/>
    <w:rsid w:val="00B155A6"/>
    <w:rsid w:val="00B60D20"/>
    <w:rsid w:val="00B638C4"/>
    <w:rsid w:val="00B92DE0"/>
    <w:rsid w:val="00BC2DC5"/>
    <w:rsid w:val="00C22579"/>
    <w:rsid w:val="00C50698"/>
    <w:rsid w:val="00C863FA"/>
    <w:rsid w:val="00CB4594"/>
    <w:rsid w:val="00CD2F25"/>
    <w:rsid w:val="00D016BB"/>
    <w:rsid w:val="00D13165"/>
    <w:rsid w:val="00D1512A"/>
    <w:rsid w:val="00D73E49"/>
    <w:rsid w:val="00DB3A2C"/>
    <w:rsid w:val="00DC5FC7"/>
    <w:rsid w:val="00DC6039"/>
    <w:rsid w:val="00DF0CEB"/>
    <w:rsid w:val="00E30A6B"/>
    <w:rsid w:val="00E371CA"/>
    <w:rsid w:val="00E44432"/>
    <w:rsid w:val="00E61531"/>
    <w:rsid w:val="00EC3B75"/>
    <w:rsid w:val="00EC59EF"/>
    <w:rsid w:val="00EF5F50"/>
    <w:rsid w:val="00F11CD1"/>
    <w:rsid w:val="00F202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C21E"/>
  <w15:chartTrackingRefBased/>
  <w15:docId w15:val="{D7A7FEC3-AA9E-4884-9E74-ECC8D3A8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2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8074">
      <w:bodyDiv w:val="1"/>
      <w:marLeft w:val="0"/>
      <w:marRight w:val="0"/>
      <w:marTop w:val="0"/>
      <w:marBottom w:val="0"/>
      <w:divBdr>
        <w:top w:val="none" w:sz="0" w:space="0" w:color="auto"/>
        <w:left w:val="none" w:sz="0" w:space="0" w:color="auto"/>
        <w:bottom w:val="none" w:sz="0" w:space="0" w:color="auto"/>
        <w:right w:val="none" w:sz="0" w:space="0" w:color="auto"/>
      </w:divBdr>
    </w:div>
    <w:div w:id="462888436">
      <w:bodyDiv w:val="1"/>
      <w:marLeft w:val="0"/>
      <w:marRight w:val="0"/>
      <w:marTop w:val="0"/>
      <w:marBottom w:val="0"/>
      <w:divBdr>
        <w:top w:val="none" w:sz="0" w:space="0" w:color="auto"/>
        <w:left w:val="none" w:sz="0" w:space="0" w:color="auto"/>
        <w:bottom w:val="none" w:sz="0" w:space="0" w:color="auto"/>
        <w:right w:val="none" w:sz="0" w:space="0" w:color="auto"/>
      </w:divBdr>
    </w:div>
    <w:div w:id="491262618">
      <w:bodyDiv w:val="1"/>
      <w:marLeft w:val="0"/>
      <w:marRight w:val="0"/>
      <w:marTop w:val="0"/>
      <w:marBottom w:val="0"/>
      <w:divBdr>
        <w:top w:val="none" w:sz="0" w:space="0" w:color="auto"/>
        <w:left w:val="none" w:sz="0" w:space="0" w:color="auto"/>
        <w:bottom w:val="none" w:sz="0" w:space="0" w:color="auto"/>
        <w:right w:val="none" w:sz="0" w:space="0" w:color="auto"/>
      </w:divBdr>
    </w:div>
    <w:div w:id="527767104">
      <w:bodyDiv w:val="1"/>
      <w:marLeft w:val="0"/>
      <w:marRight w:val="0"/>
      <w:marTop w:val="0"/>
      <w:marBottom w:val="0"/>
      <w:divBdr>
        <w:top w:val="none" w:sz="0" w:space="0" w:color="auto"/>
        <w:left w:val="none" w:sz="0" w:space="0" w:color="auto"/>
        <w:bottom w:val="none" w:sz="0" w:space="0" w:color="auto"/>
        <w:right w:val="none" w:sz="0" w:space="0" w:color="auto"/>
      </w:divBdr>
    </w:div>
    <w:div w:id="1069961146">
      <w:bodyDiv w:val="1"/>
      <w:marLeft w:val="0"/>
      <w:marRight w:val="0"/>
      <w:marTop w:val="0"/>
      <w:marBottom w:val="0"/>
      <w:divBdr>
        <w:top w:val="none" w:sz="0" w:space="0" w:color="auto"/>
        <w:left w:val="none" w:sz="0" w:space="0" w:color="auto"/>
        <w:bottom w:val="none" w:sz="0" w:space="0" w:color="auto"/>
        <w:right w:val="none" w:sz="0" w:space="0" w:color="auto"/>
      </w:divBdr>
    </w:div>
    <w:div w:id="1395465846">
      <w:bodyDiv w:val="1"/>
      <w:marLeft w:val="0"/>
      <w:marRight w:val="0"/>
      <w:marTop w:val="0"/>
      <w:marBottom w:val="0"/>
      <w:divBdr>
        <w:top w:val="none" w:sz="0" w:space="0" w:color="auto"/>
        <w:left w:val="none" w:sz="0" w:space="0" w:color="auto"/>
        <w:bottom w:val="none" w:sz="0" w:space="0" w:color="auto"/>
        <w:right w:val="none" w:sz="0" w:space="0" w:color="auto"/>
      </w:divBdr>
    </w:div>
    <w:div w:id="21054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6508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Paula Castañeda Hernández</dc:creator>
  <cp:keywords/>
  <dc:description/>
  <cp:lastModifiedBy>Diana Carolina Benitez Freyre</cp:lastModifiedBy>
  <cp:revision>2</cp:revision>
  <dcterms:created xsi:type="dcterms:W3CDTF">2025-07-03T14:06:00Z</dcterms:created>
  <dcterms:modified xsi:type="dcterms:W3CDTF">2025-07-03T14:06:00Z</dcterms:modified>
</cp:coreProperties>
</file>