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B964" w14:textId="77777777" w:rsidR="009D7788" w:rsidRPr="00664F17" w:rsidRDefault="004B4516">
      <w:pPr>
        <w:widowControl w:val="0"/>
        <w:autoSpaceDE w:val="0"/>
        <w:autoSpaceDN w:val="0"/>
        <w:adjustRightInd w:val="0"/>
        <w:spacing w:after="0" w:line="240" w:lineRule="auto"/>
        <w:rPr>
          <w:rFonts w:ascii="Times New Roman" w:hAnsi="Times New Roman" w:cs="Times New Roman"/>
          <w:sz w:val="28"/>
          <w:szCs w:val="28"/>
        </w:rPr>
      </w:pPr>
      <w:r w:rsidRPr="00664F17">
        <w:rPr>
          <w:rFonts w:ascii="Times New Roman" w:hAnsi="Times New Roman" w:cs="Times New Roman"/>
          <w:sz w:val="28"/>
          <w:szCs w:val="24"/>
        </w:rPr>
        <w:t xml:space="preserve"> </w:t>
      </w:r>
    </w:p>
    <w:p w14:paraId="6ECF17FA" w14:textId="77777777" w:rsidR="009D7788" w:rsidRPr="00664F17" w:rsidRDefault="009D7788">
      <w:pPr>
        <w:widowControl w:val="0"/>
        <w:autoSpaceDE w:val="0"/>
        <w:autoSpaceDN w:val="0"/>
        <w:adjustRightInd w:val="0"/>
        <w:spacing w:after="0" w:line="240" w:lineRule="auto"/>
        <w:rPr>
          <w:rFonts w:ascii="Times New Roman" w:hAnsi="Times New Roman" w:cs="Times New Roman"/>
          <w:sz w:val="28"/>
          <w:szCs w:val="28"/>
        </w:rPr>
      </w:pPr>
    </w:p>
    <w:p w14:paraId="19D7CC2E" w14:textId="77777777" w:rsidR="009D7788" w:rsidRPr="00664F17" w:rsidRDefault="004B4516">
      <w:pPr>
        <w:widowControl w:val="0"/>
        <w:autoSpaceDE w:val="0"/>
        <w:autoSpaceDN w:val="0"/>
        <w:adjustRightInd w:val="0"/>
        <w:spacing w:after="0" w:line="240" w:lineRule="auto"/>
        <w:jc w:val="center"/>
        <w:rPr>
          <w:rFonts w:ascii="Times New Roman" w:hAnsi="Times New Roman" w:cs="Times New Roman"/>
          <w:b/>
          <w:bCs/>
          <w:sz w:val="28"/>
          <w:szCs w:val="28"/>
        </w:rPr>
      </w:pPr>
      <w:r w:rsidRPr="00664F17">
        <w:rPr>
          <w:rFonts w:ascii="Times New Roman" w:hAnsi="Times New Roman" w:cs="Times New Roman"/>
          <w:b/>
          <w:bCs/>
          <w:sz w:val="28"/>
          <w:szCs w:val="28"/>
        </w:rPr>
        <w:t xml:space="preserve">TEMAS-SUBTEMAS </w:t>
      </w:r>
    </w:p>
    <w:p w14:paraId="06C0CC05" w14:textId="77777777" w:rsidR="009D7788" w:rsidRPr="00664F17" w:rsidRDefault="009D7788">
      <w:pPr>
        <w:widowControl w:val="0"/>
        <w:autoSpaceDE w:val="0"/>
        <w:autoSpaceDN w:val="0"/>
        <w:adjustRightInd w:val="0"/>
        <w:spacing w:after="0" w:line="240" w:lineRule="auto"/>
        <w:jc w:val="center"/>
        <w:rPr>
          <w:rFonts w:ascii="Times New Roman" w:hAnsi="Times New Roman" w:cs="Times New Roman"/>
          <w:b/>
          <w:bCs/>
          <w:sz w:val="28"/>
          <w:szCs w:val="28"/>
        </w:rPr>
      </w:pPr>
    </w:p>
    <w:p w14:paraId="2D5F7DFC" w14:textId="77777777" w:rsidR="009D7788" w:rsidRPr="00664F17" w:rsidRDefault="004B4516">
      <w:pPr>
        <w:widowControl w:val="0"/>
        <w:autoSpaceDE w:val="0"/>
        <w:autoSpaceDN w:val="0"/>
        <w:adjustRightInd w:val="0"/>
        <w:spacing w:after="0" w:line="240" w:lineRule="auto"/>
        <w:jc w:val="center"/>
        <w:rPr>
          <w:rFonts w:ascii="Times New Roman" w:hAnsi="Times New Roman" w:cs="Times New Roman"/>
          <w:sz w:val="28"/>
          <w:szCs w:val="28"/>
        </w:rPr>
      </w:pPr>
      <w:r w:rsidRPr="00664F17">
        <w:rPr>
          <w:rFonts w:ascii="Times New Roman" w:hAnsi="Times New Roman" w:cs="Times New Roman"/>
          <w:b/>
          <w:bCs/>
          <w:sz w:val="28"/>
          <w:szCs w:val="28"/>
        </w:rPr>
        <w:t xml:space="preserve">Auto A-041/24 </w:t>
      </w:r>
    </w:p>
    <w:p w14:paraId="4370FFCB" w14:textId="77777777" w:rsidR="009D7788" w:rsidRPr="00664F17" w:rsidRDefault="009D7788">
      <w:pPr>
        <w:widowControl w:val="0"/>
        <w:autoSpaceDE w:val="0"/>
        <w:autoSpaceDN w:val="0"/>
        <w:adjustRightInd w:val="0"/>
        <w:spacing w:after="0" w:line="240" w:lineRule="auto"/>
        <w:jc w:val="both"/>
        <w:rPr>
          <w:rFonts w:ascii="Times New Roman" w:hAnsi="Times New Roman" w:cs="Times New Roman"/>
          <w:sz w:val="28"/>
          <w:szCs w:val="28"/>
        </w:rPr>
      </w:pPr>
    </w:p>
    <w:p w14:paraId="6111E104" w14:textId="77777777" w:rsidR="009D7788" w:rsidRPr="00664F17" w:rsidRDefault="004B4516">
      <w:pPr>
        <w:widowControl w:val="0"/>
        <w:autoSpaceDE w:val="0"/>
        <w:autoSpaceDN w:val="0"/>
        <w:adjustRightInd w:val="0"/>
        <w:spacing w:after="0" w:line="240" w:lineRule="auto"/>
        <w:jc w:val="both"/>
        <w:rPr>
          <w:rFonts w:ascii="Times New Roman" w:hAnsi="Times New Roman" w:cs="Times New Roman"/>
          <w:sz w:val="28"/>
          <w:szCs w:val="28"/>
        </w:rPr>
      </w:pPr>
      <w:r w:rsidRPr="00664F17">
        <w:rPr>
          <w:rFonts w:ascii="Times New Roman" w:hAnsi="Times New Roman" w:cs="Times New Roman"/>
          <w:b/>
          <w:bCs/>
          <w:sz w:val="28"/>
          <w:szCs w:val="28"/>
        </w:rPr>
        <w:t>COMPETENCIA DE LA JURISDICCIÓN ORDINARIA CIVIL</w:t>
      </w:r>
      <w:r w:rsidRPr="00664F17">
        <w:rPr>
          <w:rFonts w:ascii="Times New Roman" w:hAnsi="Times New Roman" w:cs="Times New Roman"/>
          <w:sz w:val="28"/>
          <w:szCs w:val="28"/>
        </w:rPr>
        <w:t>-Conflictos sobre responsabilidad civil extracontractual</w:t>
      </w:r>
    </w:p>
    <w:p w14:paraId="05F2413B" w14:textId="77777777" w:rsidR="009D7788" w:rsidRPr="00664F17" w:rsidRDefault="009D7788">
      <w:pPr>
        <w:widowControl w:val="0"/>
        <w:autoSpaceDE w:val="0"/>
        <w:autoSpaceDN w:val="0"/>
        <w:adjustRightInd w:val="0"/>
        <w:spacing w:after="0" w:line="240" w:lineRule="auto"/>
        <w:jc w:val="both"/>
        <w:rPr>
          <w:rFonts w:ascii="Times New Roman" w:hAnsi="Times New Roman" w:cs="Times New Roman"/>
          <w:sz w:val="28"/>
          <w:szCs w:val="28"/>
        </w:rPr>
      </w:pPr>
    </w:p>
    <w:p w14:paraId="39BD21B1" w14:textId="77777777" w:rsidR="009D7788" w:rsidRPr="00664F17" w:rsidRDefault="004B4516">
      <w:pPr>
        <w:widowControl w:val="0"/>
        <w:autoSpaceDE w:val="0"/>
        <w:autoSpaceDN w:val="0"/>
        <w:adjustRightInd w:val="0"/>
        <w:spacing w:after="0" w:line="240" w:lineRule="auto"/>
        <w:jc w:val="both"/>
        <w:rPr>
          <w:rFonts w:ascii="Times New Roman" w:hAnsi="Times New Roman" w:cs="Times New Roman"/>
          <w:sz w:val="28"/>
          <w:szCs w:val="28"/>
        </w:rPr>
      </w:pPr>
      <w:r w:rsidRPr="00664F17">
        <w:rPr>
          <w:rFonts w:ascii="Times New Roman" w:hAnsi="Times New Roman" w:cs="Times New Roman"/>
          <w:i/>
          <w:iCs/>
          <w:sz w:val="28"/>
          <w:szCs w:val="28"/>
        </w:rPr>
        <w:t>(...) En aquellos casos en los que se demanda la responsabilidad extracontractual de una entidad pública y de una persona jurídica particular o una natural sometida al derecho privado, el juez competente se debe determinar por el factor de conexidad o fuero de atracción, que no opera automáticamente sino que debe aplicarse en atención a los siguientes criterios: (a) identidad de hechos y de causa; (b) probabilidad “€</w:t>
      </w:r>
      <w:proofErr w:type="spellStart"/>
      <w:r w:rsidRPr="00664F17">
        <w:rPr>
          <w:rFonts w:ascii="Times New Roman" w:hAnsi="Times New Roman" w:cs="Times New Roman"/>
          <w:i/>
          <w:iCs/>
          <w:sz w:val="28"/>
          <w:szCs w:val="28"/>
        </w:rPr>
        <w:t>œmínimamente</w:t>
      </w:r>
      <w:proofErr w:type="spellEnd"/>
      <w:r w:rsidRPr="00664F17">
        <w:rPr>
          <w:rFonts w:ascii="Times New Roman" w:hAnsi="Times New Roman" w:cs="Times New Roman"/>
          <w:i/>
          <w:iCs/>
          <w:sz w:val="28"/>
          <w:szCs w:val="28"/>
        </w:rPr>
        <w:t xml:space="preserve"> seria”€ de que las entidades estatales serán condenadas; y (c) fundamentos fácticos y jurídicos para imputar el daño antijurídico a la entidad estatal (...)</w:t>
      </w:r>
    </w:p>
    <w:p w14:paraId="27C2520D" w14:textId="77777777" w:rsidR="009D7788" w:rsidRPr="00664F17" w:rsidRDefault="009D7788">
      <w:pPr>
        <w:widowControl w:val="0"/>
        <w:autoSpaceDE w:val="0"/>
        <w:autoSpaceDN w:val="0"/>
        <w:adjustRightInd w:val="0"/>
        <w:spacing w:after="0" w:line="240" w:lineRule="auto"/>
        <w:jc w:val="both"/>
        <w:rPr>
          <w:rFonts w:ascii="Times New Roman" w:hAnsi="Times New Roman" w:cs="Times New Roman"/>
          <w:sz w:val="28"/>
          <w:szCs w:val="28"/>
        </w:rPr>
      </w:pPr>
    </w:p>
    <w:p w14:paraId="64D292E3" w14:textId="77777777" w:rsidR="009D7788" w:rsidRPr="00664F17" w:rsidRDefault="004B4516">
      <w:pPr>
        <w:widowControl w:val="0"/>
        <w:autoSpaceDE w:val="0"/>
        <w:autoSpaceDN w:val="0"/>
        <w:adjustRightInd w:val="0"/>
        <w:spacing w:after="0" w:line="240" w:lineRule="auto"/>
        <w:jc w:val="both"/>
        <w:rPr>
          <w:rFonts w:ascii="Times New Roman" w:hAnsi="Times New Roman" w:cs="Times New Roman"/>
          <w:sz w:val="28"/>
          <w:szCs w:val="28"/>
        </w:rPr>
      </w:pPr>
      <w:r w:rsidRPr="00664F17">
        <w:rPr>
          <w:rFonts w:ascii="Times New Roman" w:hAnsi="Times New Roman" w:cs="Times New Roman"/>
          <w:b/>
          <w:bCs/>
          <w:sz w:val="28"/>
          <w:szCs w:val="28"/>
        </w:rPr>
        <w:t>FUERO DE ATRACCIÓN</w:t>
      </w:r>
      <w:r w:rsidRPr="00664F17">
        <w:rPr>
          <w:rFonts w:ascii="Times New Roman" w:hAnsi="Times New Roman" w:cs="Times New Roman"/>
          <w:sz w:val="28"/>
          <w:szCs w:val="28"/>
        </w:rPr>
        <w:t xml:space="preserve">-Sentido y alcance </w:t>
      </w:r>
    </w:p>
    <w:p w14:paraId="7D5A0A51" w14:textId="77777777" w:rsidR="009D7788" w:rsidRPr="00664F17" w:rsidRDefault="009D7788">
      <w:pPr>
        <w:widowControl w:val="0"/>
        <w:autoSpaceDE w:val="0"/>
        <w:autoSpaceDN w:val="0"/>
        <w:adjustRightInd w:val="0"/>
        <w:spacing w:after="0" w:line="240" w:lineRule="auto"/>
        <w:jc w:val="both"/>
        <w:rPr>
          <w:rFonts w:ascii="Times New Roman" w:hAnsi="Times New Roman" w:cs="Times New Roman"/>
          <w:sz w:val="28"/>
          <w:szCs w:val="28"/>
        </w:rPr>
      </w:pPr>
    </w:p>
    <w:p w14:paraId="024ACF4C" w14:textId="77777777" w:rsidR="009D7788" w:rsidRPr="00664F17"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49A5F6DD">
          <v:rect id="_x0000_i1025" style="width:0;height:1.5pt" o:hralign="center" o:hrstd="t" o:hr="t" fillcolor="#a0a0a0" stroked="f"/>
        </w:pict>
      </w:r>
    </w:p>
    <w:p w14:paraId="0AFF527B" w14:textId="77777777" w:rsidR="00000000" w:rsidRPr="00664F17" w:rsidRDefault="00664F17" w:rsidP="00DC18A0">
      <w:pPr>
        <w:pStyle w:val="Encabezado"/>
        <w:jc w:val="center"/>
        <w:rPr>
          <w:rFonts w:ascii="Times New Roman" w:hAnsi="Times New Roman" w:cs="Times New Roman"/>
          <w:b/>
          <w:bCs/>
          <w:sz w:val="28"/>
          <w:szCs w:val="26"/>
        </w:rPr>
      </w:pPr>
      <w:r w:rsidRPr="00664F17">
        <w:rPr>
          <w:rFonts w:ascii="Times New Roman" w:hAnsi="Times New Roman" w:cs="Times New Roman"/>
          <w:b/>
          <w:bCs/>
          <w:sz w:val="28"/>
          <w:szCs w:val="26"/>
        </w:rPr>
        <w:t>REPÚBLICA DE COLOMBIA</w:t>
      </w:r>
    </w:p>
    <w:p w14:paraId="000BF130" w14:textId="77777777" w:rsidR="00000000" w:rsidRPr="00664F17" w:rsidRDefault="00664F17" w:rsidP="00DC18A0">
      <w:pPr>
        <w:pStyle w:val="Encabezado"/>
        <w:jc w:val="center"/>
        <w:rPr>
          <w:rFonts w:ascii="Times New Roman" w:hAnsi="Times New Roman" w:cs="Times New Roman"/>
          <w:b/>
          <w:bCs/>
          <w:sz w:val="28"/>
          <w:szCs w:val="26"/>
        </w:rPr>
      </w:pPr>
      <w:r w:rsidRPr="00664F17">
        <w:rPr>
          <w:rFonts w:ascii="Times New Roman" w:hAnsi="Times New Roman" w:cs="Times New Roman"/>
          <w:b/>
          <w:bCs/>
          <w:noProof/>
          <w:sz w:val="28"/>
          <w:szCs w:val="26"/>
          <w:lang w:val="es-CO" w:eastAsia="es-CO"/>
        </w:rPr>
        <w:drawing>
          <wp:inline distT="0" distB="0" distL="0" distR="0" wp14:anchorId="7EFC5D77" wp14:editId="329A8EA0">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653060E5" w14:textId="77777777" w:rsidR="00000000" w:rsidRPr="00664F17" w:rsidRDefault="00664F17" w:rsidP="00DC18A0">
      <w:pPr>
        <w:pStyle w:val="Encabezado"/>
        <w:jc w:val="center"/>
        <w:rPr>
          <w:rFonts w:ascii="Times New Roman" w:hAnsi="Times New Roman" w:cs="Times New Roman"/>
          <w:b/>
          <w:bCs/>
          <w:sz w:val="28"/>
          <w:szCs w:val="26"/>
        </w:rPr>
      </w:pPr>
      <w:r w:rsidRPr="00664F17">
        <w:rPr>
          <w:rFonts w:ascii="Times New Roman" w:hAnsi="Times New Roman" w:cs="Times New Roman"/>
          <w:b/>
          <w:bCs/>
          <w:sz w:val="28"/>
          <w:szCs w:val="26"/>
        </w:rPr>
        <w:t>CORTE CONSTITUCIONAL</w:t>
      </w:r>
    </w:p>
    <w:p w14:paraId="0C02110F" w14:textId="77777777" w:rsidR="00000000" w:rsidRPr="00664F17" w:rsidRDefault="00664F17" w:rsidP="00DC18A0">
      <w:pPr>
        <w:pStyle w:val="Encabezado"/>
        <w:tabs>
          <w:tab w:val="clear" w:pos="8504"/>
        </w:tabs>
        <w:jc w:val="center"/>
        <w:rPr>
          <w:rFonts w:ascii="Times New Roman" w:hAnsi="Times New Roman" w:cs="Times New Roman"/>
          <w:b/>
          <w:bCs/>
          <w:sz w:val="28"/>
          <w:szCs w:val="26"/>
        </w:rPr>
      </w:pPr>
      <w:r w:rsidRPr="00664F17">
        <w:rPr>
          <w:rFonts w:ascii="Times New Roman" w:hAnsi="Times New Roman" w:cs="Times New Roman"/>
          <w:b/>
          <w:bCs/>
          <w:sz w:val="28"/>
          <w:szCs w:val="26"/>
        </w:rPr>
        <w:t>Sala Plena</w:t>
      </w:r>
    </w:p>
    <w:p w14:paraId="46551AD4" w14:textId="77777777" w:rsidR="00000000" w:rsidRPr="00664F17" w:rsidRDefault="00000000" w:rsidP="00DC18A0">
      <w:pPr>
        <w:autoSpaceDE w:val="0"/>
        <w:autoSpaceDN w:val="0"/>
        <w:adjustRightInd w:val="0"/>
        <w:ind w:right="57"/>
        <w:jc w:val="center"/>
        <w:rPr>
          <w:rFonts w:ascii="Times New Roman" w:hAnsi="Times New Roman" w:cs="Times New Roman"/>
          <w:sz w:val="28"/>
          <w:szCs w:val="26"/>
        </w:rPr>
      </w:pPr>
    </w:p>
    <w:p w14:paraId="49F32190" w14:textId="77777777" w:rsidR="00000000" w:rsidRPr="00664F17" w:rsidRDefault="00664F17" w:rsidP="00DC18A0">
      <w:pPr>
        <w:autoSpaceDE w:val="0"/>
        <w:autoSpaceDN w:val="0"/>
        <w:adjustRightInd w:val="0"/>
        <w:ind w:right="57"/>
        <w:jc w:val="center"/>
        <w:rPr>
          <w:rFonts w:ascii="Times New Roman" w:hAnsi="Times New Roman" w:cs="Times New Roman"/>
          <w:b/>
          <w:sz w:val="28"/>
          <w:szCs w:val="26"/>
        </w:rPr>
      </w:pPr>
      <w:r w:rsidRPr="00664F17">
        <w:rPr>
          <w:rFonts w:ascii="Times New Roman" w:hAnsi="Times New Roman" w:cs="Times New Roman"/>
          <w:b/>
          <w:sz w:val="28"/>
          <w:szCs w:val="26"/>
        </w:rPr>
        <w:t>AUTO 041 DE 2024</w:t>
      </w:r>
    </w:p>
    <w:p w14:paraId="0F5B7665" w14:textId="77777777" w:rsidR="00000000" w:rsidRPr="00664F17" w:rsidRDefault="00000000" w:rsidP="00DC18A0">
      <w:pPr>
        <w:keepNext/>
        <w:keepLines/>
        <w:autoSpaceDE w:val="0"/>
        <w:autoSpaceDN w:val="0"/>
        <w:adjustRightInd w:val="0"/>
        <w:ind w:right="57"/>
        <w:jc w:val="center"/>
        <w:rPr>
          <w:rFonts w:ascii="Times New Roman" w:hAnsi="Times New Roman" w:cs="Times New Roman"/>
          <w:b/>
          <w:bCs/>
          <w:sz w:val="28"/>
          <w:szCs w:val="26"/>
        </w:rPr>
      </w:pPr>
    </w:p>
    <w:p w14:paraId="42D9B571" w14:textId="77777777" w:rsidR="00000000" w:rsidRPr="00664F17" w:rsidRDefault="00664F17" w:rsidP="00DC18A0">
      <w:pPr>
        <w:kinsoku w:val="0"/>
        <w:overflowPunct w:val="0"/>
        <w:autoSpaceDE w:val="0"/>
        <w:autoSpaceDN w:val="0"/>
        <w:adjustRightInd w:val="0"/>
        <w:ind w:left="3828" w:right="49"/>
        <w:jc w:val="both"/>
        <w:rPr>
          <w:rFonts w:ascii="Times New Roman" w:hAnsi="Times New Roman" w:cs="Times New Roman"/>
          <w:sz w:val="28"/>
          <w:szCs w:val="26"/>
        </w:rPr>
      </w:pPr>
      <w:r w:rsidRPr="00664F17">
        <w:rPr>
          <w:rFonts w:ascii="Times New Roman" w:hAnsi="Times New Roman" w:cs="Times New Roman"/>
          <w:b/>
          <w:sz w:val="28"/>
          <w:szCs w:val="26"/>
        </w:rPr>
        <w:t>Referencia</w:t>
      </w:r>
      <w:r w:rsidRPr="00664F17">
        <w:rPr>
          <w:rFonts w:ascii="Times New Roman" w:hAnsi="Times New Roman" w:cs="Times New Roman"/>
          <w:sz w:val="28"/>
          <w:szCs w:val="26"/>
        </w:rPr>
        <w:t xml:space="preserve">: </w:t>
      </w:r>
      <w:r w:rsidRPr="00664F17">
        <w:rPr>
          <w:rFonts w:ascii="Times New Roman" w:hAnsi="Times New Roman" w:cs="Times New Roman"/>
          <w:sz w:val="28"/>
          <w:szCs w:val="26"/>
          <w:lang w:val="es-ES_tradnl" w:eastAsia="en-US"/>
        </w:rPr>
        <w:t>expediente</w:t>
      </w:r>
      <w:r w:rsidRPr="00664F17">
        <w:rPr>
          <w:rFonts w:ascii="Times New Roman" w:hAnsi="Times New Roman" w:cs="Times New Roman"/>
          <w:sz w:val="28"/>
          <w:szCs w:val="26"/>
        </w:rPr>
        <w:t xml:space="preserve"> CJU-4248.</w:t>
      </w:r>
    </w:p>
    <w:p w14:paraId="35128518" w14:textId="77777777" w:rsidR="00000000" w:rsidRPr="00664F17" w:rsidRDefault="00000000" w:rsidP="00DC18A0">
      <w:pPr>
        <w:ind w:left="3686" w:right="-234"/>
        <w:jc w:val="both"/>
        <w:rPr>
          <w:rFonts w:ascii="Times New Roman" w:hAnsi="Times New Roman" w:cs="Times New Roman"/>
          <w:sz w:val="28"/>
          <w:szCs w:val="26"/>
        </w:rPr>
      </w:pPr>
    </w:p>
    <w:p w14:paraId="2288C9C7" w14:textId="77777777" w:rsidR="00000000" w:rsidRPr="00664F17" w:rsidRDefault="00664F17" w:rsidP="00DC18A0">
      <w:pPr>
        <w:kinsoku w:val="0"/>
        <w:overflowPunct w:val="0"/>
        <w:autoSpaceDE w:val="0"/>
        <w:autoSpaceDN w:val="0"/>
        <w:adjustRightInd w:val="0"/>
        <w:ind w:left="3828" w:right="49"/>
        <w:jc w:val="both"/>
        <w:rPr>
          <w:rFonts w:ascii="Times New Roman" w:hAnsi="Times New Roman" w:cs="Times New Roman"/>
          <w:sz w:val="28"/>
          <w:szCs w:val="26"/>
        </w:rPr>
      </w:pPr>
      <w:r w:rsidRPr="00664F17">
        <w:rPr>
          <w:rFonts w:ascii="Times New Roman" w:hAnsi="Times New Roman" w:cs="Times New Roman"/>
          <w:sz w:val="28"/>
          <w:szCs w:val="26"/>
        </w:rPr>
        <w:lastRenderedPageBreak/>
        <w:t xml:space="preserve">Conflicto de jurisdicciones suscitado </w:t>
      </w:r>
      <w:bookmarkStart w:id="0" w:name="_Hlk58788681"/>
      <w:r w:rsidRPr="00664F17">
        <w:rPr>
          <w:rFonts w:ascii="Times New Roman" w:hAnsi="Times New Roman" w:cs="Times New Roman"/>
          <w:sz w:val="28"/>
          <w:szCs w:val="26"/>
        </w:rPr>
        <w:t xml:space="preserve">entre el Juzgado Noveno Administrativo de Popayán y el Juzgado Tercero Civil del Circuito de la misma ciudad. </w:t>
      </w:r>
    </w:p>
    <w:bookmarkEnd w:id="0"/>
    <w:p w14:paraId="74B1ABE2" w14:textId="77777777" w:rsidR="00000000" w:rsidRPr="00664F17" w:rsidRDefault="00000000" w:rsidP="00DC18A0">
      <w:pPr>
        <w:ind w:left="3686" w:right="-234"/>
        <w:jc w:val="both"/>
        <w:rPr>
          <w:rFonts w:ascii="Times New Roman" w:hAnsi="Times New Roman" w:cs="Times New Roman"/>
          <w:sz w:val="28"/>
          <w:szCs w:val="26"/>
        </w:rPr>
      </w:pPr>
    </w:p>
    <w:p w14:paraId="5F1C0013" w14:textId="77777777" w:rsidR="00000000" w:rsidRPr="00664F17" w:rsidRDefault="00664F17" w:rsidP="00DC18A0">
      <w:pPr>
        <w:kinsoku w:val="0"/>
        <w:overflowPunct w:val="0"/>
        <w:autoSpaceDE w:val="0"/>
        <w:autoSpaceDN w:val="0"/>
        <w:adjustRightInd w:val="0"/>
        <w:ind w:left="3828" w:right="49"/>
        <w:jc w:val="both"/>
        <w:rPr>
          <w:rFonts w:ascii="Times New Roman" w:hAnsi="Times New Roman" w:cs="Times New Roman"/>
          <w:b/>
          <w:bCs/>
          <w:sz w:val="28"/>
          <w:szCs w:val="26"/>
        </w:rPr>
      </w:pPr>
      <w:r w:rsidRPr="00664F17">
        <w:rPr>
          <w:rFonts w:ascii="Times New Roman" w:hAnsi="Times New Roman" w:cs="Times New Roman"/>
          <w:b/>
          <w:sz w:val="28"/>
          <w:szCs w:val="26"/>
        </w:rPr>
        <w:t>Magistrada</w:t>
      </w:r>
      <w:r w:rsidRPr="00664F17">
        <w:rPr>
          <w:rFonts w:ascii="Times New Roman" w:hAnsi="Times New Roman" w:cs="Times New Roman"/>
          <w:b/>
          <w:bCs/>
          <w:sz w:val="28"/>
          <w:szCs w:val="26"/>
        </w:rPr>
        <w:t xml:space="preserve"> ponente:</w:t>
      </w:r>
    </w:p>
    <w:p w14:paraId="503BC639" w14:textId="77777777" w:rsidR="00000000" w:rsidRPr="00664F17" w:rsidRDefault="00664F17" w:rsidP="00DC18A0">
      <w:pPr>
        <w:kinsoku w:val="0"/>
        <w:overflowPunct w:val="0"/>
        <w:autoSpaceDE w:val="0"/>
        <w:autoSpaceDN w:val="0"/>
        <w:adjustRightInd w:val="0"/>
        <w:ind w:left="3828" w:right="49"/>
        <w:jc w:val="both"/>
        <w:rPr>
          <w:rFonts w:ascii="Times New Roman" w:hAnsi="Times New Roman" w:cs="Times New Roman"/>
          <w:bCs/>
          <w:sz w:val="28"/>
          <w:szCs w:val="26"/>
        </w:rPr>
      </w:pPr>
      <w:r w:rsidRPr="00664F17">
        <w:rPr>
          <w:rFonts w:ascii="Times New Roman" w:hAnsi="Times New Roman" w:cs="Times New Roman"/>
          <w:bCs/>
          <w:sz w:val="28"/>
          <w:szCs w:val="26"/>
        </w:rPr>
        <w:t xml:space="preserve">Natalia </w:t>
      </w:r>
      <w:r w:rsidRPr="00664F17">
        <w:rPr>
          <w:rFonts w:ascii="Times New Roman" w:hAnsi="Times New Roman" w:cs="Times New Roman"/>
          <w:sz w:val="28"/>
          <w:szCs w:val="26"/>
          <w:lang w:val="es-ES_tradnl" w:eastAsia="en-US"/>
        </w:rPr>
        <w:t>Ángel</w:t>
      </w:r>
      <w:r w:rsidRPr="00664F17">
        <w:rPr>
          <w:rFonts w:ascii="Times New Roman" w:hAnsi="Times New Roman" w:cs="Times New Roman"/>
          <w:bCs/>
          <w:sz w:val="28"/>
          <w:szCs w:val="26"/>
        </w:rPr>
        <w:t xml:space="preserve"> Cabo.</w:t>
      </w:r>
    </w:p>
    <w:p w14:paraId="20305313" w14:textId="77777777" w:rsidR="00000000" w:rsidRPr="00664F17" w:rsidRDefault="00000000" w:rsidP="00DC18A0">
      <w:pPr>
        <w:ind w:right="-234"/>
        <w:rPr>
          <w:rFonts w:ascii="Times New Roman" w:hAnsi="Times New Roman" w:cs="Times New Roman"/>
          <w:sz w:val="28"/>
          <w:szCs w:val="26"/>
        </w:rPr>
      </w:pPr>
    </w:p>
    <w:p w14:paraId="78EFB59F" w14:textId="77777777" w:rsidR="00000000" w:rsidRPr="00664F17" w:rsidRDefault="00664F17" w:rsidP="00DC18A0">
      <w:pPr>
        <w:ind w:right="-234"/>
        <w:jc w:val="both"/>
        <w:rPr>
          <w:rFonts w:ascii="Times New Roman" w:hAnsi="Times New Roman" w:cs="Times New Roman"/>
          <w:sz w:val="28"/>
          <w:szCs w:val="26"/>
        </w:rPr>
      </w:pPr>
      <w:r w:rsidRPr="00664F17">
        <w:rPr>
          <w:rFonts w:ascii="Times New Roman" w:hAnsi="Times New Roman" w:cs="Times New Roman"/>
          <w:sz w:val="28"/>
          <w:szCs w:val="26"/>
        </w:rPr>
        <w:t>Bogotá, D.C., treinta y uno (31) de enero de dos mil veinticuatro (2024).</w:t>
      </w:r>
    </w:p>
    <w:p w14:paraId="1F179E08" w14:textId="77777777" w:rsidR="00000000" w:rsidRPr="00664F17" w:rsidRDefault="00000000" w:rsidP="00DC18A0">
      <w:pPr>
        <w:pStyle w:val="Style6"/>
        <w:spacing w:line="240" w:lineRule="auto"/>
        <w:ind w:right="-234"/>
        <w:rPr>
          <w:rFonts w:ascii="Times New Roman" w:hAnsi="Times New Roman" w:cs="Times New Roman"/>
          <w:sz w:val="28"/>
          <w:szCs w:val="26"/>
        </w:rPr>
      </w:pPr>
    </w:p>
    <w:p w14:paraId="681669C0" w14:textId="77777777" w:rsidR="00000000" w:rsidRPr="00664F17" w:rsidRDefault="00664F17" w:rsidP="00DC18A0">
      <w:pPr>
        <w:kinsoku w:val="0"/>
        <w:overflowPunct w:val="0"/>
        <w:autoSpaceDE w:val="0"/>
        <w:autoSpaceDN w:val="0"/>
        <w:adjustRightInd w:val="0"/>
        <w:ind w:right="49"/>
        <w:jc w:val="both"/>
        <w:rPr>
          <w:rFonts w:ascii="Times New Roman" w:hAnsi="Times New Roman" w:cs="Times New Roman"/>
          <w:sz w:val="28"/>
          <w:szCs w:val="26"/>
        </w:rPr>
      </w:pPr>
      <w:r w:rsidRPr="00664F17">
        <w:rPr>
          <w:rFonts w:ascii="Times New Roman" w:hAnsi="Times New Roman" w:cs="Times New Roman"/>
          <w:sz w:val="28"/>
          <w:szCs w:val="26"/>
        </w:rPr>
        <w:t xml:space="preserve">La Sala Plena de la </w:t>
      </w:r>
      <w:r w:rsidRPr="00664F17">
        <w:rPr>
          <w:rFonts w:ascii="Times New Roman" w:hAnsi="Times New Roman" w:cs="Times New Roman"/>
          <w:sz w:val="28"/>
          <w:szCs w:val="26"/>
          <w:lang w:val="es-ES_tradnl" w:eastAsia="en-US"/>
        </w:rPr>
        <w:t>Corte</w:t>
      </w:r>
      <w:r w:rsidRPr="00664F17">
        <w:rPr>
          <w:rFonts w:ascii="Times New Roman" w:hAnsi="Times New Roman" w:cs="Times New Roman"/>
          <w:sz w:val="28"/>
          <w:szCs w:val="26"/>
        </w:rPr>
        <w:t xml:space="preserve"> Constitucional, en cumplimiento de sus atribuciones constitucionales, en especial la prevista en el numeral 11 del artículo 241 de la Constitución Política, profiere el siguiente:</w:t>
      </w:r>
    </w:p>
    <w:p w14:paraId="3EE3EA94" w14:textId="77777777" w:rsidR="00000000" w:rsidRPr="00664F17" w:rsidRDefault="00000000" w:rsidP="00DC18A0">
      <w:pPr>
        <w:pStyle w:val="Style6"/>
        <w:spacing w:line="240" w:lineRule="auto"/>
        <w:ind w:right="-234"/>
        <w:rPr>
          <w:rStyle w:val="FontStyle11"/>
          <w:b w:val="0"/>
          <w:bCs w:val="0"/>
          <w:sz w:val="28"/>
        </w:rPr>
      </w:pPr>
    </w:p>
    <w:p w14:paraId="48AB04F5" w14:textId="77777777" w:rsidR="00000000" w:rsidRPr="00664F17" w:rsidRDefault="00664F17" w:rsidP="00DC18A0">
      <w:pPr>
        <w:pStyle w:val="Style2"/>
        <w:widowControl/>
        <w:spacing w:line="240" w:lineRule="auto"/>
        <w:ind w:right="-234"/>
        <w:rPr>
          <w:rFonts w:ascii="Times New Roman" w:hAnsi="Times New Roman" w:cs="Times New Roman"/>
          <w:b/>
          <w:bCs/>
          <w:sz w:val="28"/>
          <w:szCs w:val="26"/>
          <w:lang w:val="es-CO" w:eastAsia="es-ES_tradnl"/>
        </w:rPr>
      </w:pPr>
      <w:r w:rsidRPr="00664F17">
        <w:rPr>
          <w:rStyle w:val="FontStyle11"/>
          <w:sz w:val="28"/>
          <w:lang w:val="es-CO" w:eastAsia="es-ES_tradnl"/>
        </w:rPr>
        <w:t>AUTO.</w:t>
      </w:r>
    </w:p>
    <w:p w14:paraId="63EA18FF" w14:textId="77777777" w:rsidR="00000000" w:rsidRPr="00664F17" w:rsidRDefault="00000000" w:rsidP="00DC18A0">
      <w:pPr>
        <w:pStyle w:val="Style2"/>
        <w:widowControl/>
        <w:spacing w:line="240" w:lineRule="auto"/>
        <w:ind w:right="-234"/>
        <w:jc w:val="left"/>
        <w:rPr>
          <w:rFonts w:ascii="Times New Roman" w:hAnsi="Times New Roman" w:cs="Times New Roman"/>
          <w:b/>
          <w:sz w:val="28"/>
          <w:szCs w:val="26"/>
        </w:rPr>
      </w:pPr>
    </w:p>
    <w:p w14:paraId="26CDE15B" w14:textId="77777777" w:rsidR="00000000" w:rsidRPr="00664F17" w:rsidRDefault="00664F17" w:rsidP="00DC18A0">
      <w:pPr>
        <w:pStyle w:val="Style2"/>
        <w:widowControl/>
        <w:numPr>
          <w:ilvl w:val="0"/>
          <w:numId w:val="4"/>
        </w:numPr>
        <w:spacing w:line="240" w:lineRule="auto"/>
        <w:ind w:left="709" w:right="-234"/>
        <w:jc w:val="left"/>
        <w:rPr>
          <w:rFonts w:ascii="Times New Roman" w:hAnsi="Times New Roman" w:cs="Times New Roman"/>
          <w:b/>
          <w:sz w:val="28"/>
          <w:szCs w:val="26"/>
        </w:rPr>
      </w:pPr>
      <w:r w:rsidRPr="00664F17">
        <w:rPr>
          <w:rFonts w:ascii="Times New Roman" w:hAnsi="Times New Roman" w:cs="Times New Roman"/>
          <w:b/>
          <w:sz w:val="28"/>
          <w:szCs w:val="26"/>
        </w:rPr>
        <w:t>ANTECEDENTES</w:t>
      </w:r>
    </w:p>
    <w:p w14:paraId="434B170E" w14:textId="77777777" w:rsidR="00000000" w:rsidRPr="00664F17" w:rsidRDefault="00000000" w:rsidP="00DC18A0">
      <w:pPr>
        <w:pStyle w:val="Prrafodelista"/>
        <w:kinsoku w:val="0"/>
        <w:overflowPunct w:val="0"/>
        <w:autoSpaceDE w:val="0"/>
        <w:autoSpaceDN w:val="0"/>
        <w:adjustRightInd w:val="0"/>
        <w:ind w:left="0" w:right="49"/>
        <w:jc w:val="both"/>
        <w:rPr>
          <w:rFonts w:ascii="Times New Roman" w:eastAsiaTheme="minorHAnsi" w:hAnsi="Times New Roman" w:cs="Times New Roman"/>
          <w:sz w:val="28"/>
          <w:szCs w:val="26"/>
          <w:lang w:eastAsia="en-US"/>
        </w:rPr>
      </w:pPr>
    </w:p>
    <w:p w14:paraId="32C05A5D" w14:textId="77777777" w:rsidR="00000000" w:rsidRPr="00664F17" w:rsidRDefault="00664F17" w:rsidP="00F2399B">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El 13 de diciembre de 2019, en ejercicio del medio de control de reparación directa, la parte demandante</w:t>
      </w:r>
      <w:r w:rsidRPr="00664F17">
        <w:rPr>
          <w:rStyle w:val="Refdenotaalpie"/>
          <w:rFonts w:ascii="Times New Roman" w:eastAsiaTheme="minorHAnsi" w:hAnsi="Times New Roman" w:cs="Times New Roman"/>
          <w:sz w:val="28"/>
          <w:szCs w:val="26"/>
          <w:lang w:eastAsia="en-US"/>
        </w:rPr>
        <w:footnoteReference w:id="1"/>
      </w:r>
      <w:r w:rsidRPr="00664F17">
        <w:rPr>
          <w:rFonts w:ascii="Times New Roman" w:eastAsiaTheme="minorHAnsi" w:hAnsi="Times New Roman" w:cs="Times New Roman"/>
          <w:sz w:val="28"/>
          <w:szCs w:val="26"/>
          <w:lang w:eastAsia="en-US"/>
        </w:rPr>
        <w:t xml:space="preserve"> requirió al Ministerio de Salud y de la Protección Social, a la Superintendencia Nacional de Salud, a la Sociedad Estudios e Inversiones Médica S.A. (</w:t>
      </w:r>
      <w:proofErr w:type="spellStart"/>
      <w:r w:rsidRPr="00664F17">
        <w:rPr>
          <w:rFonts w:ascii="Times New Roman" w:eastAsiaTheme="minorHAnsi" w:hAnsi="Times New Roman" w:cs="Times New Roman"/>
          <w:sz w:val="28"/>
          <w:szCs w:val="26"/>
          <w:lang w:eastAsia="en-US"/>
        </w:rPr>
        <w:t>Esimed</w:t>
      </w:r>
      <w:proofErr w:type="spellEnd"/>
      <w:r w:rsidRPr="00664F17">
        <w:rPr>
          <w:rFonts w:ascii="Times New Roman" w:eastAsiaTheme="minorHAnsi" w:hAnsi="Times New Roman" w:cs="Times New Roman"/>
          <w:sz w:val="28"/>
          <w:szCs w:val="26"/>
          <w:lang w:eastAsia="en-US"/>
        </w:rPr>
        <w:t xml:space="preserve"> S.A.), a </w:t>
      </w:r>
      <w:proofErr w:type="spellStart"/>
      <w:r w:rsidRPr="00664F17">
        <w:rPr>
          <w:rFonts w:ascii="Times New Roman" w:eastAsiaTheme="minorHAnsi" w:hAnsi="Times New Roman" w:cs="Times New Roman"/>
          <w:sz w:val="28"/>
          <w:szCs w:val="26"/>
          <w:lang w:eastAsia="en-US"/>
        </w:rPr>
        <w:t>Dumian</w:t>
      </w:r>
      <w:proofErr w:type="spellEnd"/>
      <w:r w:rsidRPr="00664F17">
        <w:rPr>
          <w:rFonts w:ascii="Times New Roman" w:eastAsiaTheme="minorHAnsi" w:hAnsi="Times New Roman" w:cs="Times New Roman"/>
          <w:sz w:val="28"/>
          <w:szCs w:val="26"/>
          <w:lang w:eastAsia="en-US"/>
        </w:rPr>
        <w:t xml:space="preserve"> Medical S.A.S y Medimás ESP S.A.S., su responsabilidad patrimonial y el respectivo reconocimiento y pago de los daños causados por una presunta falla médica que terminó con la muerte de la señora Custodia </w:t>
      </w:r>
      <w:proofErr w:type="spellStart"/>
      <w:r w:rsidRPr="00664F17">
        <w:rPr>
          <w:rFonts w:ascii="Times New Roman" w:eastAsiaTheme="minorHAnsi" w:hAnsi="Times New Roman" w:cs="Times New Roman"/>
          <w:sz w:val="28"/>
          <w:szCs w:val="26"/>
          <w:lang w:eastAsia="en-US"/>
        </w:rPr>
        <w:t>Pisso</w:t>
      </w:r>
      <w:proofErr w:type="spellEnd"/>
      <w:r w:rsidRPr="00664F17">
        <w:rPr>
          <w:rFonts w:ascii="Times New Roman" w:eastAsiaTheme="minorHAnsi" w:hAnsi="Times New Roman" w:cs="Times New Roman"/>
          <w:sz w:val="28"/>
          <w:szCs w:val="26"/>
          <w:lang w:eastAsia="en-US"/>
        </w:rPr>
        <w:t xml:space="preserve"> </w:t>
      </w:r>
      <w:proofErr w:type="spellStart"/>
      <w:r w:rsidRPr="00664F17">
        <w:rPr>
          <w:rFonts w:ascii="Times New Roman" w:eastAsiaTheme="minorHAnsi" w:hAnsi="Times New Roman" w:cs="Times New Roman"/>
          <w:sz w:val="28"/>
          <w:szCs w:val="26"/>
          <w:lang w:eastAsia="en-US"/>
        </w:rPr>
        <w:t>Bahos</w:t>
      </w:r>
      <w:proofErr w:type="spellEnd"/>
      <w:r w:rsidRPr="00664F17">
        <w:rPr>
          <w:rFonts w:ascii="Times New Roman" w:eastAsiaTheme="minorHAnsi" w:hAnsi="Times New Roman" w:cs="Times New Roman"/>
          <w:sz w:val="28"/>
          <w:szCs w:val="26"/>
          <w:lang w:eastAsia="en-US"/>
        </w:rPr>
        <w:t xml:space="preserve"> (26 de octubre de 2017).</w:t>
      </w:r>
    </w:p>
    <w:p w14:paraId="1857794E" w14:textId="77777777" w:rsidR="00000000" w:rsidRPr="00664F17" w:rsidRDefault="00664F17" w:rsidP="00DF56F3">
      <w:pPr>
        <w:pStyle w:val="Prrafodelista"/>
        <w:kinsoku w:val="0"/>
        <w:overflowPunct w:val="0"/>
        <w:autoSpaceDE w:val="0"/>
        <w:autoSpaceDN w:val="0"/>
        <w:adjustRightInd w:val="0"/>
        <w:ind w:left="0"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 xml:space="preserve"> </w:t>
      </w:r>
    </w:p>
    <w:p w14:paraId="6ED55ECE" w14:textId="77777777" w:rsidR="00000000" w:rsidRPr="00664F17" w:rsidRDefault="00664F17" w:rsidP="00F2399B">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 xml:space="preserve">Los demandantes alegan que con ocasión a, entre otras cosas, el tardío e irregular diagnóstico de la obstrucción intestinal que se realizó a la señora </w:t>
      </w:r>
      <w:r w:rsidRPr="00664F17">
        <w:rPr>
          <w:rFonts w:ascii="Times New Roman" w:eastAsiaTheme="minorHAnsi" w:hAnsi="Times New Roman" w:cs="Times New Roman"/>
          <w:sz w:val="28"/>
          <w:szCs w:val="26"/>
          <w:lang w:eastAsia="en-US"/>
        </w:rPr>
        <w:lastRenderedPageBreak/>
        <w:t xml:space="preserve">Custodia </w:t>
      </w:r>
      <w:proofErr w:type="spellStart"/>
      <w:r w:rsidRPr="00664F17">
        <w:rPr>
          <w:rFonts w:ascii="Times New Roman" w:eastAsiaTheme="minorHAnsi" w:hAnsi="Times New Roman" w:cs="Times New Roman"/>
          <w:sz w:val="28"/>
          <w:szCs w:val="26"/>
          <w:lang w:eastAsia="en-US"/>
        </w:rPr>
        <w:t>Pisso</w:t>
      </w:r>
      <w:proofErr w:type="spellEnd"/>
      <w:r w:rsidRPr="00664F17">
        <w:rPr>
          <w:rFonts w:ascii="Times New Roman" w:eastAsiaTheme="minorHAnsi" w:hAnsi="Times New Roman" w:cs="Times New Roman"/>
          <w:sz w:val="28"/>
          <w:szCs w:val="26"/>
          <w:lang w:eastAsia="en-US"/>
        </w:rPr>
        <w:t xml:space="preserve"> </w:t>
      </w:r>
      <w:proofErr w:type="spellStart"/>
      <w:r w:rsidRPr="00664F17">
        <w:rPr>
          <w:rFonts w:ascii="Times New Roman" w:eastAsiaTheme="minorHAnsi" w:hAnsi="Times New Roman" w:cs="Times New Roman"/>
          <w:sz w:val="28"/>
          <w:szCs w:val="26"/>
          <w:lang w:eastAsia="en-US"/>
        </w:rPr>
        <w:t>Bahos</w:t>
      </w:r>
      <w:proofErr w:type="spellEnd"/>
      <w:r w:rsidRPr="00664F17">
        <w:rPr>
          <w:rFonts w:ascii="Times New Roman" w:eastAsiaTheme="minorHAnsi" w:hAnsi="Times New Roman" w:cs="Times New Roman"/>
          <w:sz w:val="28"/>
          <w:szCs w:val="26"/>
          <w:lang w:eastAsia="en-US"/>
        </w:rPr>
        <w:t xml:space="preserve">, ésta terminó por fallecer. Afirman que el manejo otorgado por las demandadas a la situación de salud de su familiar desconoció por completo los protocolos que correspondían y fueron contrarios a la “lex </w:t>
      </w:r>
      <w:proofErr w:type="spellStart"/>
      <w:r w:rsidRPr="00664F17">
        <w:rPr>
          <w:rFonts w:ascii="Times New Roman" w:eastAsiaTheme="minorHAnsi" w:hAnsi="Times New Roman" w:cs="Times New Roman"/>
          <w:sz w:val="28"/>
          <w:szCs w:val="26"/>
          <w:lang w:eastAsia="en-US"/>
        </w:rPr>
        <w:t>artis</w:t>
      </w:r>
      <w:proofErr w:type="spellEnd"/>
      <w:r w:rsidRPr="00664F17">
        <w:rPr>
          <w:rFonts w:ascii="Times New Roman" w:eastAsiaTheme="minorHAnsi" w:hAnsi="Times New Roman" w:cs="Times New Roman"/>
          <w:sz w:val="28"/>
          <w:szCs w:val="26"/>
          <w:lang w:eastAsia="en-US"/>
        </w:rPr>
        <w:t>”</w:t>
      </w:r>
      <w:r w:rsidRPr="00664F17">
        <w:rPr>
          <w:rStyle w:val="Refdenotaalpie"/>
          <w:rFonts w:ascii="Times New Roman" w:eastAsiaTheme="minorHAnsi" w:hAnsi="Times New Roman" w:cs="Times New Roman"/>
          <w:sz w:val="28"/>
          <w:szCs w:val="26"/>
          <w:lang w:eastAsia="en-US"/>
        </w:rPr>
        <w:footnoteReference w:id="2"/>
      </w:r>
      <w:r w:rsidRPr="00664F17">
        <w:rPr>
          <w:rFonts w:ascii="Times New Roman" w:eastAsiaTheme="minorHAnsi" w:hAnsi="Times New Roman" w:cs="Times New Roman"/>
          <w:sz w:val="28"/>
          <w:szCs w:val="26"/>
          <w:lang w:eastAsia="en-US"/>
        </w:rPr>
        <w:t xml:space="preserve">. </w:t>
      </w:r>
    </w:p>
    <w:p w14:paraId="0AA2EAE4" w14:textId="77777777" w:rsidR="00000000" w:rsidRPr="00664F17" w:rsidRDefault="00000000" w:rsidP="00337C90">
      <w:pPr>
        <w:pStyle w:val="Prrafodelista"/>
        <w:kinsoku w:val="0"/>
        <w:overflowPunct w:val="0"/>
        <w:autoSpaceDE w:val="0"/>
        <w:autoSpaceDN w:val="0"/>
        <w:adjustRightInd w:val="0"/>
        <w:ind w:left="0" w:right="49"/>
        <w:jc w:val="both"/>
        <w:rPr>
          <w:rFonts w:ascii="Times New Roman" w:eastAsiaTheme="minorHAnsi" w:hAnsi="Times New Roman" w:cs="Times New Roman"/>
          <w:sz w:val="28"/>
          <w:szCs w:val="26"/>
          <w:lang w:eastAsia="en-US"/>
        </w:rPr>
      </w:pPr>
    </w:p>
    <w:p w14:paraId="2719EF97"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 xml:space="preserve">El caso le correspondió al Juzgado Noveno Administrativo de Popayán. En ese trámite, </w:t>
      </w:r>
      <w:proofErr w:type="spellStart"/>
      <w:r w:rsidRPr="00664F17">
        <w:rPr>
          <w:rFonts w:ascii="Times New Roman" w:eastAsiaTheme="minorHAnsi" w:hAnsi="Times New Roman" w:cs="Times New Roman"/>
          <w:sz w:val="28"/>
          <w:szCs w:val="26"/>
          <w:lang w:eastAsia="en-US"/>
        </w:rPr>
        <w:t>Medimas</w:t>
      </w:r>
      <w:proofErr w:type="spellEnd"/>
      <w:r w:rsidRPr="00664F17">
        <w:rPr>
          <w:rFonts w:ascii="Times New Roman" w:eastAsiaTheme="minorHAnsi" w:hAnsi="Times New Roman" w:cs="Times New Roman"/>
          <w:sz w:val="28"/>
          <w:szCs w:val="26"/>
          <w:lang w:eastAsia="en-US"/>
        </w:rPr>
        <w:t xml:space="preserve"> EPS presentó la excepción de falta de jurisdicción y competencia, sustentada en los artículos 100 y 104 del Código General del Proceso. Fue así como, para el 3 de febrero de 2023, el referido juzgado declaró su falta de jurisdicción para continuar con el respectivo trámite. En términos generales, dicho juzgado sostuvo que la imputación hecha a las entidades estatales se hizo de manera genérica pues lo que en realidad reprochan los demandantes se refiere a las acciones y omisiones de particulares que presuntamente condujeron a la muerte de su familiar. Por ello, el caso fue remitido a los juzgados civiles de Popayán. </w:t>
      </w:r>
    </w:p>
    <w:p w14:paraId="290947A1" w14:textId="77777777" w:rsidR="00000000" w:rsidRPr="00664F17" w:rsidRDefault="00000000" w:rsidP="006F3B51">
      <w:pPr>
        <w:pStyle w:val="Prrafodelista"/>
        <w:rPr>
          <w:rFonts w:ascii="Times New Roman" w:eastAsiaTheme="minorHAnsi" w:hAnsi="Times New Roman" w:cs="Times New Roman"/>
          <w:sz w:val="28"/>
          <w:szCs w:val="26"/>
          <w:lang w:eastAsia="en-US"/>
        </w:rPr>
      </w:pPr>
    </w:p>
    <w:p w14:paraId="640DA1CF"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El 24 de mayo de 2023, el Juzgado Tercero Civil del Circuito de Popayán propuso el presente conflicto negativo de jurisdicciones. Ese juzgado indicó que, en este caso, opera el denominado “fuero de atracción”, según el cual, “</w:t>
      </w:r>
      <w:r w:rsidRPr="00664F17">
        <w:rPr>
          <w:rFonts w:ascii="Times New Roman" w:hAnsi="Times New Roman" w:cs="Times New Roman"/>
          <w:sz w:val="28"/>
          <w:szCs w:val="26"/>
        </w:rPr>
        <w:t xml:space="preserve">resulta procedente siempre que desde la formulación de las pretensiones y su soporte probatorio pueda inferirse que existe una probabilidad mínimamente seria de que la entidad o entidades públicas demandadas, por cuya implicación en la </w:t>
      </w:r>
      <w:r w:rsidRPr="00664F17">
        <w:rPr>
          <w:rFonts w:ascii="Times New Roman" w:hAnsi="Times New Roman" w:cs="Times New Roman"/>
          <w:i/>
          <w:iCs/>
          <w:sz w:val="28"/>
          <w:szCs w:val="26"/>
        </w:rPr>
        <w:t>litis</w:t>
      </w:r>
      <w:r w:rsidRPr="00664F17">
        <w:rPr>
          <w:rFonts w:ascii="Times New Roman" w:hAnsi="Times New Roman" w:cs="Times New Roman"/>
          <w:sz w:val="28"/>
          <w:szCs w:val="26"/>
        </w:rPr>
        <w:t xml:space="preserve"> resultaría competente el juez administrativo, sean efectivamente condenadas”</w:t>
      </w:r>
      <w:r w:rsidRPr="00664F17">
        <w:rPr>
          <w:rStyle w:val="Refdenotaalpie"/>
          <w:rFonts w:ascii="Times New Roman" w:hAnsi="Times New Roman" w:cs="Times New Roman"/>
          <w:sz w:val="28"/>
          <w:szCs w:val="26"/>
        </w:rPr>
        <w:footnoteReference w:id="3"/>
      </w:r>
      <w:r w:rsidRPr="00664F17">
        <w:rPr>
          <w:rFonts w:ascii="Times New Roman" w:hAnsi="Times New Roman" w:cs="Times New Roman"/>
          <w:sz w:val="28"/>
          <w:szCs w:val="26"/>
        </w:rPr>
        <w:t xml:space="preserve">. Lo anterior, con base en algunos pronunciamientos del Consejo de Estado. El 29 de mayo de 2023 el expediente fue remitido a esta Corporación. </w:t>
      </w:r>
    </w:p>
    <w:p w14:paraId="7A05767C" w14:textId="77777777" w:rsidR="00000000" w:rsidRPr="00664F17" w:rsidRDefault="00000000" w:rsidP="00DC18A0">
      <w:pPr>
        <w:pStyle w:val="Prrafodelista"/>
        <w:kinsoku w:val="0"/>
        <w:overflowPunct w:val="0"/>
        <w:autoSpaceDE w:val="0"/>
        <w:autoSpaceDN w:val="0"/>
        <w:adjustRightInd w:val="0"/>
        <w:ind w:left="0" w:right="49"/>
        <w:jc w:val="both"/>
        <w:rPr>
          <w:rFonts w:ascii="Times New Roman" w:eastAsiaTheme="minorHAnsi" w:hAnsi="Times New Roman" w:cs="Times New Roman"/>
          <w:sz w:val="28"/>
          <w:szCs w:val="26"/>
          <w:lang w:eastAsia="en-US"/>
        </w:rPr>
      </w:pPr>
    </w:p>
    <w:p w14:paraId="3E9F6FA7"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lang w:eastAsia="en-US"/>
        </w:rPr>
      </w:pPr>
      <w:r w:rsidRPr="00664F17">
        <w:rPr>
          <w:rFonts w:ascii="Times New Roman" w:eastAsiaTheme="minorHAnsi" w:hAnsi="Times New Roman" w:cs="Times New Roman"/>
          <w:sz w:val="28"/>
          <w:szCs w:val="26"/>
          <w:lang w:eastAsia="en-US"/>
        </w:rPr>
        <w:t>Según la constancia de la Secretaría General de la Corte Constitucional, el 16 de agosto de 2023, el expediente de la referencia fue repartido al despacho de la magistrada Natalia Ángel Cabo</w:t>
      </w:r>
      <w:r w:rsidRPr="00664F17">
        <w:rPr>
          <w:rStyle w:val="Refdenotaalpie"/>
          <w:rFonts w:ascii="Times New Roman" w:eastAsiaTheme="minorHAnsi" w:hAnsi="Times New Roman" w:cs="Times New Roman"/>
          <w:sz w:val="28"/>
          <w:szCs w:val="26"/>
        </w:rPr>
        <w:footnoteReference w:id="4"/>
      </w:r>
      <w:r w:rsidRPr="00664F17">
        <w:rPr>
          <w:rFonts w:ascii="Times New Roman" w:eastAsiaTheme="minorHAnsi" w:hAnsi="Times New Roman" w:cs="Times New Roman"/>
          <w:sz w:val="28"/>
          <w:szCs w:val="26"/>
          <w:lang w:eastAsia="en-US"/>
        </w:rPr>
        <w:t xml:space="preserve">. </w:t>
      </w:r>
    </w:p>
    <w:p w14:paraId="058B3635" w14:textId="77777777" w:rsidR="00000000" w:rsidRPr="00664F17" w:rsidRDefault="00000000" w:rsidP="00DC18A0">
      <w:pPr>
        <w:pStyle w:val="Style2"/>
        <w:widowControl/>
        <w:spacing w:line="240" w:lineRule="auto"/>
        <w:ind w:right="-234"/>
        <w:jc w:val="both"/>
        <w:rPr>
          <w:rFonts w:ascii="Times New Roman" w:hAnsi="Times New Roman" w:cs="Times New Roman"/>
          <w:sz w:val="28"/>
          <w:szCs w:val="26"/>
        </w:rPr>
      </w:pPr>
    </w:p>
    <w:p w14:paraId="48AB4F3E" w14:textId="77777777" w:rsidR="00000000" w:rsidRPr="00664F17" w:rsidRDefault="00664F17" w:rsidP="0047160A">
      <w:pPr>
        <w:pStyle w:val="Style2"/>
        <w:widowControl/>
        <w:spacing w:line="240" w:lineRule="auto"/>
        <w:ind w:right="-234"/>
        <w:jc w:val="left"/>
        <w:rPr>
          <w:rFonts w:ascii="Times New Roman" w:hAnsi="Times New Roman" w:cs="Times New Roman"/>
          <w:b/>
          <w:bCs/>
          <w:sz w:val="28"/>
          <w:szCs w:val="26"/>
        </w:rPr>
      </w:pPr>
      <w:r w:rsidRPr="00664F17">
        <w:rPr>
          <w:rFonts w:ascii="Times New Roman" w:hAnsi="Times New Roman" w:cs="Times New Roman"/>
          <w:b/>
          <w:sz w:val="28"/>
          <w:szCs w:val="26"/>
        </w:rPr>
        <w:t xml:space="preserve">II. </w:t>
      </w:r>
      <w:r w:rsidRPr="00664F17">
        <w:rPr>
          <w:rFonts w:ascii="Times New Roman" w:hAnsi="Times New Roman" w:cs="Times New Roman" w:hint="cs"/>
          <w:b/>
          <w:sz w:val="28"/>
          <w:szCs w:val="26"/>
        </w:rPr>
        <w:t>CONSIDERACIONES</w:t>
      </w:r>
    </w:p>
    <w:p w14:paraId="6F0BDC01" w14:textId="77777777" w:rsidR="00000000" w:rsidRPr="00664F17" w:rsidRDefault="00000000" w:rsidP="00DC18A0">
      <w:pPr>
        <w:jc w:val="both"/>
        <w:rPr>
          <w:rFonts w:ascii="Times New Roman" w:eastAsiaTheme="minorHAnsi" w:hAnsi="Times New Roman" w:cs="Times New Roman"/>
          <w:sz w:val="28"/>
          <w:szCs w:val="26"/>
          <w:lang w:eastAsia="en-US"/>
        </w:rPr>
      </w:pPr>
    </w:p>
    <w:p w14:paraId="35041471" w14:textId="77777777" w:rsidR="00000000" w:rsidRPr="00664F17" w:rsidRDefault="00664F17" w:rsidP="00DC18A0">
      <w:pPr>
        <w:autoSpaceDE w:val="0"/>
        <w:autoSpaceDN w:val="0"/>
        <w:adjustRightInd w:val="0"/>
        <w:ind w:right="103"/>
        <w:jc w:val="both"/>
        <w:rPr>
          <w:rFonts w:ascii="Times New Roman" w:eastAsiaTheme="minorHAnsi" w:hAnsi="Times New Roman" w:cs="Times New Roman"/>
          <w:b/>
          <w:bCs/>
          <w:sz w:val="28"/>
          <w:szCs w:val="26"/>
        </w:rPr>
      </w:pPr>
      <w:r w:rsidRPr="00664F17">
        <w:rPr>
          <w:rFonts w:ascii="Times New Roman" w:eastAsiaTheme="minorHAnsi" w:hAnsi="Times New Roman" w:cs="Times New Roman"/>
          <w:b/>
          <w:bCs/>
          <w:sz w:val="28"/>
          <w:szCs w:val="26"/>
        </w:rPr>
        <w:t>Competencia</w:t>
      </w:r>
    </w:p>
    <w:p w14:paraId="7890F31D" w14:textId="77777777" w:rsidR="00000000" w:rsidRPr="00664F17" w:rsidRDefault="00000000" w:rsidP="00DC18A0">
      <w:pPr>
        <w:contextualSpacing/>
        <w:rPr>
          <w:rFonts w:ascii="Times New Roman" w:eastAsiaTheme="minorHAnsi" w:hAnsi="Times New Roman" w:cs="Times New Roman"/>
          <w:sz w:val="28"/>
          <w:szCs w:val="26"/>
        </w:rPr>
      </w:pPr>
    </w:p>
    <w:p w14:paraId="6BCB84FC"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rPr>
      </w:pPr>
      <w:r w:rsidRPr="00664F17">
        <w:rPr>
          <w:rFonts w:ascii="Times New Roman" w:eastAsiaTheme="minorHAnsi" w:hAnsi="Times New Roman" w:cs="Times New Roman"/>
          <w:sz w:val="28"/>
          <w:szCs w:val="26"/>
        </w:rPr>
        <w:t xml:space="preserve">La Sala Plena de la Corte Constitucional es competente para resolver los </w:t>
      </w:r>
      <w:r w:rsidRPr="00664F17">
        <w:rPr>
          <w:rFonts w:ascii="Times New Roman" w:hAnsi="Times New Roman" w:cs="Times New Roman"/>
          <w:sz w:val="28"/>
          <w:szCs w:val="26"/>
        </w:rPr>
        <w:t>conflictos</w:t>
      </w:r>
      <w:r w:rsidRPr="00664F17">
        <w:rPr>
          <w:rFonts w:ascii="Times New Roman" w:eastAsiaTheme="minorHAnsi" w:hAnsi="Times New Roman" w:cs="Times New Roman"/>
          <w:sz w:val="28"/>
          <w:szCs w:val="26"/>
        </w:rPr>
        <w:t xml:space="preserve"> entre jurisdicciones de acuerdo con lo dispuesto en el numeral 11 del artículo 241 de la Constitución Política.</w:t>
      </w:r>
    </w:p>
    <w:p w14:paraId="79B9B5A6" w14:textId="77777777" w:rsidR="00000000" w:rsidRPr="00664F17" w:rsidRDefault="00000000" w:rsidP="00DC18A0">
      <w:pPr>
        <w:contextualSpacing/>
        <w:rPr>
          <w:rFonts w:ascii="Times New Roman" w:eastAsiaTheme="minorHAnsi" w:hAnsi="Times New Roman" w:cs="Times New Roman"/>
          <w:sz w:val="28"/>
          <w:szCs w:val="26"/>
        </w:rPr>
      </w:pPr>
    </w:p>
    <w:p w14:paraId="647A961E" w14:textId="77777777" w:rsidR="00000000" w:rsidRPr="00664F17" w:rsidRDefault="00664F17" w:rsidP="00DC18A0">
      <w:pPr>
        <w:autoSpaceDE w:val="0"/>
        <w:autoSpaceDN w:val="0"/>
        <w:adjustRightInd w:val="0"/>
        <w:ind w:right="103"/>
        <w:jc w:val="both"/>
        <w:rPr>
          <w:rFonts w:ascii="Times New Roman" w:eastAsiaTheme="minorHAnsi" w:hAnsi="Times New Roman" w:cs="Times New Roman"/>
          <w:b/>
          <w:bCs/>
          <w:sz w:val="28"/>
          <w:szCs w:val="26"/>
        </w:rPr>
      </w:pPr>
      <w:r w:rsidRPr="00664F17">
        <w:rPr>
          <w:rFonts w:ascii="Times New Roman" w:eastAsiaTheme="minorHAnsi" w:hAnsi="Times New Roman" w:cs="Times New Roman"/>
          <w:b/>
          <w:bCs/>
          <w:sz w:val="28"/>
          <w:szCs w:val="26"/>
        </w:rPr>
        <w:t>En el presente caso se verifican los presupuestos para que se configure un conflicto negativo de jurisdicciones</w:t>
      </w:r>
    </w:p>
    <w:p w14:paraId="4DDDDDA1" w14:textId="77777777" w:rsidR="00000000" w:rsidRPr="00664F17" w:rsidRDefault="00000000" w:rsidP="00DC18A0">
      <w:pPr>
        <w:rPr>
          <w:rFonts w:ascii="Times New Roman" w:eastAsiaTheme="minorHAnsi" w:hAnsi="Times New Roman" w:cs="Times New Roman"/>
          <w:sz w:val="28"/>
          <w:szCs w:val="26"/>
        </w:rPr>
      </w:pPr>
    </w:p>
    <w:p w14:paraId="538C566F"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rPr>
      </w:pPr>
      <w:r w:rsidRPr="00664F17">
        <w:rPr>
          <w:rFonts w:ascii="Times New Roman" w:eastAsiaTheme="minorHAnsi" w:hAnsi="Times New Roman" w:cs="Times New Roman"/>
          <w:sz w:val="28"/>
          <w:szCs w:val="26"/>
        </w:rPr>
        <w:t xml:space="preserve">Según la jurisprudencia reiterada de la Corte Constitucional, los conflictos de jurisdicción se producen cuando </w:t>
      </w:r>
      <w:r w:rsidRPr="00664F17">
        <w:rPr>
          <w:rFonts w:ascii="Times New Roman" w:hAnsi="Times New Roman" w:cs="Times New Roman"/>
          <w:sz w:val="28"/>
          <w:szCs w:val="26"/>
        </w:rPr>
        <w:t>dos autoridades judiciales de jurisdicciones diferentes “se disputan el conocimiento de un proceso, bien sea porque estiman que a ninguna corresponde (negativo) o porque consideran que es de su exclusiva incumbencia (positivo)”</w:t>
      </w:r>
      <w:r w:rsidRPr="00664F17">
        <w:rPr>
          <w:rStyle w:val="Refdenotaalpie"/>
          <w:rFonts w:ascii="Times New Roman" w:hAnsi="Times New Roman" w:cs="Times New Roman"/>
          <w:sz w:val="28"/>
          <w:szCs w:val="26"/>
        </w:rPr>
        <w:footnoteReference w:id="5"/>
      </w:r>
      <w:r w:rsidRPr="00664F17">
        <w:rPr>
          <w:rFonts w:ascii="Times New Roman" w:hAnsi="Times New Roman" w:cs="Times New Roman"/>
          <w:sz w:val="28"/>
          <w:szCs w:val="26"/>
        </w:rPr>
        <w:t>.</w:t>
      </w:r>
      <w:r w:rsidRPr="00664F17">
        <w:rPr>
          <w:rFonts w:ascii="Times New Roman" w:eastAsiaTheme="minorHAnsi" w:hAnsi="Times New Roman" w:cs="Times New Roman"/>
          <w:sz w:val="28"/>
          <w:szCs w:val="26"/>
        </w:rPr>
        <w:t xml:space="preserve"> A partir de esa definición, la Sala Plena ha entendido que, para que se configure un conflicto de jurisdicciones, se debe acreditar el cumplimiento de los siguientes tres presupuestos.</w:t>
      </w:r>
    </w:p>
    <w:p w14:paraId="49DCBE36" w14:textId="77777777" w:rsidR="00000000" w:rsidRPr="00664F17" w:rsidRDefault="00000000" w:rsidP="00DC18A0">
      <w:pPr>
        <w:pStyle w:val="Prrafodelista"/>
        <w:ind w:left="0"/>
        <w:rPr>
          <w:rFonts w:ascii="Times New Roman" w:eastAsiaTheme="minorHAnsi" w:hAnsi="Times New Roman" w:cs="Times New Roman"/>
          <w:sz w:val="28"/>
          <w:szCs w:val="26"/>
        </w:rPr>
      </w:pPr>
    </w:p>
    <w:p w14:paraId="3479E7F2" w14:textId="77777777" w:rsidR="00000000" w:rsidRPr="00664F17" w:rsidRDefault="00664F17" w:rsidP="00DC18A0">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rPr>
      </w:pPr>
      <w:r w:rsidRPr="00664F17">
        <w:rPr>
          <w:rFonts w:ascii="Times New Roman" w:eastAsiaTheme="minorHAnsi" w:hAnsi="Times New Roman" w:cs="Times New Roman"/>
          <w:sz w:val="28"/>
          <w:szCs w:val="26"/>
        </w:rPr>
        <w:t xml:space="preserve">En primer lugar, es necesario que se cumpla el </w:t>
      </w:r>
      <w:r w:rsidRPr="00664F17">
        <w:rPr>
          <w:rFonts w:ascii="Times New Roman" w:eastAsiaTheme="minorHAnsi" w:hAnsi="Times New Roman" w:cs="Times New Roman"/>
          <w:b/>
          <w:bCs/>
          <w:sz w:val="28"/>
          <w:szCs w:val="26"/>
        </w:rPr>
        <w:t>presupuesto subjetivo</w:t>
      </w:r>
      <w:r w:rsidRPr="00664F17">
        <w:rPr>
          <w:rFonts w:ascii="Times New Roman" w:eastAsiaTheme="minorHAnsi" w:hAnsi="Times New Roman" w:cs="Times New Roman"/>
          <w:sz w:val="28"/>
          <w:szCs w:val="26"/>
        </w:rPr>
        <w:t xml:space="preserve">, es decir, que el conflicto se produzca entre dos o más autoridades que administren justicia y que hagan parte de jurisdicciones distintas. En segundo lugar, la configuración de un conflicto de jurisdicciones exige que se respete el </w:t>
      </w:r>
      <w:r w:rsidRPr="00664F17">
        <w:rPr>
          <w:rFonts w:ascii="Times New Roman" w:eastAsiaTheme="minorHAnsi" w:hAnsi="Times New Roman" w:cs="Times New Roman"/>
          <w:b/>
          <w:bCs/>
          <w:sz w:val="28"/>
          <w:szCs w:val="26"/>
        </w:rPr>
        <w:t>presupuesto objetivo</w:t>
      </w:r>
      <w:r w:rsidRPr="00664F17">
        <w:rPr>
          <w:rFonts w:ascii="Times New Roman" w:eastAsiaTheme="minorHAnsi" w:hAnsi="Times New Roman" w:cs="Times New Roman"/>
          <w:sz w:val="28"/>
          <w:szCs w:val="26"/>
        </w:rPr>
        <w:t>, es decir, que exista “una causa judicial sobre la cual se suscite la disputa, es decir, que pueda verificarse que está en desarrollo un proceso, un incidente o cualquier otro trámite de naturaleza jurisdiccional”</w:t>
      </w:r>
      <w:r w:rsidRPr="00664F17">
        <w:rPr>
          <w:rStyle w:val="Refdenotaalpie"/>
          <w:rFonts w:ascii="Times New Roman" w:eastAsiaTheme="minorHAnsi" w:hAnsi="Times New Roman" w:cs="Times New Roman"/>
          <w:sz w:val="28"/>
          <w:szCs w:val="26"/>
        </w:rPr>
        <w:footnoteReference w:id="6"/>
      </w:r>
      <w:r w:rsidRPr="00664F17">
        <w:rPr>
          <w:rFonts w:ascii="Times New Roman" w:eastAsiaTheme="minorHAnsi" w:hAnsi="Times New Roman" w:cs="Times New Roman"/>
          <w:sz w:val="28"/>
          <w:szCs w:val="26"/>
        </w:rPr>
        <w:t xml:space="preserve">. Finalmente, es necesario que confluya el </w:t>
      </w:r>
      <w:r w:rsidRPr="00664F17">
        <w:rPr>
          <w:rFonts w:ascii="Times New Roman" w:eastAsiaTheme="minorHAnsi" w:hAnsi="Times New Roman" w:cs="Times New Roman"/>
          <w:b/>
          <w:bCs/>
          <w:sz w:val="28"/>
          <w:szCs w:val="26"/>
        </w:rPr>
        <w:t>presupuesto normativo</w:t>
      </w:r>
      <w:r w:rsidRPr="00664F17">
        <w:rPr>
          <w:rFonts w:ascii="Times New Roman" w:eastAsiaTheme="minorHAnsi" w:hAnsi="Times New Roman" w:cs="Times New Roman"/>
          <w:sz w:val="28"/>
          <w:szCs w:val="26"/>
        </w:rPr>
        <w:t>, esto es, que las autoridades judiciales hayan expuesto los motivos constitucionales o legales en virtud de los cuales estiman que son o no competentes para conocer del caso concreto</w:t>
      </w:r>
      <w:r w:rsidRPr="00664F17">
        <w:rPr>
          <w:rStyle w:val="Refdenotaalpie"/>
          <w:rFonts w:ascii="Times New Roman" w:eastAsiaTheme="minorHAnsi" w:hAnsi="Times New Roman" w:cs="Times New Roman"/>
          <w:sz w:val="28"/>
          <w:szCs w:val="26"/>
        </w:rPr>
        <w:footnoteReference w:id="7"/>
      </w:r>
      <w:r w:rsidRPr="00664F17">
        <w:rPr>
          <w:rFonts w:ascii="Times New Roman" w:eastAsiaTheme="minorHAnsi" w:hAnsi="Times New Roman" w:cs="Times New Roman"/>
          <w:sz w:val="28"/>
          <w:szCs w:val="26"/>
        </w:rPr>
        <w:t xml:space="preserve">. Cuando no se acredita el cumplimiento de alguno de esos </w:t>
      </w:r>
      <w:r w:rsidRPr="00664F17">
        <w:rPr>
          <w:rFonts w:ascii="Times New Roman" w:eastAsiaTheme="minorHAnsi" w:hAnsi="Times New Roman" w:cs="Times New Roman"/>
          <w:sz w:val="28"/>
          <w:szCs w:val="26"/>
        </w:rPr>
        <w:lastRenderedPageBreak/>
        <w:t xml:space="preserve">tres presupuestos, la Sala Plena debe declararse inhibida para emitir un pronunciamiento de fondo. </w:t>
      </w:r>
    </w:p>
    <w:p w14:paraId="43C40FF2" w14:textId="77777777" w:rsidR="00000000" w:rsidRPr="00664F17" w:rsidRDefault="00000000" w:rsidP="006B7D35">
      <w:pPr>
        <w:pStyle w:val="Prrafodelista"/>
        <w:rPr>
          <w:rFonts w:ascii="Times New Roman" w:eastAsiaTheme="minorHAnsi" w:hAnsi="Times New Roman" w:cs="Times New Roman"/>
          <w:sz w:val="28"/>
          <w:szCs w:val="26"/>
        </w:rPr>
      </w:pPr>
    </w:p>
    <w:p w14:paraId="53A4995E" w14:textId="77777777" w:rsidR="00000000" w:rsidRPr="00664F17" w:rsidRDefault="00664F17" w:rsidP="00DE0989">
      <w:pPr>
        <w:pStyle w:val="Prrafodelista"/>
        <w:numPr>
          <w:ilvl w:val="0"/>
          <w:numId w:val="5"/>
        </w:numPr>
        <w:kinsoku w:val="0"/>
        <w:overflowPunct w:val="0"/>
        <w:autoSpaceDE w:val="0"/>
        <w:autoSpaceDN w:val="0"/>
        <w:adjustRightInd w:val="0"/>
        <w:ind w:right="49"/>
        <w:jc w:val="both"/>
        <w:rPr>
          <w:rFonts w:ascii="Times New Roman" w:eastAsiaTheme="minorHAnsi" w:hAnsi="Times New Roman" w:cs="Times New Roman"/>
          <w:sz w:val="28"/>
          <w:szCs w:val="26"/>
        </w:rPr>
      </w:pPr>
      <w:r w:rsidRPr="00664F17">
        <w:rPr>
          <w:rFonts w:ascii="Times New Roman" w:hAnsi="Times New Roman" w:cs="Times New Roman"/>
          <w:sz w:val="28"/>
          <w:szCs w:val="26"/>
        </w:rPr>
        <w:t xml:space="preserve">En el presente caso se cumplen tales presupuestos. En primer lugar, </w:t>
      </w:r>
      <w:r w:rsidRPr="00664F17">
        <w:rPr>
          <w:rFonts w:ascii="Times New Roman" w:hAnsi="Times New Roman" w:cs="Times New Roman"/>
          <w:sz w:val="28"/>
          <w:szCs w:val="26"/>
          <w:shd w:val="clear" w:color="auto" w:fill="FFFFFF"/>
        </w:rPr>
        <w:t xml:space="preserve">el conflicto se suscita entre dos autoridades judiciales de distintas jurisdicciones que rechazan mutuamente el conocimiento de la causa como lo son el </w:t>
      </w:r>
      <w:r w:rsidRPr="00664F17">
        <w:rPr>
          <w:rFonts w:ascii="Times New Roman" w:hAnsi="Times New Roman" w:cs="Times New Roman"/>
          <w:sz w:val="28"/>
          <w:szCs w:val="26"/>
        </w:rPr>
        <w:t>Juzgado Noveno Administrativo de Popayán y el Juzgado Tercero Civil del Circuito de la misma ciudad</w:t>
      </w:r>
      <w:r w:rsidRPr="00664F17">
        <w:rPr>
          <w:rFonts w:ascii="Times New Roman" w:hAnsi="Times New Roman" w:cs="Times New Roman"/>
          <w:sz w:val="28"/>
          <w:szCs w:val="26"/>
          <w:shd w:val="clear" w:color="auto" w:fill="FFFFFF"/>
        </w:rPr>
        <w:t xml:space="preserve">. </w:t>
      </w:r>
      <w:r w:rsidRPr="00664F17">
        <w:rPr>
          <w:rFonts w:ascii="Times New Roman" w:hAnsi="Times New Roman" w:cs="Times New Roman"/>
          <w:sz w:val="28"/>
          <w:szCs w:val="26"/>
          <w:lang w:eastAsia="es-CO"/>
        </w:rPr>
        <w:t xml:space="preserve">En segundo lugar, el conflicto trata sobre el conocimiento del medio de control de reparación directa que pretende declarar la responsabilidad extracontractual de las partes demandadas. En tercer lugar, </w:t>
      </w:r>
      <w:r w:rsidRPr="00664F17">
        <w:rPr>
          <w:rFonts w:ascii="Times New Roman" w:hAnsi="Times New Roman" w:cs="Times New Roman"/>
          <w:sz w:val="28"/>
          <w:szCs w:val="26"/>
        </w:rPr>
        <w:t xml:space="preserve">ambas autoridades jurisdiccionales enunciaron razonablemente fundamentos de índole constitucional y legal en los que sustentan su rechazo de competencia (ver fundamentos jurídicos 2 y siguientes). </w:t>
      </w:r>
    </w:p>
    <w:p w14:paraId="6C9C9EE9" w14:textId="77777777" w:rsidR="00000000" w:rsidRPr="00664F17" w:rsidRDefault="00000000" w:rsidP="00CD48BF">
      <w:pPr>
        <w:pStyle w:val="Prrafodelista"/>
        <w:rPr>
          <w:rFonts w:ascii="Times New Roman" w:eastAsiaTheme="minorHAnsi" w:hAnsi="Times New Roman" w:cs="Times New Roman"/>
          <w:sz w:val="28"/>
          <w:szCs w:val="26"/>
        </w:rPr>
      </w:pPr>
    </w:p>
    <w:p w14:paraId="4F8942D6" w14:textId="77777777" w:rsidR="00000000" w:rsidRPr="00664F17" w:rsidRDefault="00664F17" w:rsidP="00CD48BF">
      <w:pPr>
        <w:pStyle w:val="Prrafodelista"/>
        <w:kinsoku w:val="0"/>
        <w:overflowPunct w:val="0"/>
        <w:autoSpaceDE w:val="0"/>
        <w:autoSpaceDN w:val="0"/>
        <w:adjustRightInd w:val="0"/>
        <w:ind w:left="0" w:right="49"/>
        <w:jc w:val="both"/>
        <w:rPr>
          <w:rFonts w:ascii="Times New Roman" w:eastAsiaTheme="minorHAnsi" w:hAnsi="Times New Roman" w:cs="Times New Roman"/>
          <w:b/>
          <w:sz w:val="28"/>
          <w:szCs w:val="26"/>
        </w:rPr>
      </w:pPr>
      <w:r w:rsidRPr="00664F17">
        <w:rPr>
          <w:rFonts w:ascii="Times New Roman" w:eastAsiaTheme="minorHAnsi" w:hAnsi="Times New Roman" w:cs="Times New Roman"/>
          <w:b/>
          <w:sz w:val="28"/>
          <w:szCs w:val="26"/>
        </w:rPr>
        <w:t>Fuero de atracción -reiteración del auto 056 de 2022</w:t>
      </w:r>
    </w:p>
    <w:p w14:paraId="5FD5DEB0" w14:textId="77777777" w:rsidR="00000000" w:rsidRPr="00664F17" w:rsidRDefault="00000000" w:rsidP="00DE0989">
      <w:pPr>
        <w:pStyle w:val="Prrafodelista"/>
        <w:rPr>
          <w:rFonts w:ascii="Times New Roman" w:hAnsi="Times New Roman" w:cs="Times New Roman"/>
          <w:sz w:val="28"/>
          <w:szCs w:val="26"/>
        </w:rPr>
      </w:pPr>
    </w:p>
    <w:p w14:paraId="2ACCE2B3" w14:textId="77777777" w:rsidR="00000000" w:rsidRPr="00664F17" w:rsidRDefault="00664F17" w:rsidP="00DE0989">
      <w:pPr>
        <w:pStyle w:val="Prrafodelista"/>
        <w:numPr>
          <w:ilvl w:val="0"/>
          <w:numId w:val="5"/>
        </w:numPr>
        <w:kinsoku w:val="0"/>
        <w:overflowPunct w:val="0"/>
        <w:autoSpaceDE w:val="0"/>
        <w:autoSpaceDN w:val="0"/>
        <w:adjustRightInd w:val="0"/>
        <w:ind w:right="49"/>
        <w:jc w:val="both"/>
        <w:rPr>
          <w:rFonts w:ascii="Times New Roman" w:hAnsi="Times New Roman" w:cs="Times New Roman"/>
          <w:sz w:val="28"/>
          <w:szCs w:val="26"/>
        </w:rPr>
      </w:pPr>
      <w:r w:rsidRPr="00664F17">
        <w:rPr>
          <w:rFonts w:ascii="Times New Roman" w:hAnsi="Times New Roman" w:cs="Times New Roman"/>
          <w:sz w:val="28"/>
          <w:szCs w:val="26"/>
        </w:rPr>
        <w:t>En los procesos en los que se demanda de forma simultánea a entidades públicas y particulares, es necesario acudir al fuero de atracción o factor de conexidad. Este fenómeno procesal permite extender la competencia de la jurisdicción de lo contencioso administrativo a personas de derecho privado en asuntos en los que son demandadas junto con entidades de derecho público. Esta figura, cuyo desarrollo se ha dado a través de la legislación</w:t>
      </w:r>
      <w:r w:rsidRPr="00664F17">
        <w:rPr>
          <w:rStyle w:val="Refdenotaalpie"/>
          <w:rFonts w:ascii="Times New Roman" w:hAnsi="Times New Roman" w:cs="Times New Roman"/>
          <w:sz w:val="28"/>
          <w:szCs w:val="26"/>
        </w:rPr>
        <w:footnoteReference w:id="8"/>
      </w:r>
      <w:r w:rsidRPr="00664F17">
        <w:rPr>
          <w:rFonts w:ascii="Times New Roman" w:hAnsi="Times New Roman" w:cs="Times New Roman"/>
          <w:sz w:val="28"/>
          <w:szCs w:val="26"/>
        </w:rPr>
        <w:t xml:space="preserve"> y la jurisprudencia</w:t>
      </w:r>
      <w:r w:rsidRPr="00664F17">
        <w:rPr>
          <w:rStyle w:val="Refdenotaalpie"/>
          <w:rFonts w:ascii="Times New Roman" w:hAnsi="Times New Roman" w:cs="Times New Roman"/>
          <w:sz w:val="28"/>
          <w:szCs w:val="26"/>
        </w:rPr>
        <w:footnoteReference w:id="9"/>
      </w:r>
      <w:r w:rsidRPr="00664F17">
        <w:rPr>
          <w:rFonts w:ascii="Times New Roman" w:hAnsi="Times New Roman" w:cs="Times New Roman"/>
          <w:sz w:val="28"/>
          <w:szCs w:val="26"/>
        </w:rPr>
        <w:t>, tiene como finalidad materializar algunos principios de carácter procesal, tales como de economía, eficiencia, eficacia y seguridad jurídica</w:t>
      </w:r>
      <w:r w:rsidRPr="00664F17">
        <w:rPr>
          <w:rStyle w:val="Refdenotaalpie"/>
          <w:rFonts w:ascii="Times New Roman" w:hAnsi="Times New Roman" w:cs="Times New Roman"/>
          <w:sz w:val="28"/>
          <w:szCs w:val="26"/>
        </w:rPr>
        <w:footnoteReference w:id="10"/>
      </w:r>
      <w:r w:rsidRPr="00664F17">
        <w:rPr>
          <w:rFonts w:ascii="Times New Roman" w:hAnsi="Times New Roman" w:cs="Times New Roman"/>
          <w:sz w:val="28"/>
          <w:szCs w:val="26"/>
        </w:rPr>
        <w:t xml:space="preserve">. En virtud de este fuero, la jurisdicción de lo contencioso administrativo es competente para juzgar a particulares incluso cuando, a </w:t>
      </w:r>
      <w:r w:rsidRPr="00664F17">
        <w:rPr>
          <w:rFonts w:ascii="Times New Roman" w:hAnsi="Times New Roman" w:cs="Times New Roman"/>
          <w:sz w:val="28"/>
          <w:szCs w:val="26"/>
        </w:rPr>
        <w:lastRenderedPageBreak/>
        <w:t>partir del análisis probatorio, se evidencie que la entidad pública accionada no es responsable de los hechos y daños objeto del litigio</w:t>
      </w:r>
      <w:r w:rsidRPr="00664F17">
        <w:rPr>
          <w:rStyle w:val="Refdenotaalpie"/>
          <w:rFonts w:ascii="Times New Roman" w:hAnsi="Times New Roman" w:cs="Times New Roman"/>
          <w:sz w:val="28"/>
          <w:szCs w:val="26"/>
        </w:rPr>
        <w:footnoteReference w:id="11"/>
      </w:r>
      <w:r w:rsidRPr="00664F17">
        <w:rPr>
          <w:rFonts w:ascii="Times New Roman" w:hAnsi="Times New Roman" w:cs="Times New Roman"/>
          <w:sz w:val="28"/>
          <w:szCs w:val="26"/>
        </w:rPr>
        <w:t xml:space="preserve">. </w:t>
      </w:r>
    </w:p>
    <w:p w14:paraId="1121C1ED" w14:textId="77777777" w:rsidR="00000000" w:rsidRPr="00664F17" w:rsidRDefault="00000000" w:rsidP="00752803">
      <w:pPr>
        <w:pStyle w:val="Prrafodelista"/>
        <w:kinsoku w:val="0"/>
        <w:overflowPunct w:val="0"/>
        <w:autoSpaceDE w:val="0"/>
        <w:autoSpaceDN w:val="0"/>
        <w:adjustRightInd w:val="0"/>
        <w:ind w:left="0" w:right="49"/>
        <w:jc w:val="both"/>
        <w:rPr>
          <w:rFonts w:ascii="Times New Roman" w:hAnsi="Times New Roman" w:cs="Times New Roman"/>
          <w:sz w:val="28"/>
          <w:szCs w:val="26"/>
        </w:rPr>
      </w:pPr>
    </w:p>
    <w:p w14:paraId="57194CDB" w14:textId="77777777" w:rsidR="00000000" w:rsidRPr="00664F17" w:rsidRDefault="00664F17" w:rsidP="00DE0989">
      <w:pPr>
        <w:pStyle w:val="Prrafodelista"/>
        <w:numPr>
          <w:ilvl w:val="0"/>
          <w:numId w:val="5"/>
        </w:numPr>
        <w:kinsoku w:val="0"/>
        <w:overflowPunct w:val="0"/>
        <w:autoSpaceDE w:val="0"/>
        <w:autoSpaceDN w:val="0"/>
        <w:adjustRightInd w:val="0"/>
        <w:ind w:right="49"/>
        <w:jc w:val="both"/>
        <w:rPr>
          <w:rFonts w:ascii="Times New Roman" w:hAnsi="Times New Roman" w:cs="Times New Roman"/>
          <w:sz w:val="28"/>
          <w:szCs w:val="26"/>
        </w:rPr>
      </w:pPr>
      <w:r w:rsidRPr="00664F17">
        <w:rPr>
          <w:rFonts w:ascii="Times New Roman" w:hAnsi="Times New Roman" w:cs="Times New Roman"/>
          <w:sz w:val="28"/>
          <w:szCs w:val="26"/>
        </w:rPr>
        <w:t>En todo caso, este factor de conexidad no opera de manera automática. Para admitir la competencia de la jurisdicción de lo contencioso administrativo, se requiere la comprobación de una serie de criterios que habilitan la aplicación del fuero. En particular, debe verificarse que:</w:t>
      </w:r>
    </w:p>
    <w:p w14:paraId="00A64A66" w14:textId="77777777" w:rsidR="00000000" w:rsidRPr="00664F17" w:rsidRDefault="00000000" w:rsidP="00DE0989">
      <w:pPr>
        <w:pStyle w:val="Prrafodelista"/>
        <w:kinsoku w:val="0"/>
        <w:overflowPunct w:val="0"/>
        <w:autoSpaceDE w:val="0"/>
        <w:autoSpaceDN w:val="0"/>
        <w:adjustRightInd w:val="0"/>
        <w:ind w:left="0" w:right="49"/>
        <w:jc w:val="both"/>
        <w:rPr>
          <w:rFonts w:ascii="Times New Roman" w:hAnsi="Times New Roman" w:cs="Times New Roman"/>
          <w:sz w:val="28"/>
          <w:szCs w:val="26"/>
        </w:rPr>
      </w:pPr>
    </w:p>
    <w:p w14:paraId="0680E08F" w14:textId="77777777" w:rsidR="00000000" w:rsidRPr="00664F17" w:rsidRDefault="00664F17" w:rsidP="00DE0989">
      <w:pPr>
        <w:pStyle w:val="Prrafodelista"/>
        <w:numPr>
          <w:ilvl w:val="0"/>
          <w:numId w:val="6"/>
        </w:numPr>
        <w:shd w:val="clear" w:color="auto" w:fill="FFFFFF"/>
        <w:ind w:hanging="720"/>
        <w:jc w:val="both"/>
        <w:rPr>
          <w:rFonts w:ascii="Times New Roman" w:hAnsi="Times New Roman" w:cs="Times New Roman"/>
          <w:color w:val="000000" w:themeColor="text1"/>
          <w:sz w:val="28"/>
          <w:szCs w:val="26"/>
        </w:rPr>
      </w:pPr>
      <w:r w:rsidRPr="00664F17">
        <w:rPr>
          <w:rFonts w:ascii="Times New Roman" w:hAnsi="Times New Roman" w:cs="Times New Roman"/>
          <w:color w:val="000000" w:themeColor="text1"/>
          <w:sz w:val="28"/>
          <w:szCs w:val="26"/>
        </w:rPr>
        <w:t>Los hechos y la causa que fundamentan la eventual responsabilidad, tanto de los sujetos de derecho privado como de las entidades estatales, sean los mismos</w:t>
      </w:r>
      <w:r w:rsidRPr="00664F17">
        <w:rPr>
          <w:rStyle w:val="Refdenotaalpie"/>
          <w:rFonts w:ascii="Times New Roman" w:hAnsi="Times New Roman" w:cs="Times New Roman"/>
          <w:color w:val="000000" w:themeColor="text1"/>
          <w:sz w:val="28"/>
          <w:szCs w:val="26"/>
        </w:rPr>
        <w:footnoteReference w:id="12"/>
      </w:r>
      <w:r w:rsidRPr="00664F17">
        <w:rPr>
          <w:rFonts w:ascii="Times New Roman" w:hAnsi="Times New Roman" w:cs="Times New Roman"/>
          <w:color w:val="000000" w:themeColor="text1"/>
          <w:sz w:val="28"/>
          <w:szCs w:val="26"/>
        </w:rPr>
        <w:t>.</w:t>
      </w:r>
    </w:p>
    <w:p w14:paraId="19337597" w14:textId="77777777" w:rsidR="00000000" w:rsidRPr="00664F17" w:rsidRDefault="00664F17" w:rsidP="00DE0989">
      <w:pPr>
        <w:pStyle w:val="Prrafodelista"/>
        <w:numPr>
          <w:ilvl w:val="0"/>
          <w:numId w:val="6"/>
        </w:numPr>
        <w:shd w:val="clear" w:color="auto" w:fill="FFFFFF"/>
        <w:ind w:hanging="720"/>
        <w:jc w:val="both"/>
        <w:rPr>
          <w:rFonts w:ascii="Times New Roman" w:hAnsi="Times New Roman" w:cs="Times New Roman"/>
          <w:color w:val="000000" w:themeColor="text1"/>
          <w:sz w:val="28"/>
          <w:szCs w:val="26"/>
        </w:rPr>
      </w:pPr>
      <w:r w:rsidRPr="00664F17">
        <w:rPr>
          <w:rFonts w:ascii="Times New Roman" w:hAnsi="Times New Roman" w:cs="Times New Roman"/>
          <w:color w:val="000000" w:themeColor="text1"/>
          <w:sz w:val="28"/>
          <w:szCs w:val="26"/>
        </w:rPr>
        <w:t>Los hechos, las pretensiones y las pruebas que obran en el expediente permitan inferir razonablemente que existe una</w:t>
      </w:r>
      <w:r w:rsidRPr="00664F17">
        <w:rPr>
          <w:rFonts w:ascii="Times New Roman" w:hAnsi="Times New Roman" w:cs="Times New Roman"/>
          <w:iCs/>
          <w:color w:val="000000" w:themeColor="text1"/>
          <w:sz w:val="28"/>
          <w:szCs w:val="26"/>
        </w:rPr>
        <w:t xml:space="preserve"> </w:t>
      </w:r>
      <w:r w:rsidRPr="00664F17">
        <w:rPr>
          <w:rFonts w:ascii="Times New Roman" w:hAnsi="Times New Roman" w:cs="Times New Roman"/>
          <w:color w:val="000000" w:themeColor="text1"/>
          <w:sz w:val="28"/>
          <w:szCs w:val="26"/>
        </w:rPr>
        <w:t>probabilidad “</w:t>
      </w:r>
      <w:r w:rsidRPr="00664F17">
        <w:rPr>
          <w:rFonts w:ascii="Times New Roman" w:hAnsi="Times New Roman" w:cs="Times New Roman"/>
          <w:iCs/>
          <w:color w:val="000000" w:themeColor="text1"/>
          <w:sz w:val="28"/>
          <w:szCs w:val="26"/>
        </w:rPr>
        <w:t>mínimamente seria</w:t>
      </w:r>
      <w:r w:rsidRPr="00664F17">
        <w:rPr>
          <w:rFonts w:ascii="Times New Roman" w:hAnsi="Times New Roman" w:cs="Times New Roman"/>
          <w:color w:val="000000" w:themeColor="text1"/>
          <w:sz w:val="28"/>
          <w:szCs w:val="26"/>
        </w:rPr>
        <w:t>”</w:t>
      </w:r>
      <w:r w:rsidRPr="00664F17">
        <w:rPr>
          <w:rFonts w:ascii="Times New Roman" w:hAnsi="Times New Roman" w:cs="Times New Roman"/>
          <w:iCs/>
          <w:color w:val="000000" w:themeColor="text1"/>
          <w:sz w:val="28"/>
          <w:szCs w:val="26"/>
        </w:rPr>
        <w:t xml:space="preserve"> </w:t>
      </w:r>
      <w:r w:rsidRPr="00664F17">
        <w:rPr>
          <w:rFonts w:ascii="Times New Roman" w:hAnsi="Times New Roman" w:cs="Times New Roman"/>
          <w:color w:val="000000" w:themeColor="text1"/>
          <w:sz w:val="28"/>
          <w:szCs w:val="26"/>
        </w:rPr>
        <w:t>de que las entidades estatales, “</w:t>
      </w:r>
      <w:r w:rsidRPr="00664F17">
        <w:rPr>
          <w:rFonts w:ascii="Times New Roman" w:hAnsi="Times New Roman" w:cs="Times New Roman"/>
          <w:iCs/>
          <w:color w:val="000000" w:themeColor="text1"/>
          <w:sz w:val="28"/>
          <w:szCs w:val="26"/>
        </w:rPr>
        <w:t>por cuya implicación en la litis resultaría competente el juez administrativo, sean condenadas</w:t>
      </w:r>
      <w:r w:rsidRPr="00664F17">
        <w:rPr>
          <w:rFonts w:ascii="Times New Roman" w:hAnsi="Times New Roman" w:cs="Times New Roman"/>
          <w:color w:val="000000" w:themeColor="text1"/>
          <w:sz w:val="28"/>
          <w:szCs w:val="26"/>
        </w:rPr>
        <w:t>”</w:t>
      </w:r>
      <w:bookmarkStart w:id="1" w:name="_ftnref22"/>
      <w:r w:rsidRPr="00664F17">
        <w:rPr>
          <w:rStyle w:val="Refdenotaalpie"/>
          <w:rFonts w:ascii="Times New Roman" w:hAnsi="Times New Roman" w:cs="Times New Roman"/>
          <w:color w:val="000000" w:themeColor="text1"/>
          <w:sz w:val="28"/>
          <w:szCs w:val="26"/>
        </w:rPr>
        <w:footnoteReference w:id="13"/>
      </w:r>
      <w:bookmarkEnd w:id="1"/>
      <w:r w:rsidRPr="00664F17">
        <w:rPr>
          <w:rFonts w:ascii="Times New Roman" w:hAnsi="Times New Roman" w:cs="Times New Roman"/>
          <w:color w:val="000000" w:themeColor="text1"/>
          <w:sz w:val="28"/>
          <w:szCs w:val="26"/>
        </w:rPr>
        <w:t>.</w:t>
      </w:r>
    </w:p>
    <w:p w14:paraId="6632E433" w14:textId="77777777" w:rsidR="00000000" w:rsidRPr="00664F17" w:rsidRDefault="00664F17" w:rsidP="00DE0989">
      <w:pPr>
        <w:pStyle w:val="Prrafodelista"/>
        <w:numPr>
          <w:ilvl w:val="0"/>
          <w:numId w:val="6"/>
        </w:numPr>
        <w:shd w:val="clear" w:color="auto" w:fill="FFFFFF"/>
        <w:ind w:hanging="720"/>
        <w:jc w:val="both"/>
        <w:rPr>
          <w:rFonts w:ascii="Times New Roman" w:hAnsi="Times New Roman" w:cs="Times New Roman"/>
          <w:color w:val="000000" w:themeColor="text1"/>
          <w:sz w:val="28"/>
          <w:szCs w:val="26"/>
        </w:rPr>
      </w:pPr>
      <w:r w:rsidRPr="00664F17">
        <w:rPr>
          <w:rFonts w:ascii="Times New Roman" w:hAnsi="Times New Roman" w:cs="Times New Roman"/>
          <w:color w:val="000000" w:themeColor="text1"/>
          <w:sz w:val="28"/>
          <w:szCs w:val="26"/>
        </w:rPr>
        <w:t>El demandante haya planteado fundamentos fácticos y jurídicos para imputar el daño antijurídico a la entidad estatal. En este sentido, de acuerdo con la jurisprudencia del Consejo de Estado, deben existir suficientes elementos de juicio que permitan concluir, al menos </w:t>
      </w:r>
      <w:r w:rsidRPr="00664F17">
        <w:rPr>
          <w:rFonts w:ascii="Times New Roman" w:hAnsi="Times New Roman" w:cs="Times New Roman"/>
          <w:i/>
          <w:iCs/>
          <w:color w:val="000000" w:themeColor="text1"/>
          <w:sz w:val="28"/>
          <w:szCs w:val="26"/>
        </w:rPr>
        <w:t>prima facie</w:t>
      </w:r>
      <w:r w:rsidRPr="00664F17">
        <w:rPr>
          <w:rFonts w:ascii="Times New Roman" w:hAnsi="Times New Roman" w:cs="Times New Roman"/>
          <w:color w:val="000000" w:themeColor="text1"/>
          <w:sz w:val="28"/>
          <w:szCs w:val="26"/>
        </w:rPr>
        <w:t>, que las acciones u omisiones de la entidad estatal demandada fueron “</w:t>
      </w:r>
      <w:r w:rsidRPr="00664F17">
        <w:rPr>
          <w:rFonts w:ascii="Times New Roman" w:hAnsi="Times New Roman" w:cs="Times New Roman"/>
          <w:iCs/>
          <w:color w:val="000000" w:themeColor="text1"/>
          <w:sz w:val="28"/>
          <w:szCs w:val="26"/>
        </w:rPr>
        <w:t>concausa eficiente del daño</w:t>
      </w:r>
      <w:r w:rsidRPr="00664F17">
        <w:rPr>
          <w:rFonts w:ascii="Times New Roman" w:hAnsi="Times New Roman" w:cs="Times New Roman"/>
          <w:color w:val="000000" w:themeColor="text1"/>
          <w:sz w:val="28"/>
          <w:szCs w:val="26"/>
        </w:rPr>
        <w:t>”</w:t>
      </w:r>
      <w:bookmarkStart w:id="2" w:name="_ftnref23"/>
      <w:r w:rsidRPr="00664F17">
        <w:rPr>
          <w:rStyle w:val="Refdenotaalpie"/>
          <w:rFonts w:ascii="Times New Roman" w:hAnsi="Times New Roman" w:cs="Times New Roman"/>
          <w:color w:val="000000" w:themeColor="text1"/>
          <w:sz w:val="28"/>
          <w:szCs w:val="26"/>
        </w:rPr>
        <w:t xml:space="preserve"> </w:t>
      </w:r>
      <w:r w:rsidRPr="00664F17">
        <w:rPr>
          <w:rStyle w:val="Refdenotaalpie"/>
          <w:rFonts w:ascii="Times New Roman" w:hAnsi="Times New Roman" w:cs="Times New Roman"/>
          <w:color w:val="000000" w:themeColor="text1"/>
          <w:sz w:val="28"/>
          <w:szCs w:val="26"/>
        </w:rPr>
        <w:footnoteReference w:id="14"/>
      </w:r>
      <w:bookmarkEnd w:id="2"/>
      <w:r w:rsidRPr="00664F17">
        <w:rPr>
          <w:rFonts w:ascii="Times New Roman" w:hAnsi="Times New Roman" w:cs="Times New Roman"/>
          <w:color w:val="000000" w:themeColor="text1"/>
          <w:sz w:val="28"/>
          <w:szCs w:val="26"/>
        </w:rPr>
        <w:t>.</w:t>
      </w:r>
    </w:p>
    <w:p w14:paraId="496957E4" w14:textId="77777777" w:rsidR="00000000" w:rsidRPr="00664F17" w:rsidRDefault="00000000" w:rsidP="00DE0989">
      <w:pPr>
        <w:pStyle w:val="Prrafodelista"/>
        <w:shd w:val="clear" w:color="auto" w:fill="FFFFFF"/>
        <w:ind w:left="0"/>
        <w:jc w:val="both"/>
        <w:rPr>
          <w:rFonts w:ascii="Times New Roman" w:hAnsi="Times New Roman" w:cs="Times New Roman"/>
          <w:color w:val="000000" w:themeColor="text1"/>
          <w:sz w:val="28"/>
          <w:szCs w:val="26"/>
        </w:rPr>
      </w:pPr>
    </w:p>
    <w:p w14:paraId="695DB04D" w14:textId="77777777" w:rsidR="00000000" w:rsidRPr="00664F17" w:rsidRDefault="00664F17" w:rsidP="00DE0989">
      <w:pPr>
        <w:pStyle w:val="Prrafodelista"/>
        <w:numPr>
          <w:ilvl w:val="0"/>
          <w:numId w:val="5"/>
        </w:numPr>
        <w:shd w:val="clear" w:color="auto" w:fill="FFFFFF"/>
        <w:jc w:val="both"/>
        <w:rPr>
          <w:rFonts w:ascii="Times New Roman" w:hAnsi="Times New Roman" w:cs="Times New Roman"/>
          <w:sz w:val="28"/>
          <w:szCs w:val="26"/>
        </w:rPr>
      </w:pPr>
      <w:r w:rsidRPr="00664F17">
        <w:rPr>
          <w:rFonts w:ascii="Times New Roman" w:hAnsi="Times New Roman" w:cs="Times New Roman"/>
          <w:sz w:val="28"/>
          <w:szCs w:val="26"/>
        </w:rPr>
        <w:lastRenderedPageBreak/>
        <w:t xml:space="preserve">Conforme a estos criterios, la Corte Constitucional en el auto 056 de 2022, estableció la siguiente regla de decisión: </w:t>
      </w:r>
    </w:p>
    <w:p w14:paraId="4A415815" w14:textId="77777777" w:rsidR="00000000" w:rsidRPr="00664F17" w:rsidRDefault="00000000" w:rsidP="00DE0989">
      <w:pPr>
        <w:shd w:val="clear" w:color="auto" w:fill="FFFFFF"/>
        <w:jc w:val="both"/>
        <w:rPr>
          <w:rFonts w:ascii="Times New Roman" w:hAnsi="Times New Roman" w:cs="Times New Roman"/>
          <w:color w:val="000000" w:themeColor="text1"/>
          <w:sz w:val="28"/>
          <w:szCs w:val="26"/>
        </w:rPr>
      </w:pPr>
    </w:p>
    <w:p w14:paraId="47DCFCDD" w14:textId="77777777" w:rsidR="00000000" w:rsidRPr="00664F17" w:rsidRDefault="00664F17" w:rsidP="00752803">
      <w:pPr>
        <w:shd w:val="clear" w:color="auto" w:fill="FFFFFF"/>
        <w:ind w:left="708" w:firstLine="1"/>
        <w:jc w:val="both"/>
        <w:rPr>
          <w:rFonts w:ascii="Times New Roman" w:hAnsi="Times New Roman" w:cs="Times New Roman"/>
          <w:color w:val="000000" w:themeColor="text1"/>
          <w:sz w:val="28"/>
          <w:szCs w:val="26"/>
        </w:rPr>
      </w:pPr>
      <w:r w:rsidRPr="00664F17">
        <w:rPr>
          <w:rFonts w:ascii="Times New Roman" w:hAnsi="Times New Roman" w:cs="Times New Roman"/>
          <w:color w:val="000000" w:themeColor="text1"/>
          <w:sz w:val="28"/>
          <w:szCs w:val="26"/>
        </w:rPr>
        <w:t>En aquellos casos en los que se demanda la responsabilidad extracontractual de una entidad pública y de una persona jurídica particular o una natural sometida al derecho privado, el juez competente se debe determinar por el factor de conexidad o fuero de atracción, que no opera automáticamente sino que debe aplicarse en atención a los siguientes criterios: (a) identidad de hechos y de causa; (b) probabilidad “mínimamente seria” de que las entidades estatales serán condenadas; y (c) fundamentos fácticos y jurídicos para imputar el daño antijurídico a la entidad estatal</w:t>
      </w:r>
      <w:r w:rsidRPr="00664F17">
        <w:rPr>
          <w:rStyle w:val="Refdenotaalpie"/>
          <w:rFonts w:ascii="Times New Roman" w:hAnsi="Times New Roman" w:cs="Times New Roman"/>
          <w:color w:val="000000" w:themeColor="text1"/>
          <w:sz w:val="28"/>
          <w:szCs w:val="26"/>
        </w:rPr>
        <w:footnoteReference w:id="15"/>
      </w:r>
      <w:r w:rsidRPr="00664F17">
        <w:rPr>
          <w:rFonts w:ascii="Times New Roman" w:hAnsi="Times New Roman" w:cs="Times New Roman"/>
          <w:color w:val="000000" w:themeColor="text1"/>
          <w:sz w:val="28"/>
          <w:szCs w:val="26"/>
        </w:rPr>
        <w:t>.</w:t>
      </w:r>
    </w:p>
    <w:p w14:paraId="03DD7EF5" w14:textId="77777777" w:rsidR="00000000" w:rsidRPr="00664F17" w:rsidRDefault="00000000" w:rsidP="00DE0989">
      <w:pPr>
        <w:pStyle w:val="Prrafodelista"/>
        <w:kinsoku w:val="0"/>
        <w:overflowPunct w:val="0"/>
        <w:autoSpaceDE w:val="0"/>
        <w:autoSpaceDN w:val="0"/>
        <w:adjustRightInd w:val="0"/>
        <w:ind w:left="0" w:right="49"/>
        <w:jc w:val="both"/>
        <w:rPr>
          <w:rFonts w:ascii="Times New Roman" w:hAnsi="Times New Roman" w:cs="Times New Roman"/>
          <w:sz w:val="28"/>
          <w:szCs w:val="26"/>
        </w:rPr>
      </w:pPr>
    </w:p>
    <w:p w14:paraId="635C3A38" w14:textId="77777777" w:rsidR="00000000" w:rsidRPr="00664F17" w:rsidRDefault="00664F17" w:rsidP="00DC18A0">
      <w:pPr>
        <w:autoSpaceDE w:val="0"/>
        <w:autoSpaceDN w:val="0"/>
        <w:adjustRightInd w:val="0"/>
        <w:ind w:right="103"/>
        <w:jc w:val="both"/>
        <w:rPr>
          <w:rFonts w:ascii="Times New Roman" w:hAnsi="Times New Roman" w:cs="Times New Roman"/>
          <w:b/>
          <w:bCs/>
          <w:sz w:val="28"/>
          <w:szCs w:val="26"/>
        </w:rPr>
      </w:pPr>
      <w:r w:rsidRPr="00664F17">
        <w:rPr>
          <w:rFonts w:ascii="Times New Roman" w:hAnsi="Times New Roman" w:cs="Times New Roman"/>
          <w:b/>
          <w:bCs/>
          <w:sz w:val="28"/>
          <w:szCs w:val="26"/>
        </w:rPr>
        <w:t xml:space="preserve">Caso </w:t>
      </w:r>
      <w:r w:rsidRPr="00664F17">
        <w:rPr>
          <w:rFonts w:ascii="Times New Roman" w:eastAsiaTheme="minorHAnsi" w:hAnsi="Times New Roman" w:cs="Times New Roman"/>
          <w:b/>
          <w:bCs/>
          <w:sz w:val="28"/>
          <w:szCs w:val="26"/>
        </w:rPr>
        <w:t>concreto</w:t>
      </w:r>
    </w:p>
    <w:p w14:paraId="64325F8B" w14:textId="77777777" w:rsidR="00000000" w:rsidRPr="00664F17" w:rsidRDefault="00000000" w:rsidP="00DC18A0">
      <w:pPr>
        <w:jc w:val="both"/>
        <w:rPr>
          <w:rFonts w:ascii="Times New Roman" w:hAnsi="Times New Roman" w:cs="Times New Roman"/>
          <w:sz w:val="28"/>
          <w:szCs w:val="26"/>
        </w:rPr>
      </w:pPr>
    </w:p>
    <w:p w14:paraId="7B88323B" w14:textId="77777777" w:rsidR="00000000" w:rsidRPr="00664F17" w:rsidRDefault="00664F17" w:rsidP="00283BE1">
      <w:pPr>
        <w:pStyle w:val="Prrafodelista"/>
        <w:numPr>
          <w:ilvl w:val="0"/>
          <w:numId w:val="5"/>
        </w:numPr>
        <w:jc w:val="both"/>
        <w:rPr>
          <w:rFonts w:ascii="Times New Roman" w:hAnsi="Times New Roman" w:cs="Times New Roman"/>
          <w:sz w:val="28"/>
          <w:szCs w:val="26"/>
        </w:rPr>
      </w:pPr>
      <w:r w:rsidRPr="00664F17">
        <w:rPr>
          <w:rFonts w:ascii="Times New Roman" w:hAnsi="Times New Roman" w:cs="Times New Roman"/>
          <w:sz w:val="28"/>
          <w:szCs w:val="26"/>
        </w:rPr>
        <w:t>En el presente asunto, y a partir del material probatorio que reposa en el expediente, esta Sala concluye que la competencia para conocer de esta demanda corresponde a la jurisdicción ordinaria civil. Así, en el presente caso, la Corte pudo verificar que el reclamo presentado en contra del Ministerio de Salud y de la Superintendencia de Salud (i) no comparte identidad de hechos, (</w:t>
      </w:r>
      <w:proofErr w:type="spellStart"/>
      <w:r w:rsidRPr="00664F17">
        <w:rPr>
          <w:rFonts w:ascii="Times New Roman" w:hAnsi="Times New Roman" w:cs="Times New Roman"/>
          <w:sz w:val="28"/>
          <w:szCs w:val="26"/>
        </w:rPr>
        <w:t>ii</w:t>
      </w:r>
      <w:proofErr w:type="spellEnd"/>
      <w:r w:rsidRPr="00664F17">
        <w:rPr>
          <w:rFonts w:ascii="Times New Roman" w:hAnsi="Times New Roman" w:cs="Times New Roman"/>
          <w:sz w:val="28"/>
          <w:szCs w:val="26"/>
        </w:rPr>
        <w:t>) tampoco cuenta con fundamentos fácticos y jurídicos análogos, y (</w:t>
      </w:r>
      <w:proofErr w:type="spellStart"/>
      <w:r w:rsidRPr="00664F17">
        <w:rPr>
          <w:rFonts w:ascii="Times New Roman" w:hAnsi="Times New Roman" w:cs="Times New Roman"/>
          <w:sz w:val="28"/>
          <w:szCs w:val="26"/>
        </w:rPr>
        <w:t>iii</w:t>
      </w:r>
      <w:proofErr w:type="spellEnd"/>
      <w:r w:rsidRPr="00664F17">
        <w:rPr>
          <w:rFonts w:ascii="Times New Roman" w:hAnsi="Times New Roman" w:cs="Times New Roman"/>
          <w:sz w:val="28"/>
          <w:szCs w:val="26"/>
        </w:rPr>
        <w:t xml:space="preserve">) ni siquiera permite evidenciar una “probabilidad mínimamente seria” de que las entidades públicas puedan ser condenadas. </w:t>
      </w:r>
    </w:p>
    <w:p w14:paraId="32FC005D" w14:textId="77777777" w:rsidR="00000000" w:rsidRPr="00664F17" w:rsidRDefault="00000000" w:rsidP="00283BE1">
      <w:pPr>
        <w:pStyle w:val="Prrafodelista"/>
        <w:ind w:left="0"/>
        <w:jc w:val="both"/>
        <w:rPr>
          <w:rFonts w:ascii="Times New Roman" w:hAnsi="Times New Roman" w:cs="Times New Roman"/>
          <w:sz w:val="28"/>
          <w:szCs w:val="26"/>
        </w:rPr>
      </w:pPr>
    </w:p>
    <w:p w14:paraId="08A6BE3D" w14:textId="77777777" w:rsidR="00000000" w:rsidRPr="00664F17" w:rsidRDefault="00664F17" w:rsidP="0043783F">
      <w:pPr>
        <w:pStyle w:val="Prrafodelista"/>
        <w:numPr>
          <w:ilvl w:val="0"/>
          <w:numId w:val="5"/>
        </w:numPr>
        <w:jc w:val="both"/>
        <w:rPr>
          <w:rFonts w:ascii="Times New Roman" w:hAnsi="Times New Roman" w:cs="Times New Roman"/>
          <w:sz w:val="28"/>
          <w:szCs w:val="26"/>
        </w:rPr>
      </w:pPr>
      <w:r w:rsidRPr="00664F17">
        <w:rPr>
          <w:rFonts w:ascii="Times New Roman" w:hAnsi="Times New Roman" w:cs="Times New Roman"/>
          <w:sz w:val="28"/>
          <w:szCs w:val="26"/>
        </w:rPr>
        <w:t>En efecto, de la lectura integral del escrito del medio de control de reparación directa, esta Corte pudo verificar que (i) las menciones hechas a las entidades públicas tan solo se hicieron de manera genérica, (</w:t>
      </w:r>
      <w:proofErr w:type="spellStart"/>
      <w:r w:rsidRPr="00664F17">
        <w:rPr>
          <w:rFonts w:ascii="Times New Roman" w:hAnsi="Times New Roman" w:cs="Times New Roman"/>
          <w:sz w:val="28"/>
          <w:szCs w:val="26"/>
        </w:rPr>
        <w:t>ii</w:t>
      </w:r>
      <w:proofErr w:type="spellEnd"/>
      <w:r w:rsidRPr="00664F17">
        <w:rPr>
          <w:rFonts w:ascii="Times New Roman" w:hAnsi="Times New Roman" w:cs="Times New Roman"/>
          <w:sz w:val="28"/>
          <w:szCs w:val="26"/>
        </w:rPr>
        <w:t>) los hechos en los que presuntamente se sustentaría la responsabilidad de las entidades privadas y las públicas son disimiles, pues a las primeras se les reprocha una presunta falla médica, mientras que, a las segundas, se les cuestiona la supuesta omisión de cumplir con su deber de inspección y vigilancia. Adicionalmente, (</w:t>
      </w:r>
      <w:proofErr w:type="spellStart"/>
      <w:r w:rsidRPr="00664F17">
        <w:rPr>
          <w:rFonts w:ascii="Times New Roman" w:hAnsi="Times New Roman" w:cs="Times New Roman"/>
          <w:sz w:val="28"/>
          <w:szCs w:val="26"/>
        </w:rPr>
        <w:t>iii</w:t>
      </w:r>
      <w:proofErr w:type="spellEnd"/>
      <w:r w:rsidRPr="00664F17">
        <w:rPr>
          <w:rFonts w:ascii="Times New Roman" w:hAnsi="Times New Roman" w:cs="Times New Roman"/>
          <w:sz w:val="28"/>
          <w:szCs w:val="26"/>
        </w:rPr>
        <w:t xml:space="preserve">) tampoco se desarrollaron argumentos jurídicos y/o </w:t>
      </w:r>
      <w:r w:rsidRPr="00664F17">
        <w:rPr>
          <w:rFonts w:ascii="Times New Roman" w:hAnsi="Times New Roman" w:cs="Times New Roman"/>
          <w:sz w:val="28"/>
          <w:szCs w:val="26"/>
        </w:rPr>
        <w:lastRenderedPageBreak/>
        <w:t>fácticos que pudieran dar lugar a considerar mínimamente plausible la responsabilidad de las entidades públicas vinculadas. Al contrario, durante todo su reclamo, la parte demandante tan solo mencionó una presunta falla en el servicio de parte de la Superintendencia y el Ministerio de Salud, “puesto que omitieron el cumplimiento de sus deberes de inspección, vigilancia y control del servicio público de salud que era prestado por parte de las entidades (…)”</w:t>
      </w:r>
      <w:r w:rsidRPr="00664F17">
        <w:rPr>
          <w:rStyle w:val="Refdenotaalpie"/>
          <w:rFonts w:ascii="Times New Roman" w:hAnsi="Times New Roman" w:cs="Times New Roman"/>
          <w:sz w:val="28"/>
          <w:szCs w:val="26"/>
        </w:rPr>
        <w:footnoteReference w:id="16"/>
      </w:r>
      <w:r w:rsidRPr="00664F17">
        <w:rPr>
          <w:rFonts w:ascii="Times New Roman" w:hAnsi="Times New Roman" w:cs="Times New Roman"/>
          <w:sz w:val="28"/>
          <w:szCs w:val="26"/>
        </w:rPr>
        <w:t>.</w:t>
      </w:r>
    </w:p>
    <w:p w14:paraId="7FDCE473" w14:textId="77777777" w:rsidR="00000000" w:rsidRPr="00664F17" w:rsidRDefault="00000000" w:rsidP="0043783F">
      <w:pPr>
        <w:pStyle w:val="Prrafodelista"/>
        <w:rPr>
          <w:rFonts w:ascii="Times New Roman" w:hAnsi="Times New Roman" w:cs="Times New Roman"/>
          <w:sz w:val="28"/>
          <w:szCs w:val="26"/>
        </w:rPr>
      </w:pPr>
    </w:p>
    <w:p w14:paraId="58351C1E" w14:textId="77777777" w:rsidR="00000000" w:rsidRPr="00664F17" w:rsidRDefault="00664F17" w:rsidP="007F2C72">
      <w:pPr>
        <w:pStyle w:val="Prrafodelista"/>
        <w:numPr>
          <w:ilvl w:val="0"/>
          <w:numId w:val="5"/>
        </w:numPr>
        <w:jc w:val="both"/>
        <w:rPr>
          <w:rFonts w:ascii="Times New Roman" w:hAnsi="Times New Roman" w:cs="Times New Roman"/>
          <w:sz w:val="28"/>
          <w:szCs w:val="26"/>
        </w:rPr>
      </w:pPr>
      <w:r w:rsidRPr="00664F17">
        <w:rPr>
          <w:rFonts w:ascii="Times New Roman" w:hAnsi="Times New Roman" w:cs="Times New Roman"/>
          <w:sz w:val="28"/>
          <w:szCs w:val="26"/>
        </w:rPr>
        <w:t xml:space="preserve">Para la Sala Plena de esta Corporación, esta simple afirmación no es suficiente para dar aplicación al fuero de atracción abordado a través del auto 056 de 2022 y, con ello, extender la competencia para conocer del asunto a la jurisdicción contencioso administrativo. Al contrario, lo que la Corte encuentra es que toda la argumentación y el material probatorio aportado, se dirige a demostrar una aparente “falla médica” en cabeza de los particulares que participaron en la atención médica de Custodia </w:t>
      </w:r>
      <w:proofErr w:type="spellStart"/>
      <w:r w:rsidRPr="00664F17">
        <w:rPr>
          <w:rFonts w:ascii="Times New Roman" w:hAnsi="Times New Roman" w:cs="Times New Roman"/>
          <w:sz w:val="28"/>
          <w:szCs w:val="26"/>
        </w:rPr>
        <w:t>Pisso</w:t>
      </w:r>
      <w:proofErr w:type="spellEnd"/>
      <w:r w:rsidRPr="00664F17">
        <w:rPr>
          <w:rFonts w:ascii="Times New Roman" w:hAnsi="Times New Roman" w:cs="Times New Roman"/>
          <w:sz w:val="28"/>
          <w:szCs w:val="26"/>
        </w:rPr>
        <w:t xml:space="preserve"> </w:t>
      </w:r>
      <w:proofErr w:type="spellStart"/>
      <w:r w:rsidRPr="00664F17">
        <w:rPr>
          <w:rFonts w:ascii="Times New Roman" w:hAnsi="Times New Roman" w:cs="Times New Roman"/>
          <w:sz w:val="28"/>
          <w:szCs w:val="26"/>
        </w:rPr>
        <w:t>Bahos</w:t>
      </w:r>
      <w:proofErr w:type="spellEnd"/>
      <w:r w:rsidRPr="00664F17">
        <w:rPr>
          <w:rFonts w:ascii="Times New Roman" w:hAnsi="Times New Roman" w:cs="Times New Roman"/>
          <w:sz w:val="28"/>
          <w:szCs w:val="26"/>
        </w:rPr>
        <w:t xml:space="preserve"> y no a las posibles actuaciones u omisiones de las entidades públicas más allá de, como se indicó, afirmaciones genéricas. Por lo anterior, este Tribunal dirimirá el presente conflicto entre jurisdicciones en el sentido de declarar que la competencia para conocer este asunto corresponde a la jurisdicción ordinaria civil. </w:t>
      </w:r>
    </w:p>
    <w:p w14:paraId="08848CFC" w14:textId="77777777" w:rsidR="00000000" w:rsidRPr="00664F17" w:rsidRDefault="00000000" w:rsidP="007F2C72">
      <w:pPr>
        <w:pStyle w:val="Prrafodelista"/>
        <w:rPr>
          <w:rFonts w:ascii="Times New Roman" w:hAnsi="Times New Roman" w:cs="Times New Roman"/>
          <w:b/>
          <w:bCs/>
          <w:sz w:val="28"/>
          <w:szCs w:val="26"/>
        </w:rPr>
      </w:pPr>
    </w:p>
    <w:p w14:paraId="60214A1B" w14:textId="77777777" w:rsidR="00000000" w:rsidRPr="00664F17" w:rsidRDefault="00664F17" w:rsidP="00DC18A0">
      <w:pPr>
        <w:pStyle w:val="Prrafodelista"/>
        <w:numPr>
          <w:ilvl w:val="0"/>
          <w:numId w:val="5"/>
        </w:numPr>
        <w:jc w:val="both"/>
        <w:rPr>
          <w:rFonts w:ascii="Times New Roman" w:hAnsi="Times New Roman" w:cs="Times New Roman"/>
          <w:sz w:val="28"/>
          <w:szCs w:val="26"/>
        </w:rPr>
      </w:pPr>
      <w:r w:rsidRPr="00664F17">
        <w:rPr>
          <w:rFonts w:ascii="Times New Roman" w:hAnsi="Times New Roman" w:cs="Times New Roman"/>
          <w:b/>
          <w:bCs/>
          <w:sz w:val="28"/>
          <w:szCs w:val="26"/>
        </w:rPr>
        <w:t xml:space="preserve">Regla de decisión. Auto 056 de 2022. </w:t>
      </w:r>
      <w:r w:rsidRPr="00664F17">
        <w:rPr>
          <w:rFonts w:ascii="Times New Roman" w:hAnsi="Times New Roman" w:cs="Times New Roman"/>
          <w:color w:val="000000" w:themeColor="text1"/>
          <w:sz w:val="28"/>
          <w:szCs w:val="26"/>
        </w:rPr>
        <w:t>“En aquellos casos en los que se demanda la responsabilidad extracontractual de una entidad pública y de una persona jurídica particular o una natural sometida al derecho privado, el juez competente se debe determinar por el factor de conexidad o fuero de atracción, que no opera automáticamente sino que debe aplicarse en atención a los siguientes criterios: (a) identidad de hechos y de causa; (b) probabilidad “mínimamente seria” de que las entidades estatales serán condenadas; y (c) fundamentos fácticos y jurídicos para imputar el daño antijurídico a la entidad estatal”.</w:t>
      </w:r>
    </w:p>
    <w:p w14:paraId="7824CE3D" w14:textId="77777777" w:rsidR="00000000" w:rsidRPr="00664F17" w:rsidRDefault="00000000" w:rsidP="00DC18A0">
      <w:pPr>
        <w:pStyle w:val="Style2"/>
        <w:widowControl/>
        <w:spacing w:line="240" w:lineRule="auto"/>
        <w:ind w:right="-234"/>
        <w:jc w:val="both"/>
        <w:rPr>
          <w:rFonts w:ascii="Times New Roman" w:hAnsi="Times New Roman" w:cs="Times New Roman"/>
          <w:sz w:val="28"/>
          <w:szCs w:val="26"/>
        </w:rPr>
      </w:pPr>
    </w:p>
    <w:p w14:paraId="3708F199" w14:textId="77777777" w:rsidR="00000000" w:rsidRPr="00664F17" w:rsidRDefault="00664F17" w:rsidP="00DC18A0">
      <w:pPr>
        <w:pStyle w:val="Style2"/>
        <w:widowControl/>
        <w:numPr>
          <w:ilvl w:val="0"/>
          <w:numId w:val="4"/>
        </w:numPr>
        <w:spacing w:line="240" w:lineRule="auto"/>
        <w:ind w:right="-234"/>
        <w:jc w:val="left"/>
        <w:rPr>
          <w:rFonts w:ascii="Times New Roman" w:hAnsi="Times New Roman" w:cs="Times New Roman"/>
          <w:b/>
          <w:bCs/>
          <w:sz w:val="28"/>
          <w:szCs w:val="26"/>
        </w:rPr>
      </w:pPr>
      <w:r w:rsidRPr="00664F17">
        <w:rPr>
          <w:rFonts w:ascii="Times New Roman" w:hAnsi="Times New Roman" w:cs="Times New Roman"/>
          <w:b/>
          <w:sz w:val="28"/>
          <w:szCs w:val="26"/>
        </w:rPr>
        <w:t>DECISIÓN</w:t>
      </w:r>
    </w:p>
    <w:p w14:paraId="6D2942BC" w14:textId="77777777" w:rsidR="00000000" w:rsidRPr="00664F17" w:rsidRDefault="00000000" w:rsidP="00DC18A0">
      <w:pPr>
        <w:pStyle w:val="Prrafodelista"/>
        <w:kinsoku w:val="0"/>
        <w:overflowPunct w:val="0"/>
        <w:autoSpaceDE w:val="0"/>
        <w:autoSpaceDN w:val="0"/>
        <w:adjustRightInd w:val="0"/>
        <w:ind w:left="0" w:right="49"/>
        <w:jc w:val="both"/>
        <w:rPr>
          <w:rFonts w:ascii="Times New Roman" w:hAnsi="Times New Roman" w:cs="Times New Roman"/>
          <w:sz w:val="28"/>
          <w:szCs w:val="26"/>
        </w:rPr>
      </w:pPr>
    </w:p>
    <w:p w14:paraId="62F2236D" w14:textId="77777777" w:rsidR="00000000" w:rsidRPr="00664F17" w:rsidRDefault="00664F17" w:rsidP="00DC18A0">
      <w:pPr>
        <w:pStyle w:val="Prrafodelista"/>
        <w:kinsoku w:val="0"/>
        <w:overflowPunct w:val="0"/>
        <w:autoSpaceDE w:val="0"/>
        <w:autoSpaceDN w:val="0"/>
        <w:adjustRightInd w:val="0"/>
        <w:ind w:left="0" w:right="49"/>
        <w:jc w:val="both"/>
        <w:rPr>
          <w:rFonts w:ascii="Times New Roman" w:eastAsiaTheme="minorHAnsi" w:hAnsi="Times New Roman" w:cs="Times New Roman"/>
          <w:sz w:val="28"/>
          <w:szCs w:val="26"/>
          <w:lang w:eastAsia="en-US"/>
        </w:rPr>
      </w:pPr>
      <w:r w:rsidRPr="00664F17">
        <w:rPr>
          <w:rFonts w:ascii="Times New Roman" w:hAnsi="Times New Roman" w:cs="Times New Roman"/>
          <w:sz w:val="28"/>
          <w:szCs w:val="26"/>
        </w:rPr>
        <w:t xml:space="preserve">En mérito de lo expuesto, la Sala Plena de la Corte Constitucional, </w:t>
      </w:r>
    </w:p>
    <w:p w14:paraId="7E45F39F" w14:textId="77777777" w:rsidR="00000000" w:rsidRPr="00664F17" w:rsidRDefault="00000000" w:rsidP="00DC18A0">
      <w:pPr>
        <w:ind w:right="57"/>
        <w:jc w:val="both"/>
        <w:rPr>
          <w:rFonts w:ascii="Times New Roman" w:hAnsi="Times New Roman" w:cs="Times New Roman"/>
          <w:b/>
          <w:bCs/>
          <w:sz w:val="28"/>
          <w:szCs w:val="26"/>
        </w:rPr>
      </w:pPr>
    </w:p>
    <w:p w14:paraId="5CA01199" w14:textId="77777777" w:rsidR="00000000" w:rsidRPr="00664F17" w:rsidRDefault="00664F17" w:rsidP="00DC18A0">
      <w:pPr>
        <w:ind w:right="57"/>
        <w:jc w:val="center"/>
        <w:rPr>
          <w:rFonts w:ascii="Times New Roman" w:hAnsi="Times New Roman" w:cs="Times New Roman"/>
          <w:b/>
          <w:bCs/>
          <w:sz w:val="28"/>
          <w:szCs w:val="26"/>
        </w:rPr>
      </w:pPr>
      <w:r w:rsidRPr="00664F17">
        <w:rPr>
          <w:rFonts w:ascii="Times New Roman" w:hAnsi="Times New Roman" w:cs="Times New Roman"/>
          <w:b/>
          <w:bCs/>
          <w:sz w:val="28"/>
          <w:szCs w:val="26"/>
        </w:rPr>
        <w:t>RESUELVE</w:t>
      </w:r>
    </w:p>
    <w:p w14:paraId="03CFF7B9" w14:textId="77777777" w:rsidR="00000000" w:rsidRPr="00664F17" w:rsidRDefault="00000000" w:rsidP="00DC18A0">
      <w:pPr>
        <w:jc w:val="both"/>
        <w:rPr>
          <w:rFonts w:ascii="Times New Roman" w:hAnsi="Times New Roman" w:cs="Times New Roman"/>
          <w:b/>
          <w:bCs/>
          <w:sz w:val="28"/>
          <w:szCs w:val="26"/>
        </w:rPr>
      </w:pPr>
    </w:p>
    <w:p w14:paraId="5C5F1F37" w14:textId="77777777" w:rsidR="00000000" w:rsidRPr="00664F17" w:rsidRDefault="00664F17" w:rsidP="00DC18A0">
      <w:pPr>
        <w:pStyle w:val="Prrafodelista"/>
        <w:ind w:left="0"/>
        <w:jc w:val="both"/>
        <w:rPr>
          <w:rFonts w:ascii="Times New Roman" w:hAnsi="Times New Roman" w:cs="Times New Roman"/>
          <w:sz w:val="28"/>
          <w:szCs w:val="26"/>
        </w:rPr>
      </w:pPr>
      <w:r w:rsidRPr="00664F17">
        <w:rPr>
          <w:rFonts w:ascii="Times New Roman" w:hAnsi="Times New Roman" w:cs="Times New Roman"/>
          <w:b/>
          <w:bCs/>
          <w:sz w:val="28"/>
          <w:szCs w:val="26"/>
        </w:rPr>
        <w:t xml:space="preserve">Primero. </w:t>
      </w:r>
      <w:r w:rsidRPr="00664F17">
        <w:rPr>
          <w:rFonts w:ascii="Times New Roman" w:eastAsiaTheme="minorHAnsi" w:hAnsi="Times New Roman" w:cs="Times New Roman"/>
          <w:b/>
          <w:bCs/>
          <w:color w:val="000000"/>
          <w:sz w:val="28"/>
          <w:szCs w:val="26"/>
        </w:rPr>
        <w:t xml:space="preserve">DIRIMIR </w:t>
      </w:r>
      <w:r w:rsidRPr="00664F17">
        <w:rPr>
          <w:rFonts w:ascii="Times New Roman" w:eastAsiaTheme="minorHAnsi" w:hAnsi="Times New Roman" w:cs="Times New Roman"/>
          <w:color w:val="000000"/>
          <w:sz w:val="28"/>
          <w:szCs w:val="26"/>
        </w:rPr>
        <w:t xml:space="preserve">el conflicto negativo de jurisdicción suscitado entre el </w:t>
      </w:r>
      <w:r w:rsidRPr="00664F17">
        <w:rPr>
          <w:rFonts w:ascii="Times New Roman" w:hAnsi="Times New Roman" w:cs="Times New Roman"/>
          <w:sz w:val="28"/>
          <w:szCs w:val="26"/>
        </w:rPr>
        <w:t xml:space="preserve">Juzgado Noveno Administrativo de Popayán y el Juzgado Tercero Civil del Circuito de la misma ciudad en el sentido de </w:t>
      </w:r>
      <w:r w:rsidRPr="00664F17">
        <w:rPr>
          <w:rFonts w:ascii="Times New Roman" w:hAnsi="Times New Roman" w:cs="Times New Roman"/>
          <w:b/>
          <w:bCs/>
          <w:sz w:val="28"/>
          <w:szCs w:val="26"/>
        </w:rPr>
        <w:t>DECLARAR</w:t>
      </w:r>
      <w:r w:rsidRPr="00664F17">
        <w:rPr>
          <w:rFonts w:ascii="Times New Roman" w:hAnsi="Times New Roman" w:cs="Times New Roman"/>
          <w:sz w:val="28"/>
          <w:szCs w:val="26"/>
        </w:rPr>
        <w:t xml:space="preserve"> que el Juzgado Tercero Civil del Circuito e</w:t>
      </w:r>
      <w:r w:rsidRPr="00664F17">
        <w:rPr>
          <w:rFonts w:ascii="Times New Roman" w:eastAsiaTheme="minorHAnsi" w:hAnsi="Times New Roman" w:cs="Times New Roman"/>
          <w:color w:val="000000"/>
          <w:sz w:val="28"/>
          <w:szCs w:val="26"/>
        </w:rPr>
        <w:t xml:space="preserve">s la autoridad competente para continuar con el trámite de la referencia. </w:t>
      </w:r>
    </w:p>
    <w:p w14:paraId="483D64DC" w14:textId="77777777" w:rsidR="00000000" w:rsidRPr="00664F17" w:rsidRDefault="00000000" w:rsidP="00DC18A0">
      <w:pPr>
        <w:jc w:val="both"/>
        <w:rPr>
          <w:rFonts w:ascii="Times New Roman" w:eastAsiaTheme="minorHAnsi" w:hAnsi="Times New Roman" w:cs="Times New Roman"/>
          <w:sz w:val="28"/>
          <w:szCs w:val="26"/>
          <w:lang w:eastAsia="en-US"/>
        </w:rPr>
      </w:pPr>
    </w:p>
    <w:p w14:paraId="76532AA1" w14:textId="77777777" w:rsidR="00000000" w:rsidRPr="00664F17" w:rsidRDefault="00664F17" w:rsidP="00DC18A0">
      <w:pPr>
        <w:pStyle w:val="Prrafodelista"/>
        <w:ind w:left="0"/>
        <w:jc w:val="both"/>
        <w:rPr>
          <w:rFonts w:ascii="Times New Roman" w:eastAsiaTheme="minorHAnsi" w:hAnsi="Times New Roman" w:cs="Times New Roman"/>
          <w:color w:val="000000"/>
          <w:sz w:val="28"/>
          <w:szCs w:val="26"/>
        </w:rPr>
      </w:pPr>
      <w:r w:rsidRPr="00664F17">
        <w:rPr>
          <w:rFonts w:ascii="Times New Roman" w:eastAsiaTheme="minorHAnsi" w:hAnsi="Times New Roman" w:cs="Times New Roman"/>
          <w:b/>
          <w:bCs/>
          <w:sz w:val="28"/>
          <w:szCs w:val="26"/>
          <w:lang w:eastAsia="en-US"/>
        </w:rPr>
        <w:t xml:space="preserve">Segundo. </w:t>
      </w:r>
      <w:r w:rsidRPr="00664F17">
        <w:rPr>
          <w:rFonts w:ascii="Times New Roman" w:eastAsiaTheme="minorHAnsi" w:hAnsi="Times New Roman" w:cs="Times New Roman"/>
          <w:sz w:val="28"/>
          <w:szCs w:val="26"/>
          <w:lang w:eastAsia="en-US"/>
        </w:rPr>
        <w:t>Por intermedio de la Secretaría General,</w:t>
      </w:r>
      <w:r w:rsidRPr="00664F17">
        <w:rPr>
          <w:rFonts w:ascii="Times New Roman" w:eastAsiaTheme="minorHAnsi" w:hAnsi="Times New Roman" w:cs="Times New Roman"/>
          <w:b/>
          <w:bCs/>
          <w:sz w:val="28"/>
          <w:szCs w:val="26"/>
          <w:lang w:eastAsia="en-US"/>
        </w:rPr>
        <w:t xml:space="preserve"> </w:t>
      </w:r>
      <w:r w:rsidRPr="00664F17">
        <w:rPr>
          <w:rFonts w:ascii="Times New Roman" w:eastAsiaTheme="minorHAnsi" w:hAnsi="Times New Roman" w:cs="Times New Roman"/>
          <w:b/>
          <w:bCs/>
          <w:color w:val="000000"/>
          <w:sz w:val="28"/>
          <w:szCs w:val="26"/>
        </w:rPr>
        <w:t>REMITIR</w:t>
      </w:r>
      <w:r w:rsidRPr="00664F17">
        <w:rPr>
          <w:rFonts w:ascii="Times New Roman" w:eastAsiaTheme="minorHAnsi" w:hAnsi="Times New Roman" w:cs="Times New Roman"/>
          <w:color w:val="000000"/>
          <w:sz w:val="28"/>
          <w:szCs w:val="26"/>
        </w:rPr>
        <w:t xml:space="preserve"> el expediente CJU-4248 a </w:t>
      </w:r>
      <w:r w:rsidRPr="00664F17">
        <w:rPr>
          <w:rFonts w:ascii="Times New Roman" w:hAnsi="Times New Roman" w:cs="Times New Roman"/>
          <w:sz w:val="28"/>
          <w:szCs w:val="26"/>
        </w:rPr>
        <w:t>Juzgado Tercero Civil del Circuito</w:t>
      </w:r>
      <w:r w:rsidRPr="00664F17">
        <w:rPr>
          <w:rFonts w:ascii="Times New Roman" w:eastAsiaTheme="minorHAnsi" w:hAnsi="Times New Roman" w:cs="Times New Roman"/>
          <w:color w:val="000000"/>
          <w:sz w:val="28"/>
          <w:szCs w:val="26"/>
        </w:rPr>
        <w:t xml:space="preserve"> para que proceda con lo de su competencia y para que comunique la presente decisión al </w:t>
      </w:r>
      <w:r w:rsidRPr="00664F17">
        <w:rPr>
          <w:rFonts w:ascii="Times New Roman" w:hAnsi="Times New Roman" w:cs="Times New Roman"/>
          <w:sz w:val="28"/>
          <w:szCs w:val="26"/>
        </w:rPr>
        <w:t xml:space="preserve">Juzgado Noveno Administrativo de Popayán y </w:t>
      </w:r>
      <w:r w:rsidRPr="00664F17">
        <w:rPr>
          <w:rFonts w:ascii="Times New Roman" w:eastAsiaTheme="minorHAnsi" w:hAnsi="Times New Roman" w:cs="Times New Roman"/>
          <w:color w:val="000000"/>
          <w:sz w:val="28"/>
          <w:szCs w:val="26"/>
        </w:rPr>
        <w:t>los demás interesados en este trámite.</w:t>
      </w:r>
    </w:p>
    <w:p w14:paraId="6F97531A" w14:textId="77777777" w:rsidR="00000000" w:rsidRPr="00664F17" w:rsidRDefault="00000000" w:rsidP="00DC18A0">
      <w:pPr>
        <w:jc w:val="both"/>
        <w:rPr>
          <w:rFonts w:ascii="Times New Roman" w:hAnsi="Times New Roman" w:cs="Times New Roman"/>
          <w:sz w:val="28"/>
          <w:szCs w:val="26"/>
          <w:lang w:val="es-ES"/>
        </w:rPr>
      </w:pPr>
    </w:p>
    <w:p w14:paraId="1B5C0CF3" w14:textId="77777777" w:rsidR="00000000" w:rsidRPr="00664F17" w:rsidRDefault="00664F17" w:rsidP="00DC18A0">
      <w:pPr>
        <w:ind w:right="57"/>
        <w:jc w:val="both"/>
        <w:rPr>
          <w:rFonts w:ascii="Times New Roman" w:hAnsi="Times New Roman" w:cs="Times New Roman"/>
          <w:sz w:val="28"/>
          <w:szCs w:val="26"/>
        </w:rPr>
      </w:pPr>
      <w:r w:rsidRPr="00664F17">
        <w:rPr>
          <w:rFonts w:ascii="Times New Roman" w:hAnsi="Times New Roman" w:cs="Times New Roman"/>
          <w:sz w:val="28"/>
          <w:szCs w:val="26"/>
        </w:rPr>
        <w:t>Comuníquese y cúmplase,</w:t>
      </w:r>
    </w:p>
    <w:p w14:paraId="35698D89" w14:textId="77777777" w:rsidR="00000000" w:rsidRPr="00664F17" w:rsidRDefault="00000000" w:rsidP="00DC18A0">
      <w:pPr>
        <w:ind w:right="57"/>
        <w:jc w:val="both"/>
        <w:rPr>
          <w:rFonts w:ascii="Times New Roman" w:hAnsi="Times New Roman" w:cs="Times New Roman"/>
          <w:b/>
          <w:bCs/>
          <w:sz w:val="28"/>
          <w:szCs w:val="26"/>
        </w:rPr>
      </w:pPr>
    </w:p>
    <w:p w14:paraId="2D6790A5" w14:textId="77777777" w:rsidR="00000000" w:rsidRPr="00664F17" w:rsidRDefault="00000000" w:rsidP="00DC18A0">
      <w:pPr>
        <w:ind w:right="51"/>
        <w:rPr>
          <w:rFonts w:ascii="Times New Roman" w:hAnsi="Times New Roman" w:cs="Times New Roman"/>
          <w:sz w:val="28"/>
          <w:szCs w:val="28"/>
          <w:lang w:val="es-ES_tradnl"/>
        </w:rPr>
      </w:pPr>
    </w:p>
    <w:p w14:paraId="7924D58A" w14:textId="77777777" w:rsidR="00000000" w:rsidRPr="00664F17" w:rsidRDefault="00000000" w:rsidP="00DC18A0">
      <w:pPr>
        <w:ind w:right="51"/>
        <w:rPr>
          <w:rFonts w:ascii="Times New Roman" w:hAnsi="Times New Roman" w:cs="Times New Roman"/>
          <w:sz w:val="28"/>
          <w:szCs w:val="28"/>
          <w:lang w:val="es-ES_tradnl"/>
        </w:rPr>
      </w:pPr>
    </w:p>
    <w:p w14:paraId="152119E7" w14:textId="77777777" w:rsidR="00000000" w:rsidRPr="00664F17" w:rsidRDefault="00000000" w:rsidP="00DC18A0">
      <w:pPr>
        <w:ind w:right="51"/>
        <w:rPr>
          <w:rFonts w:ascii="Times New Roman" w:hAnsi="Times New Roman" w:cs="Times New Roman"/>
          <w:sz w:val="28"/>
          <w:szCs w:val="28"/>
          <w:lang w:val="es-ES_tradnl"/>
        </w:rPr>
      </w:pPr>
    </w:p>
    <w:p w14:paraId="31EB75AE"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DIANA FAJARDO RIVERA</w:t>
      </w:r>
    </w:p>
    <w:p w14:paraId="310E67FB"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Presidenta</w:t>
      </w:r>
    </w:p>
    <w:p w14:paraId="10B7E4E0" w14:textId="77777777" w:rsidR="00000000" w:rsidRPr="00664F17" w:rsidRDefault="00000000" w:rsidP="00BB268E">
      <w:pPr>
        <w:ind w:right="51"/>
        <w:jc w:val="center"/>
        <w:rPr>
          <w:rFonts w:ascii="Times New Roman" w:hAnsi="Times New Roman" w:cs="Times New Roman"/>
          <w:sz w:val="28"/>
          <w:szCs w:val="28"/>
          <w:lang w:val="es-ES_tradnl"/>
        </w:rPr>
      </w:pPr>
    </w:p>
    <w:p w14:paraId="79D40CEF" w14:textId="77777777" w:rsidR="00000000" w:rsidRPr="00664F17" w:rsidRDefault="00000000" w:rsidP="00BB268E">
      <w:pPr>
        <w:ind w:right="51"/>
        <w:jc w:val="center"/>
        <w:rPr>
          <w:rFonts w:ascii="Times New Roman" w:hAnsi="Times New Roman" w:cs="Times New Roman"/>
          <w:sz w:val="28"/>
          <w:szCs w:val="28"/>
          <w:lang w:val="es-ES_tradnl"/>
        </w:rPr>
      </w:pPr>
    </w:p>
    <w:p w14:paraId="5701296E" w14:textId="77777777" w:rsidR="00000000" w:rsidRPr="00664F17" w:rsidRDefault="00000000" w:rsidP="00BB268E">
      <w:pPr>
        <w:ind w:right="51"/>
        <w:jc w:val="center"/>
        <w:rPr>
          <w:rFonts w:ascii="Times New Roman" w:hAnsi="Times New Roman" w:cs="Times New Roman"/>
          <w:sz w:val="28"/>
          <w:szCs w:val="28"/>
          <w:lang w:val="es-ES_tradnl"/>
        </w:rPr>
      </w:pPr>
    </w:p>
    <w:p w14:paraId="629F3D7F"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NATALIA ÁNGEL CABO</w:t>
      </w:r>
    </w:p>
    <w:p w14:paraId="1207177E"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Magistrada</w:t>
      </w:r>
    </w:p>
    <w:p w14:paraId="351CF4E5" w14:textId="77777777" w:rsidR="00000000" w:rsidRPr="00664F17" w:rsidRDefault="00000000" w:rsidP="00BB268E">
      <w:pPr>
        <w:ind w:right="51"/>
        <w:jc w:val="center"/>
        <w:rPr>
          <w:rFonts w:ascii="Times New Roman" w:hAnsi="Times New Roman" w:cs="Times New Roman"/>
          <w:sz w:val="28"/>
          <w:szCs w:val="28"/>
          <w:lang w:val="es-ES_tradnl"/>
        </w:rPr>
      </w:pPr>
    </w:p>
    <w:p w14:paraId="32EBD0E8" w14:textId="77777777" w:rsidR="00000000" w:rsidRPr="00664F17" w:rsidRDefault="00000000" w:rsidP="00BB268E">
      <w:pPr>
        <w:ind w:right="51"/>
        <w:jc w:val="center"/>
        <w:rPr>
          <w:rFonts w:ascii="Times New Roman" w:hAnsi="Times New Roman" w:cs="Times New Roman"/>
          <w:sz w:val="28"/>
          <w:szCs w:val="28"/>
          <w:lang w:val="es-ES_tradnl"/>
        </w:rPr>
      </w:pPr>
    </w:p>
    <w:p w14:paraId="1BBA1459" w14:textId="77777777" w:rsidR="00000000" w:rsidRPr="00664F17" w:rsidRDefault="00000000" w:rsidP="00BB268E">
      <w:pPr>
        <w:ind w:right="51"/>
        <w:jc w:val="center"/>
        <w:rPr>
          <w:rFonts w:ascii="Times New Roman" w:hAnsi="Times New Roman" w:cs="Times New Roman"/>
          <w:sz w:val="28"/>
          <w:szCs w:val="28"/>
          <w:lang w:val="es-ES_tradnl"/>
        </w:rPr>
      </w:pPr>
    </w:p>
    <w:p w14:paraId="4CAB596C"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JUAN CARLOS CORTÉS GONZÁLEZ</w:t>
      </w:r>
    </w:p>
    <w:p w14:paraId="64925BD3"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Magistrado</w:t>
      </w:r>
    </w:p>
    <w:p w14:paraId="5DD99474" w14:textId="77777777" w:rsidR="00000000" w:rsidRPr="00664F17" w:rsidRDefault="00000000" w:rsidP="00BB268E">
      <w:pPr>
        <w:ind w:right="51"/>
        <w:jc w:val="center"/>
        <w:rPr>
          <w:rFonts w:ascii="Times New Roman" w:hAnsi="Times New Roman" w:cs="Times New Roman"/>
          <w:sz w:val="28"/>
          <w:szCs w:val="28"/>
          <w:lang w:val="es-ES_tradnl"/>
        </w:rPr>
      </w:pPr>
    </w:p>
    <w:p w14:paraId="7F210812" w14:textId="77777777" w:rsidR="00000000" w:rsidRPr="00664F17" w:rsidRDefault="00000000" w:rsidP="00BB268E">
      <w:pPr>
        <w:ind w:right="51"/>
        <w:jc w:val="center"/>
        <w:rPr>
          <w:rFonts w:ascii="Times New Roman" w:hAnsi="Times New Roman" w:cs="Times New Roman"/>
          <w:sz w:val="28"/>
          <w:szCs w:val="28"/>
          <w:lang w:val="es-ES_tradnl"/>
        </w:rPr>
      </w:pPr>
    </w:p>
    <w:p w14:paraId="313F83E4" w14:textId="77777777" w:rsidR="00000000" w:rsidRPr="00664F17" w:rsidRDefault="00000000" w:rsidP="00BB268E">
      <w:pPr>
        <w:ind w:right="51"/>
        <w:jc w:val="center"/>
        <w:rPr>
          <w:rFonts w:ascii="Times New Roman" w:hAnsi="Times New Roman" w:cs="Times New Roman"/>
          <w:sz w:val="28"/>
          <w:szCs w:val="28"/>
          <w:lang w:val="es-ES_tradnl"/>
        </w:rPr>
      </w:pPr>
    </w:p>
    <w:p w14:paraId="6CB3844A"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 xml:space="preserve">JORGE ENRIQUE IBÁÑEZ NAJAR </w:t>
      </w:r>
    </w:p>
    <w:p w14:paraId="3DE6E925"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Magistrado</w:t>
      </w:r>
    </w:p>
    <w:p w14:paraId="5E8AF766" w14:textId="77777777" w:rsidR="00000000" w:rsidRPr="00664F17" w:rsidRDefault="00000000" w:rsidP="00BB268E">
      <w:pPr>
        <w:ind w:right="51"/>
        <w:jc w:val="center"/>
        <w:rPr>
          <w:rFonts w:ascii="Times New Roman" w:hAnsi="Times New Roman" w:cs="Times New Roman"/>
          <w:sz w:val="28"/>
          <w:szCs w:val="28"/>
          <w:lang w:val="es-ES_tradnl"/>
        </w:rPr>
      </w:pPr>
    </w:p>
    <w:p w14:paraId="1441DE6C" w14:textId="77777777" w:rsidR="00000000" w:rsidRPr="00664F17" w:rsidRDefault="00000000" w:rsidP="00BB268E">
      <w:pPr>
        <w:ind w:right="51"/>
        <w:jc w:val="center"/>
        <w:rPr>
          <w:rFonts w:ascii="Times New Roman" w:hAnsi="Times New Roman" w:cs="Times New Roman"/>
          <w:sz w:val="28"/>
          <w:szCs w:val="28"/>
          <w:lang w:val="es-ES_tradnl"/>
        </w:rPr>
      </w:pPr>
    </w:p>
    <w:p w14:paraId="3DFE8AF5" w14:textId="77777777" w:rsidR="00000000" w:rsidRPr="00664F17" w:rsidRDefault="00000000" w:rsidP="00BB268E">
      <w:pPr>
        <w:ind w:right="51"/>
        <w:jc w:val="center"/>
        <w:rPr>
          <w:rFonts w:ascii="Times New Roman" w:hAnsi="Times New Roman" w:cs="Times New Roman"/>
          <w:sz w:val="28"/>
          <w:szCs w:val="28"/>
          <w:lang w:val="es-ES_tradnl"/>
        </w:rPr>
      </w:pPr>
    </w:p>
    <w:p w14:paraId="6925BBE8"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ANTONIO JOSÉ LIZARAZO OCAMPO</w:t>
      </w:r>
    </w:p>
    <w:p w14:paraId="67A6AA7D"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Magistrado</w:t>
      </w:r>
    </w:p>
    <w:p w14:paraId="7FE77D3C" w14:textId="77777777" w:rsidR="00000000" w:rsidRPr="00664F17" w:rsidRDefault="00000000" w:rsidP="00BB268E">
      <w:pPr>
        <w:ind w:right="51"/>
        <w:jc w:val="center"/>
        <w:rPr>
          <w:rFonts w:ascii="Times New Roman" w:hAnsi="Times New Roman" w:cs="Times New Roman"/>
          <w:sz w:val="28"/>
          <w:szCs w:val="28"/>
          <w:lang w:val="es-ES_tradnl"/>
        </w:rPr>
      </w:pPr>
    </w:p>
    <w:p w14:paraId="6EBC625A" w14:textId="77777777" w:rsidR="00000000" w:rsidRPr="00664F17" w:rsidRDefault="00000000" w:rsidP="00BB268E">
      <w:pPr>
        <w:ind w:right="51"/>
        <w:jc w:val="center"/>
        <w:rPr>
          <w:rFonts w:ascii="Times New Roman" w:hAnsi="Times New Roman" w:cs="Times New Roman"/>
          <w:sz w:val="28"/>
          <w:szCs w:val="28"/>
          <w:lang w:val="es-ES_tradnl"/>
        </w:rPr>
      </w:pPr>
    </w:p>
    <w:p w14:paraId="4C1604C4" w14:textId="77777777" w:rsidR="00000000" w:rsidRPr="00664F17" w:rsidRDefault="00000000" w:rsidP="00BB268E">
      <w:pPr>
        <w:ind w:right="51"/>
        <w:jc w:val="center"/>
        <w:rPr>
          <w:rFonts w:ascii="Times New Roman" w:hAnsi="Times New Roman" w:cs="Times New Roman"/>
          <w:sz w:val="28"/>
          <w:szCs w:val="28"/>
          <w:lang w:val="es-ES_tradnl"/>
        </w:rPr>
      </w:pPr>
    </w:p>
    <w:p w14:paraId="03C1A69A"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PAOLA ANDREA MENESES MOSQUERA</w:t>
      </w:r>
    </w:p>
    <w:p w14:paraId="37211BCA"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Magistrada</w:t>
      </w:r>
    </w:p>
    <w:p w14:paraId="0C33F6EB" w14:textId="77777777" w:rsidR="00000000" w:rsidRPr="00664F17" w:rsidRDefault="00000000" w:rsidP="00BB268E">
      <w:pPr>
        <w:ind w:right="51"/>
        <w:jc w:val="center"/>
        <w:rPr>
          <w:rFonts w:ascii="Times New Roman" w:hAnsi="Times New Roman" w:cs="Times New Roman"/>
          <w:sz w:val="28"/>
          <w:szCs w:val="28"/>
          <w:lang w:val="es-ES_tradnl"/>
        </w:rPr>
      </w:pPr>
    </w:p>
    <w:p w14:paraId="40944361" w14:textId="77777777" w:rsidR="00000000" w:rsidRPr="00664F17" w:rsidRDefault="00000000" w:rsidP="00BB268E">
      <w:pPr>
        <w:ind w:right="51"/>
        <w:jc w:val="center"/>
        <w:rPr>
          <w:rFonts w:ascii="Times New Roman" w:hAnsi="Times New Roman" w:cs="Times New Roman"/>
          <w:sz w:val="28"/>
          <w:szCs w:val="28"/>
          <w:lang w:val="es-ES_tradnl"/>
        </w:rPr>
      </w:pPr>
    </w:p>
    <w:p w14:paraId="12E9A7F3" w14:textId="77777777" w:rsidR="00000000" w:rsidRPr="00664F17" w:rsidRDefault="00000000" w:rsidP="00BB268E">
      <w:pPr>
        <w:ind w:right="51"/>
        <w:jc w:val="center"/>
        <w:rPr>
          <w:rFonts w:ascii="Times New Roman" w:hAnsi="Times New Roman" w:cs="Times New Roman"/>
          <w:sz w:val="28"/>
          <w:szCs w:val="28"/>
          <w:lang w:val="es-ES_tradnl"/>
        </w:rPr>
      </w:pPr>
    </w:p>
    <w:p w14:paraId="28DCC23C"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CRISTINA PARDO SCHLESINGER</w:t>
      </w:r>
    </w:p>
    <w:p w14:paraId="3814510A"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Magistrada</w:t>
      </w:r>
    </w:p>
    <w:p w14:paraId="7E75ACEB" w14:textId="77777777" w:rsidR="00000000" w:rsidRPr="00664F17" w:rsidRDefault="00000000" w:rsidP="00BB268E">
      <w:pPr>
        <w:ind w:right="51"/>
        <w:jc w:val="center"/>
        <w:rPr>
          <w:rFonts w:ascii="Times New Roman" w:hAnsi="Times New Roman" w:cs="Times New Roman"/>
          <w:sz w:val="28"/>
          <w:szCs w:val="28"/>
          <w:lang w:val="es-ES_tradnl"/>
        </w:rPr>
      </w:pPr>
    </w:p>
    <w:p w14:paraId="0377ADBC" w14:textId="77777777" w:rsidR="00000000" w:rsidRPr="00664F17" w:rsidRDefault="00000000" w:rsidP="00BB268E">
      <w:pPr>
        <w:ind w:right="51"/>
        <w:jc w:val="center"/>
        <w:rPr>
          <w:rFonts w:ascii="Times New Roman" w:hAnsi="Times New Roman" w:cs="Times New Roman"/>
          <w:sz w:val="28"/>
          <w:szCs w:val="28"/>
          <w:lang w:val="es-ES_tradnl"/>
        </w:rPr>
      </w:pPr>
    </w:p>
    <w:p w14:paraId="2150AA3D" w14:textId="77777777" w:rsidR="00000000" w:rsidRPr="00664F17" w:rsidRDefault="00000000" w:rsidP="00BB268E">
      <w:pPr>
        <w:ind w:right="51"/>
        <w:jc w:val="center"/>
        <w:rPr>
          <w:rFonts w:ascii="Times New Roman" w:hAnsi="Times New Roman" w:cs="Times New Roman"/>
          <w:sz w:val="28"/>
          <w:szCs w:val="28"/>
          <w:lang w:val="es-ES_tradnl"/>
        </w:rPr>
      </w:pPr>
    </w:p>
    <w:p w14:paraId="2E9FAEB1"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VLADIMIR FERNÁNDEZ ANDRADE</w:t>
      </w:r>
    </w:p>
    <w:p w14:paraId="3EFD8F8C"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Magistrado</w:t>
      </w:r>
    </w:p>
    <w:p w14:paraId="2078C022" w14:textId="77777777" w:rsidR="00000000" w:rsidRPr="00664F17" w:rsidRDefault="00000000" w:rsidP="00BB268E">
      <w:pPr>
        <w:ind w:right="51"/>
        <w:jc w:val="center"/>
        <w:rPr>
          <w:rFonts w:ascii="Times New Roman" w:hAnsi="Times New Roman" w:cs="Times New Roman"/>
          <w:sz w:val="28"/>
          <w:szCs w:val="28"/>
          <w:lang w:val="es-ES_tradnl"/>
        </w:rPr>
      </w:pPr>
    </w:p>
    <w:p w14:paraId="536F9CC3" w14:textId="77777777" w:rsidR="00000000" w:rsidRPr="00664F17" w:rsidRDefault="00000000" w:rsidP="00BB268E">
      <w:pPr>
        <w:ind w:right="51"/>
        <w:jc w:val="center"/>
        <w:rPr>
          <w:rFonts w:ascii="Times New Roman" w:hAnsi="Times New Roman" w:cs="Times New Roman"/>
          <w:sz w:val="28"/>
          <w:szCs w:val="28"/>
          <w:lang w:val="es-ES_tradnl"/>
        </w:rPr>
      </w:pPr>
    </w:p>
    <w:p w14:paraId="7BDDB875" w14:textId="77777777" w:rsidR="00000000" w:rsidRPr="00664F17" w:rsidRDefault="00000000" w:rsidP="00BB268E">
      <w:pPr>
        <w:ind w:right="51"/>
        <w:jc w:val="center"/>
        <w:rPr>
          <w:rFonts w:ascii="Times New Roman" w:hAnsi="Times New Roman" w:cs="Times New Roman"/>
          <w:sz w:val="28"/>
          <w:szCs w:val="28"/>
          <w:lang w:val="es-ES_tradnl"/>
        </w:rPr>
      </w:pPr>
    </w:p>
    <w:p w14:paraId="03FA559F"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JOSE FERNANDO REYES CUARTAS</w:t>
      </w:r>
    </w:p>
    <w:p w14:paraId="35B364A4"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Magistrado</w:t>
      </w:r>
    </w:p>
    <w:p w14:paraId="3E28C40A" w14:textId="77777777" w:rsidR="00000000" w:rsidRPr="00664F17" w:rsidRDefault="00000000" w:rsidP="00BB268E">
      <w:pPr>
        <w:ind w:right="51"/>
        <w:jc w:val="center"/>
        <w:rPr>
          <w:rFonts w:ascii="Times New Roman" w:hAnsi="Times New Roman" w:cs="Times New Roman"/>
          <w:sz w:val="28"/>
          <w:szCs w:val="28"/>
          <w:lang w:val="es-ES_tradnl"/>
        </w:rPr>
      </w:pPr>
    </w:p>
    <w:p w14:paraId="3CF59304" w14:textId="77777777" w:rsidR="00000000" w:rsidRPr="00664F17" w:rsidRDefault="00000000" w:rsidP="00BB268E">
      <w:pPr>
        <w:ind w:right="51"/>
        <w:jc w:val="center"/>
        <w:rPr>
          <w:rFonts w:ascii="Times New Roman" w:hAnsi="Times New Roman" w:cs="Times New Roman"/>
          <w:sz w:val="28"/>
          <w:szCs w:val="28"/>
          <w:lang w:val="es-ES_tradnl"/>
        </w:rPr>
      </w:pPr>
    </w:p>
    <w:p w14:paraId="3415E30F" w14:textId="77777777" w:rsidR="00000000" w:rsidRPr="00664F17" w:rsidRDefault="00000000" w:rsidP="00BB268E">
      <w:pPr>
        <w:ind w:right="51"/>
        <w:jc w:val="center"/>
        <w:rPr>
          <w:rFonts w:ascii="Times New Roman" w:hAnsi="Times New Roman" w:cs="Times New Roman"/>
          <w:sz w:val="28"/>
          <w:szCs w:val="28"/>
          <w:lang w:val="es-ES_tradnl"/>
        </w:rPr>
      </w:pPr>
    </w:p>
    <w:p w14:paraId="46B491C9"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ANDREA LILIANA ROMERO LOPEZ</w:t>
      </w:r>
    </w:p>
    <w:p w14:paraId="1849B5F9" w14:textId="77777777" w:rsidR="00000000" w:rsidRPr="00664F17" w:rsidRDefault="00664F17" w:rsidP="00BB268E">
      <w:pPr>
        <w:ind w:right="51"/>
        <w:jc w:val="center"/>
        <w:rPr>
          <w:rFonts w:ascii="Times New Roman" w:hAnsi="Times New Roman" w:cs="Times New Roman"/>
          <w:sz w:val="28"/>
          <w:szCs w:val="28"/>
          <w:lang w:val="es-ES_tradnl"/>
        </w:rPr>
      </w:pPr>
      <w:r w:rsidRPr="00664F17">
        <w:rPr>
          <w:rFonts w:ascii="Times New Roman" w:hAnsi="Times New Roman" w:cs="Times New Roman"/>
          <w:sz w:val="28"/>
          <w:szCs w:val="28"/>
          <w:lang w:val="es-ES_tradnl"/>
        </w:rPr>
        <w:t>Secretaria General</w:t>
      </w:r>
    </w:p>
    <w:p w14:paraId="5ED6BEC9" w14:textId="77777777" w:rsidR="00000000" w:rsidRPr="00664F17" w:rsidRDefault="00000000" w:rsidP="00BB268E">
      <w:pPr>
        <w:ind w:right="51"/>
        <w:jc w:val="center"/>
        <w:rPr>
          <w:rFonts w:ascii="Times New Roman" w:hAnsi="Times New Roman" w:cs="Times New Roman"/>
          <w:sz w:val="28"/>
          <w:szCs w:val="28"/>
          <w:lang w:val="es-ES_tradnl"/>
        </w:rPr>
      </w:pPr>
    </w:p>
    <w:p w14:paraId="6F622119" w14:textId="77777777" w:rsidR="00000000" w:rsidRPr="00664F17" w:rsidRDefault="00000000" w:rsidP="00BB268E">
      <w:pPr>
        <w:ind w:right="51"/>
        <w:jc w:val="center"/>
        <w:rPr>
          <w:rFonts w:ascii="Times New Roman" w:hAnsi="Times New Roman" w:cs="Times New Roman"/>
          <w:sz w:val="28"/>
          <w:szCs w:val="28"/>
          <w:lang w:val="es-ES_tradnl"/>
        </w:rPr>
      </w:pPr>
    </w:p>
    <w:p w14:paraId="229CB47E" w14:textId="77777777" w:rsidR="00000000" w:rsidRPr="00664F17" w:rsidRDefault="00000000" w:rsidP="00BB268E">
      <w:pPr>
        <w:ind w:right="51"/>
        <w:jc w:val="center"/>
        <w:rPr>
          <w:rFonts w:ascii="Times New Roman" w:hAnsi="Times New Roman" w:cs="Times New Roman"/>
          <w:sz w:val="28"/>
          <w:szCs w:val="28"/>
          <w:lang w:val="es-ES_tradnl"/>
        </w:rPr>
      </w:pPr>
    </w:p>
    <w:p w14:paraId="70C51BB7" w14:textId="77777777" w:rsidR="00000000" w:rsidRPr="00664F17" w:rsidRDefault="00000000" w:rsidP="00BB268E">
      <w:pPr>
        <w:ind w:right="51"/>
        <w:jc w:val="center"/>
        <w:rPr>
          <w:rFonts w:ascii="Times New Roman" w:hAnsi="Times New Roman" w:cs="Times New Roman"/>
          <w:sz w:val="28"/>
          <w:szCs w:val="28"/>
          <w:lang w:val="es-ES_tradnl"/>
        </w:rPr>
      </w:pPr>
    </w:p>
    <w:p w14:paraId="54C5226E" w14:textId="77777777" w:rsidR="00000000" w:rsidRPr="00664F17" w:rsidRDefault="00000000" w:rsidP="00BB268E">
      <w:pPr>
        <w:ind w:right="51"/>
        <w:jc w:val="center"/>
        <w:rPr>
          <w:rFonts w:ascii="Times New Roman" w:hAnsi="Times New Roman" w:cs="Times New Roman"/>
          <w:sz w:val="28"/>
          <w:szCs w:val="28"/>
          <w:lang w:val="es-ES_tradnl"/>
        </w:rPr>
      </w:pPr>
    </w:p>
    <w:p w14:paraId="29C6C5FB" w14:textId="77777777" w:rsidR="00000000" w:rsidRPr="00664F17" w:rsidRDefault="00000000" w:rsidP="00BB268E">
      <w:pPr>
        <w:ind w:right="51"/>
        <w:jc w:val="center"/>
        <w:rPr>
          <w:rFonts w:ascii="Times New Roman" w:hAnsi="Times New Roman" w:cs="Times New Roman"/>
          <w:sz w:val="28"/>
          <w:szCs w:val="28"/>
          <w:lang w:val="es-ES_tradnl"/>
        </w:rPr>
      </w:pPr>
    </w:p>
    <w:sectPr w:rsidR="00BB268E" w:rsidRPr="00664F1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6D14" w14:textId="77777777" w:rsidR="005D66D4" w:rsidRDefault="005D66D4">
      <w:pPr>
        <w:spacing w:after="0" w:line="240" w:lineRule="auto"/>
      </w:pPr>
      <w:r>
        <w:separator/>
      </w:r>
    </w:p>
  </w:endnote>
  <w:endnote w:type="continuationSeparator" w:id="0">
    <w:p w14:paraId="528DE820" w14:textId="77777777" w:rsidR="005D66D4" w:rsidRDefault="005D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C9C" w14:textId="77777777" w:rsidR="005D66D4" w:rsidRDefault="005D66D4">
      <w:pPr>
        <w:spacing w:after="0" w:line="240" w:lineRule="auto"/>
      </w:pPr>
      <w:r>
        <w:separator/>
      </w:r>
    </w:p>
  </w:footnote>
  <w:footnote w:type="continuationSeparator" w:id="0">
    <w:p w14:paraId="5072DD45" w14:textId="77777777" w:rsidR="005D66D4" w:rsidRDefault="005D66D4">
      <w:pPr>
        <w:spacing w:after="0" w:line="240" w:lineRule="auto"/>
      </w:pPr>
      <w:r>
        <w:continuationSeparator/>
      </w:r>
    </w:p>
  </w:footnote>
  <w:footnote w:id="1">
    <w:p w14:paraId="28F80C0C" w14:textId="77777777" w:rsidR="00000000" w:rsidRPr="00E36E5D" w:rsidRDefault="00664F17" w:rsidP="00DC18A0">
      <w:pPr>
        <w:pStyle w:val="Textonotapie"/>
        <w:jc w:val="both"/>
        <w:rPr>
          <w:sz w:val="18"/>
          <w:szCs w:val="18"/>
        </w:rPr>
      </w:pPr>
      <w:r w:rsidRPr="00E36E5D">
        <w:rPr>
          <w:rStyle w:val="Refdenotaalpie"/>
          <w:sz w:val="18"/>
          <w:szCs w:val="18"/>
        </w:rPr>
        <w:footnoteRef/>
      </w:r>
      <w:r w:rsidRPr="00E36E5D">
        <w:rPr>
          <w:sz w:val="18"/>
          <w:szCs w:val="18"/>
        </w:rPr>
        <w:t xml:space="preserve"> Bibiana Mazabuel Pisso, Sara Victoria Clavijo Mazabuel, Yenny Liceth Muñoz Pisso, Jonathan Andrés Quiñonez Muñoz, Ángela María Quiñones Muñoz, Paola Andrea Muñoz Pisso y Juan Esteban Lemos Muñoz. </w:t>
      </w:r>
    </w:p>
  </w:footnote>
  <w:footnote w:id="2">
    <w:p w14:paraId="4EF2F66F" w14:textId="77777777" w:rsidR="00000000" w:rsidRPr="00E36E5D" w:rsidRDefault="00664F17">
      <w:pPr>
        <w:pStyle w:val="Textonotapie"/>
      </w:pPr>
      <w:r>
        <w:rPr>
          <w:rStyle w:val="Refdenotaalpie"/>
        </w:rPr>
        <w:footnoteRef/>
      </w:r>
      <w:r>
        <w:t xml:space="preserve"> Ley del artista. </w:t>
      </w:r>
    </w:p>
  </w:footnote>
  <w:footnote w:id="3">
    <w:p w14:paraId="59E4E481" w14:textId="77777777" w:rsidR="00000000" w:rsidRPr="00E36E5D" w:rsidRDefault="00664F17">
      <w:pPr>
        <w:pStyle w:val="Textonotapie"/>
        <w:rPr>
          <w:sz w:val="18"/>
          <w:szCs w:val="18"/>
        </w:rPr>
      </w:pPr>
      <w:r w:rsidRPr="00E36E5D">
        <w:rPr>
          <w:rStyle w:val="Refdenotaalpie"/>
          <w:sz w:val="18"/>
          <w:szCs w:val="18"/>
        </w:rPr>
        <w:footnoteRef/>
      </w:r>
      <w:r w:rsidRPr="00E36E5D">
        <w:rPr>
          <w:sz w:val="18"/>
          <w:szCs w:val="18"/>
        </w:rPr>
        <w:t xml:space="preserve"> Expediente digital CJU 4248, archivo: “</w:t>
      </w:r>
      <w:hyperlink r:id="rId1" w:tgtFrame="new" w:history="1">
        <w:r w:rsidRPr="00E36E5D">
          <w:rPr>
            <w:rStyle w:val="Hipervnculo"/>
            <w:color w:val="auto"/>
            <w:sz w:val="18"/>
            <w:szCs w:val="18"/>
            <w:u w:val="none"/>
            <w:shd w:val="clear" w:color="auto" w:fill="FFFFFF"/>
          </w:rPr>
          <w:t>23</w:t>
        </w:r>
        <w:r>
          <w:rPr>
            <w:rStyle w:val="Hipervnculo"/>
            <w:color w:val="auto"/>
            <w:sz w:val="18"/>
            <w:szCs w:val="18"/>
            <w:u w:val="none"/>
            <w:shd w:val="clear" w:color="auto" w:fill="FFFFFF"/>
          </w:rPr>
          <w:t xml:space="preserve">Auto </w:t>
        </w:r>
        <w:r w:rsidRPr="00E36E5D">
          <w:rPr>
            <w:rStyle w:val="Hipervnculo"/>
            <w:color w:val="auto"/>
            <w:sz w:val="18"/>
            <w:szCs w:val="18"/>
            <w:u w:val="none"/>
            <w:shd w:val="clear" w:color="auto" w:fill="FFFFFF"/>
          </w:rPr>
          <w:t>DeclaraFaltaJurisdiccion.pdf</w:t>
        </w:r>
      </w:hyperlink>
      <w:r w:rsidRPr="00E36E5D">
        <w:rPr>
          <w:sz w:val="18"/>
          <w:szCs w:val="18"/>
          <w:shd w:val="clear" w:color="auto" w:fill="FFFFFF"/>
        </w:rPr>
        <w:t xml:space="preserve">” </w:t>
      </w:r>
    </w:p>
  </w:footnote>
  <w:footnote w:id="4">
    <w:p w14:paraId="3D1EFD15" w14:textId="77777777" w:rsidR="00000000" w:rsidRPr="00E36E5D" w:rsidRDefault="00664F17" w:rsidP="00B65E97">
      <w:pPr>
        <w:pStyle w:val="Textonotapie"/>
        <w:jc w:val="both"/>
        <w:rPr>
          <w:sz w:val="18"/>
          <w:szCs w:val="18"/>
          <w:lang w:val="es-CO"/>
        </w:rPr>
      </w:pPr>
      <w:r w:rsidRPr="00E36E5D">
        <w:rPr>
          <w:rStyle w:val="Refdenotaalpie"/>
          <w:sz w:val="18"/>
          <w:szCs w:val="18"/>
        </w:rPr>
        <w:footnoteRef/>
      </w:r>
      <w:r w:rsidRPr="00E36E5D">
        <w:rPr>
          <w:sz w:val="18"/>
          <w:szCs w:val="18"/>
        </w:rPr>
        <w:t xml:space="preserve"> Expediente digital CJU-4248, archivo: “</w:t>
      </w:r>
      <w:hyperlink r:id="rId2" w:tgtFrame="new" w:history="1">
        <w:r w:rsidRPr="00E36E5D">
          <w:rPr>
            <w:rStyle w:val="Hipervnculo"/>
            <w:color w:val="auto"/>
            <w:sz w:val="18"/>
            <w:szCs w:val="18"/>
            <w:u w:val="none"/>
            <w:shd w:val="clear" w:color="auto" w:fill="FFFFFF"/>
          </w:rPr>
          <w:t>03CJU-4248 Constancia de Reparto.pdf</w:t>
        </w:r>
      </w:hyperlink>
      <w:r w:rsidRPr="00E36E5D">
        <w:rPr>
          <w:sz w:val="18"/>
          <w:szCs w:val="18"/>
          <w:shd w:val="clear" w:color="auto" w:fill="FFFFFF"/>
        </w:rPr>
        <w:t>”</w:t>
      </w:r>
    </w:p>
  </w:footnote>
  <w:footnote w:id="5">
    <w:p w14:paraId="68DFEEC2" w14:textId="77777777" w:rsidR="00000000" w:rsidRPr="00E36E5D" w:rsidRDefault="00664F17" w:rsidP="00B65E97">
      <w:pPr>
        <w:pStyle w:val="Textonotapie"/>
        <w:jc w:val="both"/>
        <w:rPr>
          <w:sz w:val="18"/>
          <w:szCs w:val="18"/>
        </w:rPr>
      </w:pPr>
      <w:r w:rsidRPr="00E36E5D">
        <w:rPr>
          <w:rStyle w:val="Refdenotaalpie"/>
          <w:sz w:val="18"/>
          <w:szCs w:val="18"/>
        </w:rPr>
        <w:footnoteRef/>
      </w:r>
      <w:r w:rsidRPr="00E36E5D">
        <w:rPr>
          <w:sz w:val="18"/>
          <w:szCs w:val="18"/>
        </w:rPr>
        <w:t xml:space="preserve"> </w:t>
      </w:r>
      <w:r>
        <w:rPr>
          <w:noProof/>
          <w:sz w:val="18"/>
          <w:szCs w:val="18"/>
        </w:rPr>
        <w:t xml:space="preserve"> Auto </w:t>
      </w:r>
      <w:r w:rsidRPr="00E36E5D">
        <w:rPr>
          <w:noProof/>
          <w:sz w:val="18"/>
          <w:szCs w:val="18"/>
        </w:rPr>
        <w:t>076 de 2022.</w:t>
      </w:r>
    </w:p>
  </w:footnote>
  <w:footnote w:id="6">
    <w:p w14:paraId="71D78A66" w14:textId="77777777" w:rsidR="00000000" w:rsidRPr="00E36E5D" w:rsidRDefault="00664F17" w:rsidP="00B65E97">
      <w:pPr>
        <w:pStyle w:val="Textonotapie"/>
        <w:jc w:val="both"/>
        <w:rPr>
          <w:sz w:val="18"/>
          <w:szCs w:val="18"/>
        </w:rPr>
      </w:pPr>
      <w:r w:rsidRPr="00E36E5D">
        <w:rPr>
          <w:rStyle w:val="Refdenotaalpie"/>
          <w:sz w:val="18"/>
          <w:szCs w:val="18"/>
        </w:rPr>
        <w:footnoteRef/>
      </w:r>
      <w:r w:rsidRPr="00E36E5D">
        <w:rPr>
          <w:sz w:val="18"/>
          <w:szCs w:val="18"/>
        </w:rPr>
        <w:t xml:space="preserve"> </w:t>
      </w:r>
      <w:r>
        <w:rPr>
          <w:sz w:val="18"/>
          <w:szCs w:val="18"/>
        </w:rPr>
        <w:t xml:space="preserve"> </w:t>
      </w:r>
      <w:r>
        <w:rPr>
          <w:noProof/>
          <w:sz w:val="18"/>
          <w:szCs w:val="18"/>
        </w:rPr>
        <w:t>Auto</w:t>
      </w:r>
      <w:r>
        <w:rPr>
          <w:sz w:val="18"/>
          <w:szCs w:val="18"/>
        </w:rPr>
        <w:t xml:space="preserve"> </w:t>
      </w:r>
      <w:r w:rsidRPr="00E36E5D">
        <w:rPr>
          <w:sz w:val="18"/>
          <w:szCs w:val="18"/>
        </w:rPr>
        <w:t>721 de 2022.</w:t>
      </w:r>
    </w:p>
  </w:footnote>
  <w:footnote w:id="7">
    <w:p w14:paraId="74E569E8" w14:textId="77777777" w:rsidR="00000000" w:rsidRPr="00E36E5D" w:rsidRDefault="00664F17" w:rsidP="00B65E97">
      <w:pPr>
        <w:pStyle w:val="Textonotapie"/>
        <w:jc w:val="both"/>
        <w:rPr>
          <w:sz w:val="18"/>
          <w:szCs w:val="18"/>
        </w:rPr>
      </w:pPr>
      <w:r w:rsidRPr="00E36E5D">
        <w:rPr>
          <w:rStyle w:val="Refdenotaalpie"/>
          <w:sz w:val="18"/>
          <w:szCs w:val="18"/>
        </w:rPr>
        <w:footnoteRef/>
      </w:r>
      <w:r w:rsidRPr="00E36E5D">
        <w:rPr>
          <w:sz w:val="18"/>
          <w:szCs w:val="18"/>
        </w:rPr>
        <w:t xml:space="preserve"> </w:t>
      </w:r>
      <w:r>
        <w:rPr>
          <w:noProof/>
          <w:sz w:val="18"/>
          <w:szCs w:val="18"/>
        </w:rPr>
        <w:t>Auto</w:t>
      </w:r>
      <w:r w:rsidRPr="00E36E5D">
        <w:rPr>
          <w:sz w:val="18"/>
          <w:szCs w:val="18"/>
        </w:rPr>
        <w:t xml:space="preserve"> 721 de 2022 y 356 de 2022, entre muchos otros.</w:t>
      </w:r>
    </w:p>
  </w:footnote>
  <w:footnote w:id="8">
    <w:p w14:paraId="201CD70E"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El artículo 140 de la Ley 1437 de 2011 dispone que, en los procesos de reparación directa, cuando estén involucrados particulares y entidades públicas, debe determinarse la proporción de responsabilidad de cada uno de los accionados. De igual forma, el artículo 165 de esta misma ley habilita la acumulación de pretensiones cuando la demanda se dirige contra un agente estatal y un particular.</w:t>
      </w:r>
    </w:p>
  </w:footnote>
  <w:footnote w:id="9">
    <w:p w14:paraId="0D72EB9C"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Consejo de Estado, Sección Tercera, sentencia de 24 de marzo de 2011, radicado: 66001233100019980040901(19067)</w:t>
      </w:r>
    </w:p>
  </w:footnote>
  <w:footnote w:id="10">
    <w:p w14:paraId="0CC58A01" w14:textId="77777777" w:rsidR="00000000" w:rsidRPr="00E36E5D" w:rsidRDefault="00664F17" w:rsidP="00D009FE">
      <w:pPr>
        <w:pStyle w:val="Textonotapie"/>
        <w:jc w:val="both"/>
        <w:rPr>
          <w:sz w:val="18"/>
          <w:szCs w:val="18"/>
          <w:shd w:val="clear" w:color="auto" w:fill="FFFFFF"/>
        </w:rPr>
      </w:pPr>
      <w:r w:rsidRPr="00E36E5D">
        <w:rPr>
          <w:rStyle w:val="Refdenotaalpie"/>
          <w:sz w:val="18"/>
          <w:szCs w:val="18"/>
        </w:rPr>
        <w:footnoteRef/>
      </w:r>
      <w:r w:rsidRPr="00E36E5D">
        <w:rPr>
          <w:sz w:val="18"/>
          <w:szCs w:val="18"/>
        </w:rPr>
        <w:t xml:space="preserve"> </w:t>
      </w:r>
      <w:r w:rsidRPr="00E36E5D">
        <w:rPr>
          <w:sz w:val="18"/>
          <w:szCs w:val="18"/>
          <w:shd w:val="clear" w:color="auto" w:fill="FFFFFF"/>
        </w:rPr>
        <w:t>Consejo de Estado, Sección Cuarta, sentencia de 31 de octubre de 2018, radicado: 11001-03-15-000-2018-03204-00(AC). Consejo de Estado, sentencia del 4 de junio de 2019, radicado: 44001-23-31-002-2002-00438-01(AG). Consejo de Estado, Sección Tercera, </w:t>
      </w:r>
      <w:r>
        <w:rPr>
          <w:sz w:val="18"/>
          <w:szCs w:val="18"/>
          <w:shd w:val="clear" w:color="auto" w:fill="FFFFFF"/>
        </w:rPr>
        <w:t>auto</w:t>
      </w:r>
      <w:r w:rsidRPr="00E36E5D">
        <w:rPr>
          <w:sz w:val="18"/>
          <w:szCs w:val="18"/>
          <w:shd w:val="clear" w:color="auto" w:fill="FFFFFF"/>
        </w:rPr>
        <w:t xml:space="preserve"> del 18 de junio de 2015, radicado: 76001-23-33-000-2012-00437-01 (51174) </w:t>
      </w:r>
    </w:p>
  </w:footnote>
  <w:footnote w:id="11">
    <w:p w14:paraId="114C0309"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w:t>
      </w:r>
      <w:r w:rsidRPr="00E36E5D">
        <w:rPr>
          <w:sz w:val="18"/>
          <w:szCs w:val="18"/>
          <w:shd w:val="clear" w:color="auto" w:fill="FFFFFF"/>
        </w:rPr>
        <w:t>Consejo de Estado, Sección Tercera, Subsección A, sentencia del 5 de marzo de 2021, radicado: 23001233300020130014301(64767),</w:t>
      </w:r>
    </w:p>
  </w:footnote>
  <w:footnote w:id="12">
    <w:p w14:paraId="2C1D2C5D"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El Consejo de Estado, Sala de lo Contencioso Administrativo, Sección tercera, Subsección A, en sentencia del 22 de marzo de 2017, exp. 38.958, confirmó la inhibición de declaratoria de responsabilidad sobre las personas de derecho privado, por cuanto “la responsabilidad endilgada a cada una de las partes procede de un hecho diferente, esto es, de una falla médica en relación con la atención prestada por el hospital y de un accidente de tránsito, respecto del conductor del vehículo y de la empresa propietaria del mismo.”.</w:t>
      </w:r>
    </w:p>
  </w:footnote>
  <w:footnote w:id="13">
    <w:p w14:paraId="763BB92F"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Consejo Superior de la Judicatura, Sala Jurisdiccional Disciplinaria, </w:t>
      </w:r>
      <w:r>
        <w:rPr>
          <w:sz w:val="18"/>
          <w:szCs w:val="18"/>
        </w:rPr>
        <w:t xml:space="preserve">Auto </w:t>
      </w:r>
      <w:r w:rsidRPr="00E36E5D">
        <w:rPr>
          <w:sz w:val="18"/>
          <w:szCs w:val="18"/>
        </w:rPr>
        <w:t>del 5 de febrero de 2020, radicado: 110010102000201901260 00. Consejo de Estado, Sección Tercera, sentencia de 5 de marzo de 2021, radicado: 23001233300020130014301(64767); Consejo de Estado, Sección Tercera, sentencia de agosto 29 de 2007, exp. 15.526; reiterada en las sentencias del 22 de marzo de 2017 exp. 38958; y de 1º de marzo de 2018, radicado: 05001233100020060269601(43269)</w:t>
      </w:r>
    </w:p>
  </w:footnote>
  <w:footnote w:id="14">
    <w:p w14:paraId="6C3C3243" w14:textId="77777777" w:rsidR="00000000" w:rsidRPr="00E36E5D" w:rsidRDefault="00664F17" w:rsidP="00D009FE">
      <w:pPr>
        <w:pStyle w:val="Textonotapie"/>
        <w:jc w:val="both"/>
        <w:rPr>
          <w:sz w:val="18"/>
          <w:szCs w:val="18"/>
        </w:rPr>
      </w:pPr>
      <w:r w:rsidRPr="00E36E5D">
        <w:rPr>
          <w:rStyle w:val="Refdenotaalpie"/>
          <w:sz w:val="18"/>
          <w:szCs w:val="18"/>
        </w:rPr>
        <w:footnoteRef/>
      </w:r>
      <w:r w:rsidRPr="00E36E5D">
        <w:rPr>
          <w:sz w:val="18"/>
          <w:szCs w:val="18"/>
        </w:rPr>
        <w:t xml:space="preserve"> </w:t>
      </w:r>
      <w:r w:rsidRPr="00E36E5D">
        <w:rPr>
          <w:sz w:val="18"/>
          <w:szCs w:val="18"/>
          <w:shd w:val="clear" w:color="auto" w:fill="FFFFFF"/>
        </w:rPr>
        <w:t>Consejo de Estado- Sección Tercera. Consejera Ponente: Marta Nubia Velásquez Rico. Providencia del 1º de julio de 2020. Rad.: 25000-23-26-000-2010-00966-01(52337). Reiterada en: Consejo de Estado, Sección Tercera, C.P. José Roberto Sáchica Méndez. Providencial del 20 de noviembre de 2020. Rad.: 25000-23-26-000-2007-00333-01 (50433). Consejo de Estado, Sección Tercera, Subsección A, sentencia del 25 de julio de 2019, radicado: 68001233100020070012801(51687), M.P.: Marta Nubia Velásquez Rico.</w:t>
      </w:r>
    </w:p>
  </w:footnote>
  <w:footnote w:id="15">
    <w:p w14:paraId="5C612DA6" w14:textId="77777777" w:rsidR="00000000" w:rsidRPr="006C271A" w:rsidRDefault="00664F17">
      <w:pPr>
        <w:pStyle w:val="Textonotapie"/>
      </w:pPr>
      <w:r>
        <w:rPr>
          <w:rStyle w:val="Refdenotaalpie"/>
        </w:rPr>
        <w:footnoteRef/>
      </w:r>
      <w:r>
        <w:t xml:space="preserve"> Auto 056 de 2022.</w:t>
      </w:r>
    </w:p>
  </w:footnote>
  <w:footnote w:id="16">
    <w:p w14:paraId="17211625" w14:textId="77777777" w:rsidR="00000000" w:rsidRPr="00E36E5D" w:rsidRDefault="00664F17">
      <w:pPr>
        <w:pStyle w:val="Textonotapie"/>
        <w:rPr>
          <w:sz w:val="18"/>
          <w:szCs w:val="18"/>
        </w:rPr>
      </w:pPr>
      <w:r w:rsidRPr="00E36E5D">
        <w:rPr>
          <w:rStyle w:val="Refdenotaalpie"/>
          <w:sz w:val="18"/>
          <w:szCs w:val="18"/>
        </w:rPr>
        <w:footnoteRef/>
      </w:r>
      <w:r w:rsidRPr="00E36E5D">
        <w:rPr>
          <w:sz w:val="18"/>
          <w:szCs w:val="18"/>
        </w:rPr>
        <w:t xml:space="preserve"> Expediente digital, archivo: “</w:t>
      </w:r>
      <w:hyperlink r:id="rId3" w:tgtFrame="new" w:history="1">
        <w:r w:rsidRPr="00E36E5D">
          <w:rPr>
            <w:rStyle w:val="Hipervnculo"/>
            <w:color w:val="auto"/>
            <w:sz w:val="18"/>
            <w:szCs w:val="18"/>
            <w:u w:val="none"/>
            <w:shd w:val="clear" w:color="auto" w:fill="FFFFFF"/>
          </w:rPr>
          <w:t>04Demanda.pdf</w:t>
        </w:r>
      </w:hyperlink>
      <w:r w:rsidRPr="00E36E5D">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312"/>
    <w:multiLevelType w:val="hybridMultilevel"/>
    <w:tmpl w:val="AA923E74"/>
    <w:lvl w:ilvl="0" w:tplc="6F849084">
      <w:start w:val="1"/>
      <w:numFmt w:val="decimal"/>
      <w:lvlText w:val="%1."/>
      <w:lvlJc w:val="left"/>
      <w:pPr>
        <w:ind w:left="0" w:firstLine="0"/>
      </w:pPr>
      <w:rPr>
        <w:rFonts w:hint="default"/>
        <w:b w:val="0"/>
        <w:b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25116"/>
    <w:multiLevelType w:val="multilevel"/>
    <w:tmpl w:val="DE76FACE"/>
    <w:styleLink w:val="Listaactual1"/>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C223700"/>
    <w:multiLevelType w:val="multilevel"/>
    <w:tmpl w:val="9A46180A"/>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35460C"/>
    <w:multiLevelType w:val="hybridMultilevel"/>
    <w:tmpl w:val="DE527F4A"/>
    <w:lvl w:ilvl="0" w:tplc="AE64B95A">
      <w:start w:val="1"/>
      <w:numFmt w:val="lowerRoman"/>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E6B3B12"/>
    <w:multiLevelType w:val="hybridMultilevel"/>
    <w:tmpl w:val="332EBD9E"/>
    <w:lvl w:ilvl="0" w:tplc="F16ED0D0">
      <w:start w:val="1"/>
      <w:numFmt w:val="decimal"/>
      <w:pStyle w:val="Prrafonumerado"/>
      <w:lvlText w:val="%1."/>
      <w:lvlJc w:val="left"/>
      <w:pPr>
        <w:ind w:left="720" w:hanging="360"/>
      </w:pPr>
      <w:rPr>
        <w:rFonts w:ascii="Times New Roman" w:eastAsia="Times New Roman" w:hAnsi="Times New Roman" w:cs="Times New Roman" w:hint="default"/>
        <w:b w:val="0"/>
        <w:lang w:val="es-C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1021DE6"/>
    <w:multiLevelType w:val="multilevel"/>
    <w:tmpl w:val="3918D4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87852691">
    <w:abstractNumId w:val="1"/>
  </w:num>
  <w:num w:numId="2" w16cid:durableId="274751443">
    <w:abstractNumId w:val="2"/>
  </w:num>
  <w:num w:numId="3" w16cid:durableId="1054740405">
    <w:abstractNumId w:val="4"/>
  </w:num>
  <w:num w:numId="4" w16cid:durableId="2016376467">
    <w:abstractNumId w:val="5"/>
  </w:num>
  <w:num w:numId="5" w16cid:durableId="686443646">
    <w:abstractNumId w:val="0"/>
  </w:num>
  <w:num w:numId="6" w16cid:durableId="1729919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16"/>
    <w:rsid w:val="002353A7"/>
    <w:rsid w:val="0041553F"/>
    <w:rsid w:val="004B4516"/>
    <w:rsid w:val="005D66D4"/>
    <w:rsid w:val="00664F17"/>
    <w:rsid w:val="009D77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30B83"/>
  <w14:defaultImageDpi w14:val="0"/>
  <w15:docId w15:val="{0BA94983-2B51-46E0-9735-26AB0070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8192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172"/>
    <w:pPr>
      <w:tabs>
        <w:tab w:val="center" w:pos="4252"/>
        <w:tab w:val="right" w:pos="8504"/>
      </w:tabs>
    </w:pPr>
    <w:rPr>
      <w:lang w:val="es-ES" w:eastAsia="es-ES"/>
    </w:rPr>
  </w:style>
  <w:style w:type="character" w:customStyle="1" w:styleId="EncabezadoCar">
    <w:name w:val="Encabezado Car"/>
    <w:basedOn w:val="Fuentedeprrafopredeter"/>
    <w:link w:val="Encabezado"/>
    <w:uiPriority w:val="99"/>
    <w:rsid w:val="002B0172"/>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Texto de nota al p"/>
    <w:basedOn w:val="Normal"/>
    <w:link w:val="TextonotapieCar"/>
    <w:uiPriority w:val="99"/>
    <w:unhideWhenUsed/>
    <w:qFormat/>
    <w:rsid w:val="002B0172"/>
    <w:rPr>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qFormat/>
    <w:rsid w:val="002B0172"/>
    <w:rPr>
      <w:rFonts w:ascii="Times New Roman" w:eastAsia="Times New Roman" w:hAnsi="Times New Roman" w:cs="Times New Roman"/>
      <w:sz w:val="20"/>
      <w:szCs w:val="20"/>
      <w:lang w:val="es-ES" w:eastAsia="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ootnote,FC"/>
    <w:link w:val="Piedepagina"/>
    <w:uiPriority w:val="99"/>
    <w:unhideWhenUsed/>
    <w:qFormat/>
    <w:rsid w:val="002B0172"/>
    <w:rPr>
      <w:vertAlign w:val="superscript"/>
    </w:rPr>
  </w:style>
  <w:style w:type="paragraph" w:styleId="Prrafodelista">
    <w:name w:val="List Paragraph"/>
    <w:aliases w:val="List,párrafo numerado,List Paragraph1,Colorful List - Accent 11,Párrafo de lista1,List Paragraph2,Lista vistosa - Énfasis 11,Segundo nivel de viñetas,Segundo nivel de vi–etas,titulo 3,Bullets,Ha,Párrafo de lista2,Dot pt,lp1"/>
    <w:basedOn w:val="Normal"/>
    <w:link w:val="PrrafodelistaCar"/>
    <w:uiPriority w:val="34"/>
    <w:qFormat/>
    <w:rsid w:val="002B0172"/>
    <w:pPr>
      <w:ind w:left="720"/>
      <w:contextualSpacing/>
    </w:pPr>
    <w:rPr>
      <w:lang w:val="es-ES" w:eastAsia="es-ES"/>
    </w:rPr>
  </w:style>
  <w:style w:type="paragraph" w:customStyle="1" w:styleId="CuerpoA">
    <w:name w:val="Cuerpo A"/>
    <w:rsid w:val="002B017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iaj">
    <w:name w:val="i_aj"/>
    <w:rsid w:val="002B0172"/>
    <w:rPr>
      <w:lang w:val="es-ES_tradnl"/>
    </w:rPr>
  </w:style>
  <w:style w:type="paragraph" w:customStyle="1" w:styleId="Sombreadovistoso-nfasis31">
    <w:name w:val="Sombreado vistoso - Énfasis 31"/>
    <w:rsid w:val="002B017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8"/>
      <w:szCs w:val="28"/>
      <w:u w:color="000000"/>
      <w:bdr w:val="nil"/>
      <w:lang w:val="es-ES_tradnl" w:eastAsia="es-ES"/>
    </w:rPr>
  </w:style>
  <w:style w:type="character" w:styleId="Hipervnculo">
    <w:name w:val="Hyperlink"/>
    <w:basedOn w:val="Fuentedeprrafopredeter"/>
    <w:uiPriority w:val="99"/>
    <w:unhideWhenUsed/>
    <w:rsid w:val="002B0172"/>
    <w:rPr>
      <w:color w:val="0563C1" w:themeColor="hyperlink"/>
      <w:u w:val="single"/>
    </w:rPr>
  </w:style>
  <w:style w:type="paragraph" w:styleId="Piedepgina">
    <w:name w:val="footer"/>
    <w:basedOn w:val="Normal"/>
    <w:link w:val="PiedepginaCar"/>
    <w:uiPriority w:val="99"/>
    <w:unhideWhenUsed/>
    <w:rsid w:val="002B0172"/>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2B0172"/>
    <w:rPr>
      <w:rFonts w:ascii="Times New Roman" w:eastAsia="Times New Roman" w:hAnsi="Times New Roman" w:cs="Times New Roman"/>
      <w:sz w:val="24"/>
      <w:szCs w:val="24"/>
      <w:lang w:val="es-ES" w:eastAsia="es-ES"/>
    </w:rPr>
  </w:style>
  <w:style w:type="character" w:customStyle="1" w:styleId="FontStyle21">
    <w:name w:val="Font Style21"/>
    <w:basedOn w:val="Fuentedeprrafopredeter"/>
    <w:uiPriority w:val="99"/>
    <w:rsid w:val="002B0172"/>
    <w:rPr>
      <w:rFonts w:ascii="Times New Roman" w:hAnsi="Times New Roman" w:cs="Times New Roman"/>
      <w:sz w:val="26"/>
      <w:szCs w:val="26"/>
    </w:rPr>
  </w:style>
  <w:style w:type="paragraph" w:customStyle="1" w:styleId="Style17">
    <w:name w:val="Style17"/>
    <w:basedOn w:val="Normal"/>
    <w:uiPriority w:val="99"/>
    <w:rsid w:val="002B0172"/>
    <w:pPr>
      <w:widowControl w:val="0"/>
      <w:autoSpaceDE w:val="0"/>
      <w:autoSpaceDN w:val="0"/>
      <w:adjustRightInd w:val="0"/>
      <w:spacing w:line="720" w:lineRule="exact"/>
      <w:ind w:firstLine="331"/>
    </w:pPr>
    <w:rPr>
      <w:u w:color="000000"/>
      <w:lang w:val="es-ES" w:eastAsia="es-ES"/>
    </w:rPr>
  </w:style>
  <w:style w:type="paragraph" w:styleId="Textodeglobo">
    <w:name w:val="Balloon Text"/>
    <w:basedOn w:val="Normal"/>
    <w:link w:val="TextodegloboCar"/>
    <w:uiPriority w:val="99"/>
    <w:semiHidden/>
    <w:unhideWhenUsed/>
    <w:rsid w:val="000B1D52"/>
    <w:rPr>
      <w:rFonts w:ascii="Segoe U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0B1D52"/>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965D89"/>
    <w:rPr>
      <w:color w:val="605E5C"/>
      <w:shd w:val="clear" w:color="auto" w:fill="E1DFDD"/>
    </w:rPr>
  </w:style>
  <w:style w:type="paragraph" w:styleId="Revisin">
    <w:name w:val="Revision"/>
    <w:hidden/>
    <w:uiPriority w:val="99"/>
    <w:semiHidden/>
    <w:rsid w:val="00183394"/>
    <w:pPr>
      <w:spacing w:after="0" w:line="240" w:lineRule="auto"/>
    </w:pPr>
    <w:rPr>
      <w:rFonts w:ascii="Times New Roman" w:eastAsia="Times New Roman" w:hAnsi="Times New Roman" w:cs="Times New Roman"/>
      <w:sz w:val="24"/>
      <w:szCs w:val="24"/>
      <w:lang w:val="es-ES" w:eastAsia="es-ES"/>
    </w:rPr>
  </w:style>
  <w:style w:type="paragraph" w:customStyle="1" w:styleId="Style6">
    <w:name w:val="Style6"/>
    <w:basedOn w:val="Normal"/>
    <w:uiPriority w:val="99"/>
    <w:rsid w:val="003733E0"/>
    <w:pPr>
      <w:widowControl w:val="0"/>
      <w:autoSpaceDE w:val="0"/>
      <w:autoSpaceDN w:val="0"/>
      <w:adjustRightInd w:val="0"/>
      <w:spacing w:line="322" w:lineRule="exact"/>
      <w:jc w:val="both"/>
    </w:pPr>
    <w:rPr>
      <w:lang w:val="es-ES" w:eastAsia="es-ES"/>
    </w:rPr>
  </w:style>
  <w:style w:type="paragraph" w:customStyle="1" w:styleId="Style2">
    <w:name w:val="Style2"/>
    <w:basedOn w:val="Normal"/>
    <w:uiPriority w:val="99"/>
    <w:rsid w:val="003733E0"/>
    <w:pPr>
      <w:widowControl w:val="0"/>
      <w:autoSpaceDE w:val="0"/>
      <w:autoSpaceDN w:val="0"/>
      <w:adjustRightInd w:val="0"/>
      <w:spacing w:line="322" w:lineRule="exact"/>
      <w:jc w:val="center"/>
    </w:pPr>
    <w:rPr>
      <w:lang w:val="es-ES" w:eastAsia="es-ES"/>
    </w:rPr>
  </w:style>
  <w:style w:type="character" w:customStyle="1" w:styleId="FontStyle11">
    <w:name w:val="Font Style11"/>
    <w:uiPriority w:val="99"/>
    <w:rsid w:val="003733E0"/>
    <w:rPr>
      <w:rFonts w:ascii="Times New Roman" w:hAnsi="Times New Roman" w:cs="Times New Roman"/>
      <w:b/>
      <w:bCs/>
      <w:sz w:val="26"/>
      <w:szCs w:val="26"/>
    </w:rPr>
  </w:style>
  <w:style w:type="paragraph" w:customStyle="1" w:styleId="Default">
    <w:name w:val="Default"/>
    <w:rsid w:val="00624756"/>
    <w:pPr>
      <w:autoSpaceDE w:val="0"/>
      <w:autoSpaceDN w:val="0"/>
      <w:adjustRightInd w:val="0"/>
      <w:spacing w:after="0" w:line="240" w:lineRule="auto"/>
    </w:pPr>
    <w:rPr>
      <w:rFonts w:ascii="Georgia" w:hAnsi="Georgia" w:cs="Georgia"/>
      <w:color w:val="000000"/>
      <w:sz w:val="24"/>
      <w:szCs w:val="24"/>
      <w:lang w:val="es-MX"/>
    </w:rPr>
  </w:style>
  <w:style w:type="character" w:styleId="Refdecomentario">
    <w:name w:val="annotation reference"/>
    <w:basedOn w:val="Fuentedeprrafopredeter"/>
    <w:uiPriority w:val="99"/>
    <w:semiHidden/>
    <w:unhideWhenUsed/>
    <w:rsid w:val="009464F6"/>
    <w:rPr>
      <w:sz w:val="16"/>
      <w:szCs w:val="16"/>
    </w:rPr>
  </w:style>
  <w:style w:type="paragraph" w:styleId="Textocomentario">
    <w:name w:val="annotation text"/>
    <w:basedOn w:val="Normal"/>
    <w:link w:val="TextocomentarioCar"/>
    <w:uiPriority w:val="99"/>
    <w:unhideWhenUsed/>
    <w:rsid w:val="009464F6"/>
    <w:rPr>
      <w:sz w:val="20"/>
      <w:szCs w:val="20"/>
      <w:lang w:val="es-ES" w:eastAsia="es-ES"/>
    </w:rPr>
  </w:style>
  <w:style w:type="character" w:customStyle="1" w:styleId="TextocomentarioCar">
    <w:name w:val="Texto comentario Car"/>
    <w:basedOn w:val="Fuentedeprrafopredeter"/>
    <w:link w:val="Textocomentario"/>
    <w:uiPriority w:val="99"/>
    <w:rsid w:val="009464F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464F6"/>
    <w:rPr>
      <w:b/>
      <w:bCs/>
    </w:rPr>
  </w:style>
  <w:style w:type="character" w:customStyle="1" w:styleId="AsuntodelcomentarioCar">
    <w:name w:val="Asunto del comentario Car"/>
    <w:basedOn w:val="TextocomentarioCar"/>
    <w:link w:val="Asuntodelcomentario"/>
    <w:uiPriority w:val="99"/>
    <w:semiHidden/>
    <w:rsid w:val="009464F6"/>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440DBA"/>
    <w:pPr>
      <w:spacing w:before="200"/>
      <w:ind w:left="864" w:right="864"/>
      <w:jc w:val="center"/>
    </w:pPr>
    <w:rPr>
      <w:i/>
      <w:iCs/>
      <w:color w:val="404040" w:themeColor="text1" w:themeTint="BF"/>
      <w:lang w:val="es-ES" w:eastAsia="es-ES"/>
    </w:rPr>
  </w:style>
  <w:style w:type="character" w:customStyle="1" w:styleId="CitaCar">
    <w:name w:val="Cita Car"/>
    <w:basedOn w:val="Fuentedeprrafopredeter"/>
    <w:link w:val="Cita"/>
    <w:uiPriority w:val="29"/>
    <w:rsid w:val="00440DBA"/>
    <w:rPr>
      <w:rFonts w:ascii="Times New Roman" w:eastAsia="Times New Roman" w:hAnsi="Times New Roman" w:cs="Times New Roman"/>
      <w:i/>
      <w:iCs/>
      <w:color w:val="404040" w:themeColor="text1" w:themeTint="BF"/>
      <w:sz w:val="24"/>
      <w:szCs w:val="24"/>
      <w:lang w:val="es-ES" w:eastAsia="es-ES"/>
    </w:rPr>
  </w:style>
  <w:style w:type="character" w:customStyle="1" w:styleId="Mencinsinresolver2">
    <w:name w:val="Mención sin resolver2"/>
    <w:basedOn w:val="Fuentedeprrafopredeter"/>
    <w:uiPriority w:val="99"/>
    <w:semiHidden/>
    <w:unhideWhenUsed/>
    <w:rsid w:val="00130D72"/>
    <w:rPr>
      <w:color w:val="605E5C"/>
      <w:shd w:val="clear" w:color="auto" w:fill="E1DFDD"/>
    </w:rPr>
  </w:style>
  <w:style w:type="character" w:styleId="Refdenotaalfinal">
    <w:name w:val="endnote reference"/>
    <w:basedOn w:val="Fuentedeprrafopredeter"/>
    <w:uiPriority w:val="99"/>
    <w:semiHidden/>
    <w:unhideWhenUsed/>
    <w:rsid w:val="006C2C0C"/>
    <w:rPr>
      <w:vertAlign w:val="superscript"/>
    </w:rPr>
  </w:style>
  <w:style w:type="paragraph" w:customStyle="1" w:styleId="Piedepagina">
    <w:name w:val="Pie de pagina"/>
    <w:basedOn w:val="Normal"/>
    <w:link w:val="Refdenotaalpie"/>
    <w:uiPriority w:val="99"/>
    <w:rsid w:val="006C2C0C"/>
    <w:pPr>
      <w:spacing w:line="240" w:lineRule="exact"/>
    </w:pPr>
    <w:rPr>
      <w:rFonts w:eastAsiaTheme="minorHAnsi"/>
      <w:vertAlign w:val="superscript"/>
      <w:lang w:eastAsia="en-US"/>
    </w:rPr>
  </w:style>
  <w:style w:type="character" w:customStyle="1" w:styleId="Ttulo4Car">
    <w:name w:val="Título 4 Car"/>
    <w:basedOn w:val="Fuentedeprrafopredeter"/>
    <w:link w:val="Ttulo4"/>
    <w:uiPriority w:val="9"/>
    <w:rsid w:val="00081927"/>
    <w:rPr>
      <w:rFonts w:ascii="Times New Roman" w:eastAsia="Times New Roman" w:hAnsi="Times New Roman" w:cs="Times New Roman"/>
      <w:b/>
      <w:bCs/>
      <w:sz w:val="24"/>
      <w:szCs w:val="24"/>
      <w:lang w:eastAsia="es-MX"/>
    </w:rPr>
  </w:style>
  <w:style w:type="character" w:customStyle="1" w:styleId="PrrafodelistaCar">
    <w:name w:val="Párrafo de lista Car"/>
    <w:aliases w:val="List Car,párrafo numerado Car,List Paragraph1 Car,Colorful List - Accent 11 Car,Párrafo de lista1 Car,List Paragraph2 Car,Lista vistosa - Énfasis 11 Car,Segundo nivel de viñetas Car,Segundo nivel de vi–etas Car,titulo 3 Car,Ha Car"/>
    <w:basedOn w:val="Fuentedeprrafopredeter"/>
    <w:link w:val="Prrafodelista"/>
    <w:uiPriority w:val="34"/>
    <w:locked/>
    <w:rsid w:val="00A707BA"/>
    <w:rPr>
      <w:rFonts w:ascii="Times New Roman" w:eastAsia="Times New Roman" w:hAnsi="Times New Roman" w:cs="Times New Roman"/>
      <w:sz w:val="24"/>
      <w:szCs w:val="24"/>
      <w:lang w:val="es-ES" w:eastAsia="es-ES"/>
    </w:rPr>
  </w:style>
  <w:style w:type="numbering" w:customStyle="1" w:styleId="Listaactual1">
    <w:name w:val="Lista actual1"/>
    <w:uiPriority w:val="99"/>
    <w:rsid w:val="00021B37"/>
    <w:pPr>
      <w:numPr>
        <w:numId w:val="1"/>
      </w:numPr>
    </w:pPr>
  </w:style>
  <w:style w:type="paragraph" w:styleId="NormalWeb">
    <w:name w:val="Normal (Web)"/>
    <w:basedOn w:val="Normal"/>
    <w:uiPriority w:val="99"/>
    <w:unhideWhenUsed/>
    <w:rsid w:val="00F865DA"/>
    <w:pPr>
      <w:spacing w:before="100" w:beforeAutospacing="1" w:after="100" w:afterAutospacing="1"/>
    </w:pPr>
  </w:style>
  <w:style w:type="numbering" w:customStyle="1" w:styleId="Listaactual2">
    <w:name w:val="Lista actual2"/>
    <w:uiPriority w:val="99"/>
    <w:rsid w:val="00E47003"/>
    <w:pPr>
      <w:numPr>
        <w:numId w:val="2"/>
      </w:numPr>
    </w:pPr>
  </w:style>
  <w:style w:type="character" w:styleId="Hipervnculovisitado">
    <w:name w:val="FollowedHyperlink"/>
    <w:basedOn w:val="Fuentedeprrafopredeter"/>
    <w:uiPriority w:val="99"/>
    <w:semiHidden/>
    <w:unhideWhenUsed/>
    <w:rsid w:val="0051535C"/>
    <w:rPr>
      <w:color w:val="954F72" w:themeColor="followedHyperlink"/>
      <w:u w:val="single"/>
    </w:rPr>
  </w:style>
  <w:style w:type="character" w:customStyle="1" w:styleId="apple-converted-space">
    <w:name w:val="apple-converted-space"/>
    <w:basedOn w:val="Fuentedeprrafopredeter"/>
    <w:rsid w:val="008D314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C3306D"/>
    <w:pPr>
      <w:jc w:val="both"/>
    </w:pPr>
    <w:rPr>
      <w:rFonts w:eastAsiaTheme="minorHAnsi"/>
      <w:vertAlign w:val="superscript"/>
      <w:lang w:eastAsia="en-US"/>
    </w:rPr>
  </w:style>
  <w:style w:type="paragraph" w:customStyle="1" w:styleId="Prrafonumerado">
    <w:name w:val="Párrafo numerado"/>
    <w:basedOn w:val="Prrafodelista"/>
    <w:link w:val="PrrafonumeradoChar1"/>
    <w:qFormat/>
    <w:rsid w:val="00D009FE"/>
    <w:pPr>
      <w:numPr>
        <w:numId w:val="3"/>
      </w:numPr>
      <w:tabs>
        <w:tab w:val="left" w:pos="426"/>
      </w:tabs>
      <w:jc w:val="both"/>
    </w:pPr>
    <w:rPr>
      <w:bCs/>
      <w:color w:val="000000" w:themeColor="text1"/>
      <w:sz w:val="28"/>
      <w:szCs w:val="28"/>
    </w:rPr>
  </w:style>
  <w:style w:type="character" w:customStyle="1" w:styleId="PrrafonumeradoChar1">
    <w:name w:val="Párrafo numerado Char1"/>
    <w:basedOn w:val="Fuentedeprrafopredeter"/>
    <w:link w:val="Prrafonumerado"/>
    <w:rsid w:val="00D009FE"/>
    <w:rPr>
      <w:rFonts w:eastAsiaTheme="minorEastAsia"/>
      <w:bCs/>
      <w:color w:val="000000" w:themeColor="text1"/>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icor.corteconstitucional.gov.co/controldeprocesos/filef.php?archivo=04Demanda.pdf&amp;var=/produccion/conflictos/2021/CJU0004248-19001333300920190026200/C01Principal/C01Principal/04Demanda.pdf&amp;anio=&amp;R=4&amp;expediente=" TargetMode="External"/><Relationship Id="rId2" Type="http://schemas.openxmlformats.org/officeDocument/2006/relationships/hyperlink" Target="https://siicor.corteconstitucional.gov.co/controldeprocesos/filef.php?archivo=03CJU-4248%20Constancia%20de%20Reparto.pdf&amp;var=/produccion/conflictos/2021/CJU0004248-19001333300920190026200/CJU0004248%20CC/03CJU-4248%20Constancia%20de%20Reparto.pdf&amp;anio=&amp;R=4&amp;expediente=" TargetMode="External"/><Relationship Id="rId1" Type="http://schemas.openxmlformats.org/officeDocument/2006/relationships/hyperlink" Target="https://siicor.corteconstitucional.gov.co/controldeprocesos/filef.php?archivo=23AutoDeclaraFaltaJurisdiccion.pdf&amp;var=/produccion/conflictos/2021/CJU0004248-19001333300920190026200/C01Principal/C01Principal/23AutoDeclaraFaltaJurisdiccion.pdf&amp;anio=&amp;R=4&amp;exp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2064</Words>
  <Characters>11357</Characters>
  <Application>Microsoft Office Word</Application>
  <DocSecurity>0</DocSecurity>
  <Lines>94</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2024-03-07T20:58:00Z</dcterms:created>
  <dcterms:modified xsi:type="dcterms:W3CDTF">2024-03-07T20:58:00Z</dcterms:modified>
</cp:coreProperties>
</file>