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BAEA" w14:textId="0BADF35F" w:rsidR="003E0132" w:rsidRDefault="68C1711F" w:rsidP="6067C1FE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67C1FE">
        <w:rPr>
          <w:rFonts w:ascii="Aptos" w:eastAsia="Aptos" w:hAnsi="Aptos" w:cs="Aptos"/>
          <w:color w:val="000000" w:themeColor="text1"/>
        </w:rPr>
        <w:t xml:space="preserve">Estimados compañeros, </w:t>
      </w:r>
      <w:r w:rsidR="00557C19">
        <w:rPr>
          <w:rFonts w:ascii="Aptos" w:eastAsia="Aptos" w:hAnsi="Aptos" w:cs="Aptos"/>
          <w:color w:val="000000" w:themeColor="text1"/>
        </w:rPr>
        <w:t>cordial saludo.</w:t>
      </w:r>
      <w:r w:rsidRPr="6067C1FE">
        <w:rPr>
          <w:rFonts w:ascii="Aptos" w:eastAsia="Aptos" w:hAnsi="Aptos" w:cs="Aptos"/>
          <w:color w:val="000000" w:themeColor="text1"/>
        </w:rPr>
        <w:t xml:space="preserve">  </w:t>
      </w:r>
    </w:p>
    <w:p w14:paraId="3CA4CA1A" w14:textId="77777777" w:rsidR="00B70100" w:rsidRDefault="00B70100" w:rsidP="6067C1FE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</w:p>
    <w:p w14:paraId="67BE4E31" w14:textId="143B6A51" w:rsidR="00B70100" w:rsidRDefault="00B70100" w:rsidP="6067C1FE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Por medio del presente me permito dar aviso de actuación en el siguiente proceso:</w:t>
      </w:r>
    </w:p>
    <w:p w14:paraId="607A8489" w14:textId="77777777" w:rsidR="00A40D31" w:rsidRDefault="00A40D31" w:rsidP="6067C1FE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</w:p>
    <w:tbl>
      <w:tblPr>
        <w:tblW w:w="7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670"/>
      </w:tblGrid>
      <w:tr w:rsidR="00A40D31" w:rsidRPr="00A40D31" w14:paraId="61C8533C" w14:textId="77777777" w:rsidTr="00F52DCA">
        <w:trPr>
          <w:trHeight w:val="33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33563F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Despacho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079AA" w14:textId="27BE8BFA" w:rsidR="00A40D31" w:rsidRPr="00A40D31" w:rsidRDefault="00A40D31" w:rsidP="00A40D31">
            <w:pPr>
              <w:shd w:val="clear" w:color="auto" w:fill="FFFFFF" w:themeFill="background1"/>
              <w:spacing w:after="0"/>
            </w:pPr>
            <w:r w:rsidRPr="00A40D31">
              <w:t xml:space="preserve">Juzgado </w:t>
            </w:r>
            <w:r w:rsidR="00F52DCA">
              <w:t xml:space="preserve">Segundo </w:t>
            </w:r>
            <w:r w:rsidR="00F70DF3">
              <w:t xml:space="preserve">Civil del Circuito de </w:t>
            </w:r>
            <w:r w:rsidR="00F52DCA">
              <w:t>Cartago</w:t>
            </w:r>
          </w:p>
        </w:tc>
      </w:tr>
      <w:tr w:rsidR="00A40D31" w:rsidRPr="00A40D31" w14:paraId="0E3DAB62" w14:textId="77777777" w:rsidTr="00F52DCA">
        <w:trPr>
          <w:trHeight w:val="31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2E14E3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Radicado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E43E7A" w14:textId="21B4713F" w:rsidR="00A40D31" w:rsidRPr="00A40D31" w:rsidRDefault="00F52DCA" w:rsidP="00A40D31">
            <w:pPr>
              <w:shd w:val="clear" w:color="auto" w:fill="FFFFFF" w:themeFill="background1"/>
              <w:spacing w:after="0"/>
            </w:pPr>
            <w:r>
              <w:t>76-147-40-03-002-2022-00179-01</w:t>
            </w:r>
          </w:p>
        </w:tc>
      </w:tr>
      <w:tr w:rsidR="00A40D31" w:rsidRPr="00A40D31" w14:paraId="5C5E051E" w14:textId="77777777" w:rsidTr="00F52DCA">
        <w:trPr>
          <w:trHeight w:val="31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E49901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Asunto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CEA35D" w14:textId="152A153D" w:rsidR="00A40D31" w:rsidRPr="00A40D31" w:rsidRDefault="00A40D31" w:rsidP="00A40D31">
            <w:pPr>
              <w:shd w:val="clear" w:color="auto" w:fill="FFFFFF" w:themeFill="background1"/>
              <w:spacing w:after="0"/>
            </w:pPr>
            <w:r w:rsidRPr="00A40D31">
              <w:t xml:space="preserve">Verbal- </w:t>
            </w:r>
            <w:r w:rsidR="00F52DCA">
              <w:t>Cumplimiento de seguro</w:t>
            </w:r>
          </w:p>
        </w:tc>
      </w:tr>
      <w:tr w:rsidR="00A40D31" w:rsidRPr="00A40D31" w14:paraId="5E430AE4" w14:textId="77777777" w:rsidTr="00F52DCA">
        <w:trPr>
          <w:trHeight w:val="31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F7440A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Demandante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9FBF1" w14:textId="6DC93B6B" w:rsidR="00A40D31" w:rsidRPr="00A40D31" w:rsidRDefault="00F52DCA" w:rsidP="00A40D31">
            <w:pPr>
              <w:shd w:val="clear" w:color="auto" w:fill="FFFFFF" w:themeFill="background1"/>
              <w:spacing w:after="0"/>
            </w:pPr>
            <w:r>
              <w:t>Juan Esteban Marín Betancur</w:t>
            </w:r>
          </w:p>
        </w:tc>
      </w:tr>
      <w:tr w:rsidR="00A40D31" w:rsidRPr="00A40D31" w14:paraId="3D802123" w14:textId="77777777" w:rsidTr="00F52DCA">
        <w:trPr>
          <w:trHeight w:val="31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05AB76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Demandado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FB783" w14:textId="5859FEA0" w:rsidR="00A40D31" w:rsidRPr="00A40D31" w:rsidRDefault="00F52DCA" w:rsidP="00A40D31">
            <w:pPr>
              <w:shd w:val="clear" w:color="auto" w:fill="FFFFFF" w:themeFill="background1"/>
              <w:spacing w:after="0"/>
            </w:pPr>
            <w:r>
              <w:t xml:space="preserve">BBVA SEGUROS DE VIDA DE COLOMBIA S.A. </w:t>
            </w:r>
            <w:r w:rsidR="00F70DF3">
              <w:t>y otro</w:t>
            </w:r>
          </w:p>
        </w:tc>
      </w:tr>
      <w:tr w:rsidR="00A40D31" w:rsidRPr="00A40D31" w14:paraId="294B9403" w14:textId="77777777" w:rsidTr="00F52DCA">
        <w:trPr>
          <w:trHeight w:val="33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E9908" w14:textId="77777777" w:rsidR="00A40D31" w:rsidRPr="001D138E" w:rsidRDefault="00A40D31" w:rsidP="00A40D31">
            <w:pPr>
              <w:shd w:val="clear" w:color="auto" w:fill="FFFFFF" w:themeFill="background1"/>
              <w:spacing w:after="0"/>
              <w:rPr>
                <w:b/>
                <w:bCs/>
              </w:rPr>
            </w:pPr>
            <w:r w:rsidRPr="00157D8E">
              <w:rPr>
                <w:b/>
                <w:bCs/>
                <w:i/>
                <w:iCs/>
              </w:rPr>
              <w:t>Case track</w:t>
            </w:r>
            <w:r w:rsidRPr="001D138E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E1B0E1" w14:textId="1D634888" w:rsidR="00A40D31" w:rsidRPr="00A40D31" w:rsidRDefault="00BF57AB" w:rsidP="00A40D31">
            <w:pPr>
              <w:shd w:val="clear" w:color="auto" w:fill="FFFFFF" w:themeFill="background1"/>
              <w:spacing w:after="0"/>
            </w:pPr>
            <w:r>
              <w:t>11752</w:t>
            </w:r>
          </w:p>
        </w:tc>
      </w:tr>
    </w:tbl>
    <w:p w14:paraId="1EC26022" w14:textId="77777777" w:rsidR="00A40D31" w:rsidRDefault="00A40D31" w:rsidP="6067C1FE">
      <w:pPr>
        <w:shd w:val="clear" w:color="auto" w:fill="FFFFFF" w:themeFill="background1"/>
        <w:spacing w:after="0"/>
      </w:pPr>
    </w:p>
    <w:p w14:paraId="3A54134B" w14:textId="036B252C" w:rsidR="003E0132" w:rsidRDefault="003E0132" w:rsidP="6067C1FE">
      <w:pPr>
        <w:shd w:val="clear" w:color="auto" w:fill="FFFFFF" w:themeFill="background1"/>
        <w:spacing w:after="0"/>
      </w:pPr>
    </w:p>
    <w:p w14:paraId="1C156A1C" w14:textId="34CE99CB" w:rsidR="003E0132" w:rsidRPr="002F2F41" w:rsidRDefault="00557C19" w:rsidP="6067C1FE">
      <w:pPr>
        <w:shd w:val="clear" w:color="auto" w:fill="FFFFFF" w:themeFill="background1"/>
        <w:spacing w:after="0"/>
        <w:jc w:val="both"/>
      </w:pPr>
      <w:r>
        <w:rPr>
          <w:rFonts w:ascii="Aptos" w:eastAsia="Aptos" w:hAnsi="Aptos" w:cs="Aptos"/>
          <w:color w:val="000000" w:themeColor="text1"/>
        </w:rPr>
        <w:t>Por medio del presente informo</w:t>
      </w:r>
      <w:r w:rsidR="68C1711F" w:rsidRPr="6067C1FE">
        <w:rPr>
          <w:rFonts w:ascii="Aptos" w:eastAsia="Aptos" w:hAnsi="Aptos" w:cs="Aptos"/>
          <w:color w:val="000000" w:themeColor="text1"/>
        </w:rPr>
        <w:t xml:space="preserve"> para su conocimiento y fines pertinentes que e</w:t>
      </w:r>
      <w:r w:rsidR="00243084">
        <w:rPr>
          <w:rFonts w:ascii="Aptos" w:eastAsia="Aptos" w:hAnsi="Aptos" w:cs="Aptos"/>
          <w:color w:val="000000" w:themeColor="text1"/>
        </w:rPr>
        <w:t>n el asunto</w:t>
      </w:r>
      <w:r w:rsidR="006D659D">
        <w:rPr>
          <w:rFonts w:ascii="Aptos" w:eastAsia="Aptos" w:hAnsi="Aptos" w:cs="Aptos"/>
          <w:color w:val="000000" w:themeColor="text1"/>
        </w:rPr>
        <w:t xml:space="preserve"> de la referencia el día </w:t>
      </w:r>
      <w:r w:rsidR="00BF57AB">
        <w:rPr>
          <w:rFonts w:ascii="Aptos" w:eastAsia="Aptos" w:hAnsi="Aptos" w:cs="Aptos"/>
          <w:color w:val="000000" w:themeColor="text1"/>
        </w:rPr>
        <w:t>20</w:t>
      </w:r>
      <w:r w:rsidR="00A40233">
        <w:rPr>
          <w:rFonts w:ascii="Aptos" w:eastAsia="Aptos" w:hAnsi="Aptos" w:cs="Aptos"/>
          <w:color w:val="000000" w:themeColor="text1"/>
        </w:rPr>
        <w:t xml:space="preserve"> </w:t>
      </w:r>
      <w:r w:rsidR="006D659D">
        <w:rPr>
          <w:rFonts w:ascii="Aptos" w:eastAsia="Aptos" w:hAnsi="Aptos" w:cs="Aptos"/>
          <w:color w:val="000000" w:themeColor="text1"/>
        </w:rPr>
        <w:t xml:space="preserve">de </w:t>
      </w:r>
      <w:r w:rsidR="00BF57AB">
        <w:rPr>
          <w:rFonts w:ascii="Aptos" w:eastAsia="Aptos" w:hAnsi="Aptos" w:cs="Aptos"/>
          <w:color w:val="000000" w:themeColor="text1"/>
        </w:rPr>
        <w:t xml:space="preserve">agosto </w:t>
      </w:r>
      <w:r w:rsidR="00E54347">
        <w:rPr>
          <w:rFonts w:ascii="Aptos" w:eastAsia="Aptos" w:hAnsi="Aptos" w:cs="Aptos"/>
          <w:color w:val="000000" w:themeColor="text1"/>
        </w:rPr>
        <w:t>de</w:t>
      </w:r>
      <w:r w:rsidR="006D659D">
        <w:rPr>
          <w:rFonts w:ascii="Aptos" w:eastAsia="Aptos" w:hAnsi="Aptos" w:cs="Aptos"/>
          <w:color w:val="000000" w:themeColor="text1"/>
        </w:rPr>
        <w:t xml:space="preserve"> 2025 se radicó </w:t>
      </w:r>
      <w:r w:rsidR="00BF57AB">
        <w:rPr>
          <w:rFonts w:ascii="Aptos" w:eastAsia="Aptos" w:hAnsi="Aptos" w:cs="Aptos"/>
          <w:color w:val="000000" w:themeColor="text1"/>
        </w:rPr>
        <w:t xml:space="preserve">sustentación del </w:t>
      </w:r>
      <w:r w:rsidR="006D659D">
        <w:rPr>
          <w:rFonts w:ascii="Aptos" w:eastAsia="Aptos" w:hAnsi="Aptos" w:cs="Aptos"/>
          <w:color w:val="000000" w:themeColor="text1"/>
        </w:rPr>
        <w:t xml:space="preserve">recurso de apelación/reparos concretos en contra de Sentencia de Primera Instancia que fue desfavorable a los intereses de </w:t>
      </w:r>
      <w:r w:rsidR="00A40233">
        <w:rPr>
          <w:rFonts w:ascii="Aptos" w:eastAsia="Aptos" w:hAnsi="Aptos" w:cs="Aptos"/>
          <w:color w:val="000000" w:themeColor="text1"/>
        </w:rPr>
        <w:t xml:space="preserve">la compañía aseguradora. </w:t>
      </w:r>
    </w:p>
    <w:p w14:paraId="469BDEAE" w14:textId="35F8670F" w:rsidR="003E0132" w:rsidRDefault="003E0132" w:rsidP="6067C1FE">
      <w:pPr>
        <w:shd w:val="clear" w:color="auto" w:fill="FFFFFF" w:themeFill="background1"/>
      </w:pPr>
    </w:p>
    <w:p w14:paraId="5697C03C" w14:textId="3B695F99" w:rsidR="00155B81" w:rsidRDefault="68C1711F" w:rsidP="7CC813F0">
      <w:pPr>
        <w:shd w:val="clear" w:color="auto" w:fill="FFFFFF" w:themeFill="background1"/>
        <w:rPr>
          <w:rFonts w:ascii="Aptos" w:eastAsia="Aptos" w:hAnsi="Aptos" w:cs="Aptos"/>
          <w:b/>
          <w:bCs/>
          <w:color w:val="000000" w:themeColor="text1"/>
        </w:rPr>
      </w:pPr>
      <w:r w:rsidRPr="7CC813F0">
        <w:rPr>
          <w:rFonts w:ascii="Aptos" w:eastAsia="Aptos" w:hAnsi="Aptos" w:cs="Aptos"/>
          <w:b/>
          <w:bCs/>
          <w:color w:val="000000" w:themeColor="text1"/>
          <w:highlight w:val="yellow"/>
        </w:rPr>
        <w:t xml:space="preserve">IMPORTANTE: </w:t>
      </w:r>
      <w:r w:rsidRPr="7CC813F0">
        <w:rPr>
          <w:rFonts w:ascii="Aptos" w:eastAsia="Aptos" w:hAnsi="Aptos" w:cs="Aptos"/>
          <w:b/>
          <w:bCs/>
          <w:color w:val="000000" w:themeColor="text1"/>
        </w:rPr>
        <w:t xml:space="preserve">VOCACIÓN DE PROSPERIDAD DEL RECURSO: </w:t>
      </w:r>
      <w:r w:rsidR="00244FD8">
        <w:rPr>
          <w:rFonts w:ascii="Aptos" w:eastAsia="Aptos" w:hAnsi="Aptos" w:cs="Aptos"/>
          <w:b/>
          <w:bCs/>
          <w:color w:val="000000" w:themeColor="text1"/>
        </w:rPr>
        <w:t>MEDIA</w:t>
      </w:r>
    </w:p>
    <w:p w14:paraId="5750AF92" w14:textId="4A5B9AEB" w:rsidR="00153761" w:rsidRDefault="00E54347" w:rsidP="00B33F44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La vocación de prosperidad de este recurso se califica como </w:t>
      </w:r>
      <w:r w:rsidR="00244FD8">
        <w:rPr>
          <w:rFonts w:ascii="Aptos" w:eastAsia="Aptos" w:hAnsi="Aptos" w:cs="Aptos"/>
          <w:color w:val="000000" w:themeColor="text1"/>
        </w:rPr>
        <w:t>media</w:t>
      </w:r>
      <w:r>
        <w:rPr>
          <w:rFonts w:ascii="Aptos" w:eastAsia="Aptos" w:hAnsi="Aptos" w:cs="Aptos"/>
          <w:color w:val="000000" w:themeColor="text1"/>
        </w:rPr>
        <w:t xml:space="preserve">, toda vez que, </w:t>
      </w:r>
      <w:r w:rsidR="00F0604D">
        <w:rPr>
          <w:rFonts w:ascii="Aptos" w:eastAsia="Aptos" w:hAnsi="Aptos" w:cs="Aptos"/>
          <w:color w:val="000000" w:themeColor="text1"/>
        </w:rPr>
        <w:t>en el asunto de la referencia si bien está</w:t>
      </w:r>
      <w:r w:rsidR="00674CA9">
        <w:rPr>
          <w:rFonts w:ascii="Aptos" w:eastAsia="Aptos" w:hAnsi="Aptos" w:cs="Aptos"/>
          <w:color w:val="000000" w:themeColor="text1"/>
        </w:rPr>
        <w:t xml:space="preserve"> probada la existencia de las enfermedades no informadas por la asegurada Elizabeth Betancur (Q.E.P.D.), </w:t>
      </w:r>
      <w:r w:rsidR="00153761">
        <w:rPr>
          <w:rFonts w:ascii="Aptos" w:eastAsia="Aptos" w:hAnsi="Aptos" w:cs="Aptos"/>
          <w:color w:val="000000" w:themeColor="text1"/>
        </w:rPr>
        <w:t xml:space="preserve">así como también </w:t>
      </w:r>
      <w:r w:rsidR="00F8416C">
        <w:rPr>
          <w:rFonts w:ascii="Aptos" w:eastAsia="Aptos" w:hAnsi="Aptos" w:cs="Aptos"/>
          <w:color w:val="000000" w:themeColor="text1"/>
        </w:rPr>
        <w:t xml:space="preserve">que la asegurada recibió asesoría respecto al diligenciamiento del formulario único de asegurabilidad, </w:t>
      </w:r>
      <w:r w:rsidR="00C160B5">
        <w:rPr>
          <w:rFonts w:ascii="Aptos" w:eastAsia="Aptos" w:hAnsi="Aptos" w:cs="Aptos"/>
          <w:color w:val="000000" w:themeColor="text1"/>
        </w:rPr>
        <w:t>y finalmente la consecuencia negocial</w:t>
      </w:r>
      <w:r w:rsidR="00C160B5" w:rsidRPr="00C160B5">
        <w:rPr>
          <w:rFonts w:ascii="Aptos" w:eastAsia="Aptos" w:hAnsi="Aptos" w:cs="Aptos"/>
          <w:color w:val="000000" w:themeColor="text1"/>
        </w:rPr>
        <w:t xml:space="preserve"> </w:t>
      </w:r>
      <w:r w:rsidR="00C160B5">
        <w:rPr>
          <w:rFonts w:ascii="Aptos" w:eastAsia="Aptos" w:hAnsi="Aptos" w:cs="Aptos"/>
          <w:color w:val="000000" w:themeColor="text1"/>
        </w:rPr>
        <w:t>de haber conocido el verdadero estado del riesgo a través del interrogatorio a la representante legal de la compañía, lo cierto es que dependerá del arbitrio del juez de segunda instancia determinar si</w:t>
      </w:r>
      <w:r w:rsidR="00B33F44">
        <w:rPr>
          <w:rFonts w:ascii="Aptos" w:eastAsia="Aptos" w:hAnsi="Aptos" w:cs="Aptos"/>
          <w:color w:val="000000" w:themeColor="text1"/>
        </w:rPr>
        <w:t xml:space="preserve"> lo anterior es suficiente para la configuración de la sanción contemplada en el artículo 1058 </w:t>
      </w:r>
      <w:proofErr w:type="spellStart"/>
      <w:r w:rsidR="00B33F44">
        <w:rPr>
          <w:rFonts w:ascii="Aptos" w:eastAsia="Aptos" w:hAnsi="Aptos" w:cs="Aptos"/>
          <w:color w:val="000000" w:themeColor="text1"/>
        </w:rPr>
        <w:t>CCo</w:t>
      </w:r>
      <w:proofErr w:type="spellEnd"/>
      <w:r w:rsidR="00B33F44">
        <w:rPr>
          <w:rFonts w:ascii="Aptos" w:eastAsia="Aptos" w:hAnsi="Aptos" w:cs="Aptos"/>
          <w:color w:val="000000" w:themeColor="text1"/>
        </w:rPr>
        <w:t>.</w:t>
      </w:r>
    </w:p>
    <w:p w14:paraId="35C6E994" w14:textId="77777777" w:rsidR="00153761" w:rsidRDefault="00153761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</w:p>
    <w:p w14:paraId="36484EAD" w14:textId="6C472CEE" w:rsidR="00AE5F18" w:rsidRDefault="00B33F44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Aunado a lo anterior, debe</w:t>
      </w:r>
      <w:r w:rsidR="00153761">
        <w:rPr>
          <w:rFonts w:ascii="Aptos" w:eastAsia="Aptos" w:hAnsi="Aptos" w:cs="Aptos"/>
          <w:color w:val="000000" w:themeColor="text1"/>
        </w:rPr>
        <w:t xml:space="preserve"> </w:t>
      </w:r>
      <w:r w:rsidR="002C5E5E">
        <w:rPr>
          <w:rFonts w:ascii="Aptos" w:eastAsia="Aptos" w:hAnsi="Aptos" w:cs="Aptos"/>
          <w:color w:val="000000" w:themeColor="text1"/>
        </w:rPr>
        <w:t>subrayarse</w:t>
      </w:r>
      <w:r w:rsidR="00153761">
        <w:rPr>
          <w:rFonts w:ascii="Aptos" w:eastAsia="Aptos" w:hAnsi="Aptos" w:cs="Aptos"/>
          <w:color w:val="000000" w:themeColor="text1"/>
        </w:rPr>
        <w:t xml:space="preserve"> </w:t>
      </w:r>
      <w:r w:rsidR="00F8416C">
        <w:rPr>
          <w:rFonts w:ascii="Aptos" w:eastAsia="Aptos" w:hAnsi="Aptos" w:cs="Aptos"/>
          <w:color w:val="000000" w:themeColor="text1"/>
        </w:rPr>
        <w:t xml:space="preserve">que </w:t>
      </w:r>
      <w:r w:rsidR="00153761">
        <w:rPr>
          <w:rFonts w:ascii="Aptos" w:eastAsia="Aptos" w:hAnsi="Aptos" w:cs="Aptos"/>
          <w:color w:val="000000" w:themeColor="text1"/>
        </w:rPr>
        <w:t>la asegurada e</w:t>
      </w:r>
      <w:r w:rsidR="00F8416C">
        <w:rPr>
          <w:rFonts w:ascii="Aptos" w:eastAsia="Aptos" w:hAnsi="Aptos" w:cs="Aptos"/>
          <w:color w:val="000000" w:themeColor="text1"/>
        </w:rPr>
        <w:t>ra una consumidora financiera calificada, puesto que</w:t>
      </w:r>
      <w:r w:rsidR="00B624A0">
        <w:rPr>
          <w:rFonts w:ascii="Aptos" w:eastAsia="Aptos" w:hAnsi="Aptos" w:cs="Aptos"/>
          <w:color w:val="000000" w:themeColor="text1"/>
        </w:rPr>
        <w:t xml:space="preserve"> estuvo vinculada laboralmente al banco BBVA S.A., por 38 años, tiempo durante el cual como trabajadora del banco recibió la capacitación adecuada respecto de los productos ofrecidos, entre ellos la</w:t>
      </w:r>
      <w:r w:rsidR="003C2B08">
        <w:rPr>
          <w:rFonts w:ascii="Aptos" w:eastAsia="Aptos" w:hAnsi="Aptos" w:cs="Aptos"/>
          <w:color w:val="000000" w:themeColor="text1"/>
        </w:rPr>
        <w:t xml:space="preserve">s pólizas de seguro de vida deudor. </w:t>
      </w:r>
    </w:p>
    <w:p w14:paraId="25CDBC8F" w14:textId="77777777" w:rsidR="003C2B08" w:rsidRDefault="003C2B08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</w:p>
    <w:p w14:paraId="0C6F5887" w14:textId="019390F0" w:rsidR="00B33F44" w:rsidRDefault="003E4FBE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Lo primero que se debe decir</w:t>
      </w:r>
      <w:r w:rsidR="002C5E5E">
        <w:rPr>
          <w:rFonts w:ascii="Aptos" w:eastAsia="Aptos" w:hAnsi="Aptos" w:cs="Aptos"/>
          <w:color w:val="000000" w:themeColor="text1"/>
        </w:rPr>
        <w:t xml:space="preserve"> es</w:t>
      </w:r>
      <w:r>
        <w:rPr>
          <w:rFonts w:ascii="Aptos" w:eastAsia="Aptos" w:hAnsi="Aptos" w:cs="Aptos"/>
          <w:color w:val="000000" w:themeColor="text1"/>
        </w:rPr>
        <w:t xml:space="preserve"> que </w:t>
      </w:r>
      <w:r w:rsidR="00B33F44">
        <w:rPr>
          <w:rFonts w:ascii="Aptos" w:eastAsia="Aptos" w:hAnsi="Aptos" w:cs="Aptos"/>
          <w:color w:val="000000" w:themeColor="text1"/>
        </w:rPr>
        <w:t>en el debate probatorio se acreditó lo siguiente:</w:t>
      </w:r>
    </w:p>
    <w:p w14:paraId="61F44AA0" w14:textId="77777777" w:rsidR="00B33F44" w:rsidRDefault="00B33F44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</w:p>
    <w:p w14:paraId="02BD0C2C" w14:textId="661A17F3" w:rsidR="00B33F44" w:rsidRDefault="00B33F44" w:rsidP="00B33F44">
      <w:pPr>
        <w:pStyle w:val="Prrafodelist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 w:rsidRPr="001D138E">
        <w:rPr>
          <w:rFonts w:ascii="Aptos" w:eastAsia="Aptos" w:hAnsi="Aptos" w:cs="Aptos"/>
          <w:color w:val="000000" w:themeColor="text1"/>
        </w:rPr>
        <w:t xml:space="preserve">Preexistencia: Se verifica con la historia clínica que milita en el expediente que la señora Elizabeth Betancur Ortiz (QEPD) desde el 02 de septiembre de 2015 tenía antecedentes de “IRC- Insuficiencia Renal Crónica, no </w:t>
      </w:r>
      <w:r w:rsidRPr="001D138E">
        <w:rPr>
          <w:rFonts w:ascii="Aptos" w:eastAsia="Aptos" w:hAnsi="Aptos" w:cs="Aptos"/>
          <w:color w:val="000000" w:themeColor="text1"/>
        </w:rPr>
        <w:lastRenderedPageBreak/>
        <w:t xml:space="preserve">especificada, -HTA- Hipertensión Esencial (Primaria), Artritis Reumatoide Seropositiva, son otra especificación” </w:t>
      </w:r>
    </w:p>
    <w:p w14:paraId="3F1DA669" w14:textId="77777777" w:rsidR="00B33F44" w:rsidRDefault="00B33F44" w:rsidP="001D138E">
      <w:pPr>
        <w:pStyle w:val="Prrafodelista"/>
        <w:shd w:val="clear" w:color="auto" w:fill="FFFFFF" w:themeFill="background1"/>
        <w:spacing w:after="0"/>
        <w:ind w:left="1080"/>
        <w:jc w:val="both"/>
        <w:rPr>
          <w:rFonts w:ascii="Aptos" w:eastAsia="Aptos" w:hAnsi="Aptos" w:cs="Aptos"/>
          <w:color w:val="000000" w:themeColor="text1"/>
        </w:rPr>
      </w:pPr>
    </w:p>
    <w:p w14:paraId="47EF0614" w14:textId="77777777" w:rsidR="00B33F44" w:rsidRDefault="00B33F44" w:rsidP="00B33F44">
      <w:pPr>
        <w:pStyle w:val="Prrafodelist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 w:rsidRPr="001D138E">
        <w:rPr>
          <w:rFonts w:ascii="Aptos" w:eastAsia="Aptos" w:hAnsi="Aptos" w:cs="Aptos"/>
          <w:color w:val="000000" w:themeColor="text1"/>
        </w:rPr>
        <w:t xml:space="preserve">Omisión o declaración inexacta: Se observa en la declaración de asegurabilidad que la señora Elizabeth Betancur Ortiz (QEPD) omitió declarar las patologías preexistentes. </w:t>
      </w:r>
    </w:p>
    <w:p w14:paraId="37C90096" w14:textId="77777777" w:rsidR="00B33F44" w:rsidRPr="001D138E" w:rsidRDefault="00B33F44" w:rsidP="001D138E">
      <w:pPr>
        <w:pStyle w:val="Prrafodelista"/>
        <w:rPr>
          <w:rFonts w:ascii="Aptos" w:eastAsia="Aptos" w:hAnsi="Aptos" w:cs="Aptos"/>
          <w:color w:val="000000" w:themeColor="text1"/>
        </w:rPr>
      </w:pPr>
    </w:p>
    <w:p w14:paraId="4D6D8FFB" w14:textId="062E49E7" w:rsidR="00B33F44" w:rsidRPr="001D138E" w:rsidRDefault="00B33F44" w:rsidP="001D138E">
      <w:pPr>
        <w:pStyle w:val="Prrafodelist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 w:rsidRPr="001D138E">
        <w:rPr>
          <w:rFonts w:ascii="Aptos" w:eastAsia="Aptos" w:hAnsi="Aptos" w:cs="Aptos"/>
          <w:color w:val="000000" w:themeColor="text1"/>
        </w:rPr>
        <w:t xml:space="preserve">Consecuencia negocial diferencial: </w:t>
      </w:r>
      <w:r>
        <w:rPr>
          <w:rFonts w:ascii="Aptos" w:eastAsia="Aptos" w:hAnsi="Aptos" w:cs="Aptos"/>
          <w:color w:val="000000" w:themeColor="text1"/>
        </w:rPr>
        <w:t>Se probó</w:t>
      </w:r>
      <w:r w:rsidRPr="001D138E">
        <w:rPr>
          <w:rFonts w:ascii="Aptos" w:eastAsia="Aptos" w:hAnsi="Aptos" w:cs="Aptos"/>
          <w:color w:val="000000" w:themeColor="text1"/>
        </w:rPr>
        <w:t xml:space="preserve"> este elemento subjetivo a través de la declaración de parte y la declaración de asegurabilidad donde se preguntó de manera clara y expresa por enfermedades renales, relacionadas con hipertensión y artritis, supuesto del cual se infiere que conocer dicha información es relevante para la compañía en etapa precontractual.</w:t>
      </w:r>
    </w:p>
    <w:p w14:paraId="310EA1B2" w14:textId="77777777" w:rsidR="00906CDF" w:rsidRDefault="00906CDF" w:rsidP="00C10D8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</w:p>
    <w:p w14:paraId="6F630681" w14:textId="3E6DB787" w:rsidR="00C160B5" w:rsidRDefault="00153761" w:rsidP="00B33F44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No </w:t>
      </w:r>
      <w:proofErr w:type="gramStart"/>
      <w:r>
        <w:rPr>
          <w:rFonts w:ascii="Aptos" w:eastAsia="Aptos" w:hAnsi="Aptos" w:cs="Aptos"/>
          <w:color w:val="000000" w:themeColor="text1"/>
        </w:rPr>
        <w:t>obstante</w:t>
      </w:r>
      <w:proofErr w:type="gramEnd"/>
      <w:r>
        <w:rPr>
          <w:rFonts w:ascii="Aptos" w:eastAsia="Aptos" w:hAnsi="Aptos" w:cs="Aptos"/>
          <w:color w:val="000000" w:themeColor="text1"/>
        </w:rPr>
        <w:t xml:space="preserve"> lo anterior</w:t>
      </w:r>
      <w:r w:rsidR="00B33F44">
        <w:rPr>
          <w:rFonts w:ascii="Aptos" w:eastAsia="Aptos" w:hAnsi="Aptos" w:cs="Aptos"/>
          <w:color w:val="000000" w:themeColor="text1"/>
        </w:rPr>
        <w:t xml:space="preserve"> y debido a la decisión de primera instancia adversa</w:t>
      </w:r>
      <w:r w:rsidR="00C9234C">
        <w:rPr>
          <w:rFonts w:ascii="Aptos" w:eastAsia="Aptos" w:hAnsi="Aptos" w:cs="Aptos"/>
          <w:color w:val="000000" w:themeColor="text1"/>
        </w:rPr>
        <w:t xml:space="preserve">, </w:t>
      </w:r>
      <w:r w:rsidR="00B33F44">
        <w:rPr>
          <w:rFonts w:ascii="Aptos" w:eastAsia="Aptos" w:hAnsi="Aptos" w:cs="Aptos"/>
          <w:color w:val="000000" w:themeColor="text1"/>
        </w:rPr>
        <w:t xml:space="preserve">debe indicarse </w:t>
      </w:r>
      <w:r w:rsidR="001D138E">
        <w:rPr>
          <w:rFonts w:ascii="Aptos" w:eastAsia="Aptos" w:hAnsi="Aptos" w:cs="Aptos"/>
          <w:color w:val="000000" w:themeColor="text1"/>
        </w:rPr>
        <w:t>que,</w:t>
      </w:r>
      <w:r w:rsidR="00B33F44">
        <w:rPr>
          <w:rFonts w:ascii="Aptos" w:eastAsia="Aptos" w:hAnsi="Aptos" w:cs="Aptos"/>
          <w:color w:val="000000" w:themeColor="text1"/>
        </w:rPr>
        <w:t xml:space="preserve"> si bien con</w:t>
      </w:r>
      <w:r w:rsidR="00906CDF">
        <w:rPr>
          <w:rFonts w:ascii="Aptos" w:eastAsia="Aptos" w:hAnsi="Aptos" w:cs="Aptos"/>
          <w:color w:val="000000" w:themeColor="text1"/>
        </w:rPr>
        <w:t xml:space="preserve"> las pruebas que obran en el proceso, </w:t>
      </w:r>
      <w:r w:rsidR="004671B6">
        <w:rPr>
          <w:rFonts w:ascii="Aptos" w:eastAsia="Aptos" w:hAnsi="Aptos" w:cs="Aptos"/>
          <w:color w:val="000000" w:themeColor="text1"/>
        </w:rPr>
        <w:t xml:space="preserve">se demostró la </w:t>
      </w:r>
      <w:r>
        <w:rPr>
          <w:rFonts w:ascii="Aptos" w:eastAsia="Aptos" w:hAnsi="Aptos" w:cs="Aptos"/>
          <w:color w:val="000000" w:themeColor="text1"/>
        </w:rPr>
        <w:t xml:space="preserve">omisión </w:t>
      </w:r>
      <w:r w:rsidR="004671B6">
        <w:rPr>
          <w:rFonts w:ascii="Aptos" w:eastAsia="Aptos" w:hAnsi="Aptos" w:cs="Aptos"/>
          <w:color w:val="000000" w:themeColor="text1"/>
        </w:rPr>
        <w:t xml:space="preserve">de la asegurada </w:t>
      </w:r>
      <w:r w:rsidR="00B33F44">
        <w:rPr>
          <w:rFonts w:ascii="Aptos" w:eastAsia="Aptos" w:hAnsi="Aptos" w:cs="Aptos"/>
          <w:color w:val="000000" w:themeColor="text1"/>
        </w:rPr>
        <w:t xml:space="preserve">de </w:t>
      </w:r>
      <w:r w:rsidR="001D138E">
        <w:rPr>
          <w:rFonts w:ascii="Aptos" w:eastAsia="Aptos" w:hAnsi="Aptos" w:cs="Aptos"/>
          <w:color w:val="000000" w:themeColor="text1"/>
        </w:rPr>
        <w:t>declarar su</w:t>
      </w:r>
      <w:r>
        <w:rPr>
          <w:rFonts w:ascii="Aptos" w:eastAsia="Aptos" w:hAnsi="Aptos" w:cs="Aptos"/>
          <w:color w:val="000000" w:themeColor="text1"/>
        </w:rPr>
        <w:t xml:space="preserve"> verdadero estado de salud y que si la compañía </w:t>
      </w:r>
      <w:r w:rsidR="00B33F44">
        <w:rPr>
          <w:rFonts w:ascii="Aptos" w:eastAsia="Aptos" w:hAnsi="Aptos" w:cs="Aptos"/>
          <w:color w:val="000000" w:themeColor="text1"/>
        </w:rPr>
        <w:t>hubiera conocido la</w:t>
      </w:r>
      <w:r>
        <w:rPr>
          <w:rFonts w:ascii="Aptos" w:eastAsia="Aptos" w:hAnsi="Aptos" w:cs="Aptos"/>
          <w:color w:val="000000" w:themeColor="text1"/>
        </w:rPr>
        <w:t xml:space="preserve"> patología</w:t>
      </w:r>
      <w:r w:rsidR="00B33F44">
        <w:rPr>
          <w:rFonts w:ascii="Aptos" w:eastAsia="Aptos" w:hAnsi="Aptos" w:cs="Aptos"/>
          <w:color w:val="000000" w:themeColor="text1"/>
        </w:rPr>
        <w:t xml:space="preserve"> de Hipertensión Arterial</w:t>
      </w:r>
      <w:r>
        <w:rPr>
          <w:rFonts w:ascii="Aptos" w:eastAsia="Aptos" w:hAnsi="Aptos" w:cs="Aptos"/>
          <w:color w:val="000000" w:themeColor="text1"/>
        </w:rPr>
        <w:t xml:space="preserve"> se hubiera negado el amparo de incapacidad total y permanente y se hubiera extraprimado el amparo de muerte</w:t>
      </w:r>
      <w:r w:rsidR="003C19FD">
        <w:rPr>
          <w:rFonts w:ascii="Aptos" w:eastAsia="Aptos" w:hAnsi="Aptos" w:cs="Aptos"/>
          <w:color w:val="000000" w:themeColor="text1"/>
        </w:rPr>
        <w:t xml:space="preserve">. </w:t>
      </w:r>
      <w:r w:rsidR="00B33F44">
        <w:rPr>
          <w:rFonts w:ascii="Aptos" w:eastAsia="Aptos" w:hAnsi="Aptos" w:cs="Aptos"/>
          <w:color w:val="000000" w:themeColor="text1"/>
        </w:rPr>
        <w:t>Lo cierto es que</w:t>
      </w:r>
      <w:r w:rsidR="00E26C13">
        <w:rPr>
          <w:rFonts w:ascii="Aptos" w:eastAsia="Aptos" w:hAnsi="Aptos" w:cs="Aptos"/>
          <w:color w:val="000000" w:themeColor="text1"/>
        </w:rPr>
        <w:t>,</w:t>
      </w:r>
      <w:r w:rsidR="00C9234C">
        <w:rPr>
          <w:rFonts w:ascii="Aptos" w:eastAsia="Aptos" w:hAnsi="Aptos" w:cs="Aptos"/>
          <w:color w:val="000000" w:themeColor="text1"/>
        </w:rPr>
        <w:t xml:space="preserve"> </w:t>
      </w:r>
      <w:r w:rsidR="002C5E5E">
        <w:rPr>
          <w:rFonts w:ascii="Aptos" w:eastAsia="Aptos" w:hAnsi="Aptos" w:cs="Aptos"/>
          <w:color w:val="000000" w:themeColor="text1"/>
        </w:rPr>
        <w:t xml:space="preserve">dependerá del criterio del juez determinar si </w:t>
      </w:r>
      <w:r w:rsidR="00C160B5">
        <w:rPr>
          <w:rFonts w:ascii="Aptos" w:eastAsia="Aptos" w:hAnsi="Aptos" w:cs="Aptos"/>
          <w:color w:val="000000" w:themeColor="text1"/>
        </w:rPr>
        <w:t>con la</w:t>
      </w:r>
      <w:r>
        <w:rPr>
          <w:rFonts w:ascii="Aptos" w:eastAsia="Aptos" w:hAnsi="Aptos" w:cs="Aptos"/>
          <w:color w:val="000000" w:themeColor="text1"/>
        </w:rPr>
        <w:t xml:space="preserve"> declaración del representante </w:t>
      </w:r>
      <w:r w:rsidR="001D138E">
        <w:rPr>
          <w:rFonts w:ascii="Aptos" w:eastAsia="Aptos" w:hAnsi="Aptos" w:cs="Aptos"/>
          <w:color w:val="000000" w:themeColor="text1"/>
        </w:rPr>
        <w:t>legal es</w:t>
      </w:r>
      <w:r w:rsidR="00C160B5">
        <w:rPr>
          <w:rFonts w:ascii="Aptos" w:eastAsia="Aptos" w:hAnsi="Aptos" w:cs="Aptos"/>
          <w:color w:val="000000" w:themeColor="text1"/>
        </w:rPr>
        <w:t xml:space="preserve"> posible</w:t>
      </w:r>
      <w:r>
        <w:rPr>
          <w:rFonts w:ascii="Aptos" w:eastAsia="Aptos" w:hAnsi="Aptos" w:cs="Aptos"/>
          <w:color w:val="000000" w:themeColor="text1"/>
        </w:rPr>
        <w:t xml:space="preserve"> acreditar la consecuencia negocial anteriormente descrita</w:t>
      </w:r>
      <w:r w:rsidR="00B33F44">
        <w:rPr>
          <w:rFonts w:ascii="Aptos" w:eastAsia="Aptos" w:hAnsi="Aptos" w:cs="Aptos"/>
          <w:color w:val="000000" w:themeColor="text1"/>
        </w:rPr>
        <w:t xml:space="preserve">, así como también </w:t>
      </w:r>
      <w:r w:rsidR="00C9234C">
        <w:rPr>
          <w:rFonts w:ascii="Aptos" w:eastAsia="Aptos" w:hAnsi="Aptos" w:cs="Aptos"/>
          <w:color w:val="000000" w:themeColor="text1"/>
        </w:rPr>
        <w:t xml:space="preserve">desestimar los argumentos consignados en la sentencia de primera instancia, en la cual se indicó que para que se configure </w:t>
      </w:r>
      <w:r w:rsidR="00B33F44">
        <w:rPr>
          <w:rFonts w:ascii="Aptos" w:eastAsia="Aptos" w:hAnsi="Aptos" w:cs="Aptos"/>
          <w:color w:val="000000" w:themeColor="text1"/>
        </w:rPr>
        <w:t>la nulidad relativa por reticencia deb</w:t>
      </w:r>
      <w:r w:rsidR="00C9234C">
        <w:rPr>
          <w:rFonts w:ascii="Aptos" w:eastAsia="Aptos" w:hAnsi="Aptos" w:cs="Aptos"/>
          <w:color w:val="000000" w:themeColor="text1"/>
        </w:rPr>
        <w:t>e</w:t>
      </w:r>
      <w:r w:rsidR="00B33F44">
        <w:rPr>
          <w:rFonts w:ascii="Aptos" w:eastAsia="Aptos" w:hAnsi="Aptos" w:cs="Aptos"/>
          <w:color w:val="000000" w:themeColor="text1"/>
        </w:rPr>
        <w:t xml:space="preserve"> verificar</w:t>
      </w:r>
      <w:r w:rsidR="00C9234C">
        <w:rPr>
          <w:rFonts w:ascii="Aptos" w:eastAsia="Aptos" w:hAnsi="Aptos" w:cs="Aptos"/>
          <w:color w:val="000000" w:themeColor="text1"/>
        </w:rPr>
        <w:t>se</w:t>
      </w:r>
      <w:r w:rsidR="00B33F44">
        <w:rPr>
          <w:rFonts w:ascii="Aptos" w:eastAsia="Aptos" w:hAnsi="Aptos" w:cs="Aptos"/>
          <w:color w:val="000000" w:themeColor="text1"/>
        </w:rPr>
        <w:t xml:space="preserve"> </w:t>
      </w:r>
      <w:r w:rsidR="00C9234C">
        <w:rPr>
          <w:rFonts w:ascii="Aptos" w:eastAsia="Aptos" w:hAnsi="Aptos" w:cs="Aptos"/>
          <w:color w:val="000000" w:themeColor="text1"/>
        </w:rPr>
        <w:t>la existencia de</w:t>
      </w:r>
      <w:r w:rsidR="00C9234C" w:rsidRPr="001D138E">
        <w:rPr>
          <w:rFonts w:ascii="Aptos" w:eastAsia="Aptos" w:hAnsi="Aptos" w:cs="Aptos"/>
          <w:color w:val="000000" w:themeColor="text1"/>
        </w:rPr>
        <w:t xml:space="preserve"> </w:t>
      </w:r>
      <w:r w:rsidR="00C9234C" w:rsidRPr="00C9234C">
        <w:rPr>
          <w:rFonts w:ascii="Aptos" w:eastAsia="Aptos" w:hAnsi="Aptos" w:cs="Aptos"/>
          <w:color w:val="000000" w:themeColor="text1"/>
        </w:rPr>
        <w:t>una relación de causalidad entre la omisión de la asegurada y la ocurrencia del siniestro</w:t>
      </w:r>
      <w:r w:rsidR="00C9234C">
        <w:rPr>
          <w:rFonts w:ascii="Aptos" w:eastAsia="Aptos" w:hAnsi="Aptos" w:cs="Aptos"/>
          <w:color w:val="000000" w:themeColor="text1"/>
        </w:rPr>
        <w:t>.</w:t>
      </w:r>
    </w:p>
    <w:p w14:paraId="48C03FF9" w14:textId="77777777" w:rsidR="003D5B91" w:rsidRDefault="003D5B91" w:rsidP="00CB0AA4">
      <w:pPr>
        <w:pStyle w:val="Prrafodelista"/>
        <w:pBdr>
          <w:bottom w:val="single" w:sz="12" w:space="1" w:color="auto"/>
        </w:pBdr>
        <w:shd w:val="clear" w:color="auto" w:fill="FFFFFF" w:themeFill="background1"/>
        <w:spacing w:after="0"/>
        <w:ind w:left="0"/>
      </w:pPr>
    </w:p>
    <w:p w14:paraId="512AFA54" w14:textId="02606C1F" w:rsidR="003E0132" w:rsidRDefault="003E0132" w:rsidP="6067C1FE">
      <w:pPr>
        <w:shd w:val="clear" w:color="auto" w:fill="FFFFFF" w:themeFill="background1"/>
        <w:spacing w:after="0"/>
      </w:pPr>
    </w:p>
    <w:p w14:paraId="32ECBA7A" w14:textId="61F2C4A1" w:rsidR="003E0132" w:rsidRDefault="68C1711F" w:rsidP="6943F305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943F305">
        <w:rPr>
          <w:rFonts w:ascii="Aptos" w:eastAsia="Aptos" w:hAnsi="Aptos" w:cs="Aptos"/>
          <w:b/>
          <w:bCs/>
          <w:color w:val="000000" w:themeColor="text1"/>
          <w:highlight w:val="yellow"/>
        </w:rPr>
        <w:t>CAD</w:t>
      </w:r>
      <w:r w:rsidRPr="6943F305">
        <w:rPr>
          <w:rFonts w:ascii="Aptos" w:eastAsia="Aptos" w:hAnsi="Aptos" w:cs="Aptos"/>
          <w:b/>
          <w:bCs/>
          <w:color w:val="000000" w:themeColor="text1"/>
        </w:rPr>
        <w:t>:</w:t>
      </w:r>
      <w:r w:rsidRPr="6943F305">
        <w:rPr>
          <w:rFonts w:ascii="Aptos" w:eastAsia="Aptos" w:hAnsi="Aptos" w:cs="Aptos"/>
          <w:color w:val="000000" w:themeColor="text1"/>
        </w:rPr>
        <w:t xml:space="preserve"> </w:t>
      </w:r>
      <w:r w:rsidR="4C7F88FA" w:rsidRPr="6943F305">
        <w:rPr>
          <w:rFonts w:ascii="Aptos" w:eastAsia="Aptos" w:hAnsi="Aptos" w:cs="Aptos"/>
          <w:color w:val="000000" w:themeColor="text1"/>
        </w:rPr>
        <w:t xml:space="preserve">amablemente, solicito su valiosa colaboración, para que </w:t>
      </w:r>
      <w:r w:rsidRPr="6943F305">
        <w:rPr>
          <w:rFonts w:ascii="Aptos" w:eastAsia="Aptos" w:hAnsi="Aptos" w:cs="Aptos"/>
          <w:color w:val="000000" w:themeColor="text1"/>
        </w:rPr>
        <w:t>por</w:t>
      </w:r>
      <w:r w:rsidR="5A082F11" w:rsidRPr="6943F305">
        <w:rPr>
          <w:rFonts w:ascii="Aptos" w:eastAsia="Aptos" w:hAnsi="Aptos" w:cs="Aptos"/>
          <w:color w:val="000000" w:themeColor="text1"/>
        </w:rPr>
        <w:t xml:space="preserve"> </w:t>
      </w:r>
      <w:r w:rsidRPr="6943F305">
        <w:rPr>
          <w:rFonts w:ascii="Aptos" w:eastAsia="Aptos" w:hAnsi="Aptos" w:cs="Aptos"/>
          <w:color w:val="000000" w:themeColor="text1"/>
        </w:rPr>
        <w:t>fa</w:t>
      </w:r>
      <w:r w:rsidR="5A082F11" w:rsidRPr="6943F305">
        <w:rPr>
          <w:rFonts w:ascii="Aptos" w:eastAsia="Aptos" w:hAnsi="Aptos" w:cs="Aptos"/>
          <w:color w:val="000000" w:themeColor="text1"/>
        </w:rPr>
        <w:t>vor</w:t>
      </w:r>
      <w:r w:rsidRPr="6943F305">
        <w:rPr>
          <w:rFonts w:ascii="Aptos" w:eastAsia="Aptos" w:hAnsi="Aptos" w:cs="Aptos"/>
          <w:color w:val="000000" w:themeColor="text1"/>
        </w:rPr>
        <w:t xml:space="preserve"> </w:t>
      </w:r>
      <w:r w:rsidR="3A2A36E6" w:rsidRPr="6943F305">
        <w:rPr>
          <w:rFonts w:ascii="Aptos" w:eastAsia="Aptos" w:hAnsi="Aptos" w:cs="Aptos"/>
          <w:color w:val="000000" w:themeColor="text1"/>
        </w:rPr>
        <w:t>nos apoyen</w:t>
      </w:r>
      <w:r w:rsidRPr="6943F305">
        <w:rPr>
          <w:rFonts w:ascii="Aptos" w:eastAsia="Aptos" w:hAnsi="Aptos" w:cs="Aptos"/>
          <w:color w:val="000000" w:themeColor="text1"/>
        </w:rPr>
        <w:t xml:space="preserve"> cargando los adjunto</w:t>
      </w:r>
      <w:r w:rsidR="00D517BB">
        <w:rPr>
          <w:rFonts w:ascii="Aptos" w:eastAsia="Aptos" w:hAnsi="Aptos" w:cs="Aptos"/>
          <w:color w:val="000000" w:themeColor="text1"/>
        </w:rPr>
        <w:t>s</w:t>
      </w:r>
      <w:r w:rsidR="00B70100">
        <w:rPr>
          <w:rFonts w:ascii="Aptos" w:eastAsia="Aptos" w:hAnsi="Aptos" w:cs="Aptos"/>
          <w:color w:val="000000" w:themeColor="text1"/>
        </w:rPr>
        <w:t xml:space="preserve"> y la cadena del correo a plataforma</w:t>
      </w:r>
      <w:r w:rsidRPr="6943F305">
        <w:rPr>
          <w:rFonts w:ascii="Aptos" w:eastAsia="Aptos" w:hAnsi="Aptos" w:cs="Aptos"/>
          <w:color w:val="000000" w:themeColor="text1"/>
        </w:rPr>
        <w:t>.</w:t>
      </w:r>
    </w:p>
    <w:p w14:paraId="269961B5" w14:textId="1EA63674" w:rsidR="003E0132" w:rsidRDefault="003E0132" w:rsidP="6067C1FE">
      <w:pPr>
        <w:shd w:val="clear" w:color="auto" w:fill="FFFFFF" w:themeFill="background1"/>
        <w:spacing w:after="0"/>
      </w:pPr>
    </w:p>
    <w:p w14:paraId="2CE03639" w14:textId="2E545596" w:rsidR="003E0132" w:rsidRDefault="4264C331" w:rsidP="7CC813F0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7CC813F0">
        <w:rPr>
          <w:rFonts w:ascii="Aptos" w:eastAsia="Aptos" w:hAnsi="Aptos" w:cs="Aptos"/>
          <w:b/>
          <w:bCs/>
          <w:color w:val="000000" w:themeColor="text1"/>
          <w:highlight w:val="yellow"/>
        </w:rPr>
        <w:t>INFORMES</w:t>
      </w:r>
      <w:r w:rsidR="68C1711F" w:rsidRPr="7CC813F0">
        <w:rPr>
          <w:rFonts w:ascii="Aptos" w:eastAsia="Aptos" w:hAnsi="Aptos" w:cs="Aptos"/>
          <w:color w:val="000000" w:themeColor="text1"/>
        </w:rPr>
        <w:t xml:space="preserve">: </w:t>
      </w:r>
      <w:r w:rsidR="00FA3D05">
        <w:rPr>
          <w:rFonts w:ascii="Aptos" w:eastAsia="Aptos" w:hAnsi="Aptos" w:cs="Aptos"/>
          <w:color w:val="000000" w:themeColor="text1"/>
        </w:rPr>
        <w:t>por favor d</w:t>
      </w:r>
      <w:r w:rsidR="00B70100">
        <w:rPr>
          <w:rFonts w:ascii="Aptos" w:eastAsia="Aptos" w:hAnsi="Aptos" w:cs="Aptos"/>
          <w:color w:val="000000" w:themeColor="text1"/>
        </w:rPr>
        <w:t>ar aviso de la actuación a</w:t>
      </w:r>
      <w:r w:rsidR="00D55337">
        <w:rPr>
          <w:rFonts w:ascii="Aptos" w:eastAsia="Aptos" w:hAnsi="Aptos" w:cs="Aptos"/>
          <w:color w:val="000000" w:themeColor="text1"/>
        </w:rPr>
        <w:t xml:space="preserve">l cliente. </w:t>
      </w:r>
    </w:p>
    <w:p w14:paraId="67FD49DC" w14:textId="5DF5DC81" w:rsidR="003E0132" w:rsidRDefault="003E0132" w:rsidP="6067C1FE">
      <w:pPr>
        <w:shd w:val="clear" w:color="auto" w:fill="FFFFFF" w:themeFill="background1"/>
        <w:spacing w:after="0"/>
      </w:pPr>
    </w:p>
    <w:p w14:paraId="586CB204" w14:textId="59F52F1A" w:rsidR="003E0132" w:rsidRDefault="68C1711F" w:rsidP="003E491D">
      <w:pPr>
        <w:shd w:val="clear" w:color="auto" w:fill="FFFFFF" w:themeFill="background1"/>
        <w:spacing w:after="0"/>
        <w:jc w:val="both"/>
      </w:pPr>
      <w:r w:rsidRPr="6943F305">
        <w:rPr>
          <w:rFonts w:ascii="Aptos" w:eastAsia="Aptos" w:hAnsi="Aptos" w:cs="Aptos"/>
          <w:b/>
          <w:bCs/>
          <w:color w:val="000000" w:themeColor="text1"/>
        </w:rPr>
        <w:t xml:space="preserve">Tiempo invertido: </w:t>
      </w:r>
      <w:r w:rsidR="00156804">
        <w:rPr>
          <w:rFonts w:ascii="Aptos" w:eastAsia="Aptos" w:hAnsi="Aptos" w:cs="Aptos"/>
          <w:b/>
          <w:bCs/>
          <w:color w:val="000000" w:themeColor="text1"/>
        </w:rPr>
        <w:t>6</w:t>
      </w:r>
      <w:r w:rsidRPr="6943F305">
        <w:rPr>
          <w:rFonts w:ascii="Aptos" w:eastAsia="Aptos" w:hAnsi="Aptos" w:cs="Aptos"/>
          <w:b/>
          <w:bCs/>
          <w:color w:val="000000" w:themeColor="text1"/>
        </w:rPr>
        <w:t xml:space="preserve"> hora</w:t>
      </w:r>
      <w:r w:rsidR="269A016B" w:rsidRPr="6943F305">
        <w:rPr>
          <w:rFonts w:ascii="Aptos" w:eastAsia="Aptos" w:hAnsi="Aptos" w:cs="Aptos"/>
          <w:b/>
          <w:bCs/>
          <w:color w:val="000000" w:themeColor="text1"/>
        </w:rPr>
        <w:t>s</w:t>
      </w:r>
      <w:r w:rsidRPr="6943F305">
        <w:rPr>
          <w:rFonts w:ascii="Aptos" w:eastAsia="Aptos" w:hAnsi="Aptos" w:cs="Aptos"/>
          <w:b/>
          <w:bCs/>
          <w:color w:val="000000" w:themeColor="text1"/>
        </w:rPr>
        <w:t xml:space="preserve"> </w:t>
      </w:r>
      <w:proofErr w:type="spellStart"/>
      <w:r w:rsidRPr="6943F305">
        <w:rPr>
          <w:rFonts w:ascii="Aptos" w:eastAsia="Aptos" w:hAnsi="Aptos" w:cs="Aptos"/>
          <w:b/>
          <w:bCs/>
          <w:color w:val="000000" w:themeColor="text1"/>
        </w:rPr>
        <w:t>aprox</w:t>
      </w:r>
      <w:proofErr w:type="spellEnd"/>
      <w:r w:rsidR="102CE920" w:rsidRPr="6943F305">
        <w:rPr>
          <w:rFonts w:ascii="Aptos" w:eastAsia="Aptos" w:hAnsi="Aptos" w:cs="Aptos"/>
          <w:b/>
          <w:bCs/>
          <w:color w:val="000000" w:themeColor="text1"/>
        </w:rPr>
        <w:t xml:space="preserve"> (proyección de </w:t>
      </w:r>
      <w:r w:rsidR="00157D8E">
        <w:rPr>
          <w:rFonts w:ascii="Aptos" w:eastAsia="Aptos" w:hAnsi="Aptos" w:cs="Aptos"/>
          <w:b/>
          <w:bCs/>
          <w:color w:val="000000" w:themeColor="text1"/>
        </w:rPr>
        <w:t>sustentación</w:t>
      </w:r>
      <w:r w:rsidR="00F80D9E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B70100">
        <w:rPr>
          <w:rFonts w:ascii="Aptos" w:eastAsia="Aptos" w:hAnsi="Aptos" w:cs="Aptos"/>
          <w:b/>
          <w:bCs/>
          <w:color w:val="000000" w:themeColor="text1"/>
        </w:rPr>
        <w:t>recurso de apelación</w:t>
      </w:r>
      <w:r w:rsidR="102CE920" w:rsidRPr="6943F305">
        <w:rPr>
          <w:rFonts w:ascii="Aptos" w:eastAsia="Aptos" w:hAnsi="Aptos" w:cs="Aptos"/>
          <w:b/>
          <w:bCs/>
          <w:color w:val="000000" w:themeColor="text1"/>
        </w:rPr>
        <w:t xml:space="preserve">, aplicación de correcciones y radicación). </w:t>
      </w:r>
    </w:p>
    <w:p w14:paraId="5C1A07E2" w14:textId="39C32BB6" w:rsidR="003E0132" w:rsidRDefault="003E0132"/>
    <w:sectPr w:rsidR="003E01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2C3"/>
    <w:multiLevelType w:val="hybridMultilevel"/>
    <w:tmpl w:val="BED479E6"/>
    <w:lvl w:ilvl="0" w:tplc="E6F85DE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5AA7"/>
    <w:multiLevelType w:val="hybridMultilevel"/>
    <w:tmpl w:val="1E5C3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6B8F"/>
    <w:multiLevelType w:val="hybridMultilevel"/>
    <w:tmpl w:val="0302B23C"/>
    <w:lvl w:ilvl="0" w:tplc="553C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8F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C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E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81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0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E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4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0D6"/>
    <w:multiLevelType w:val="hybridMultilevel"/>
    <w:tmpl w:val="05168A40"/>
    <w:lvl w:ilvl="0" w:tplc="A554F296">
      <w:start w:val="76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68A"/>
    <w:multiLevelType w:val="hybridMultilevel"/>
    <w:tmpl w:val="7FAA2A26"/>
    <w:lvl w:ilvl="0" w:tplc="0EBEDD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73C3C"/>
    <w:multiLevelType w:val="hybridMultilevel"/>
    <w:tmpl w:val="6750F4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9F"/>
    <w:multiLevelType w:val="hybridMultilevel"/>
    <w:tmpl w:val="9D06646A"/>
    <w:lvl w:ilvl="0" w:tplc="E8CC63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12177">
    <w:abstractNumId w:val="2"/>
  </w:num>
  <w:num w:numId="2" w16cid:durableId="685987752">
    <w:abstractNumId w:val="4"/>
  </w:num>
  <w:num w:numId="3" w16cid:durableId="345331657">
    <w:abstractNumId w:val="1"/>
  </w:num>
  <w:num w:numId="4" w16cid:durableId="872809494">
    <w:abstractNumId w:val="6"/>
  </w:num>
  <w:num w:numId="5" w16cid:durableId="1140994682">
    <w:abstractNumId w:val="5"/>
  </w:num>
  <w:num w:numId="6" w16cid:durableId="776409143">
    <w:abstractNumId w:val="3"/>
  </w:num>
  <w:num w:numId="7" w16cid:durableId="10553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3CD45"/>
    <w:rsid w:val="0000513C"/>
    <w:rsid w:val="00081645"/>
    <w:rsid w:val="00087544"/>
    <w:rsid w:val="000B1DAD"/>
    <w:rsid w:val="000B7E1A"/>
    <w:rsid w:val="000D67CA"/>
    <w:rsid w:val="000D69C2"/>
    <w:rsid w:val="000E0BFD"/>
    <w:rsid w:val="000F30B3"/>
    <w:rsid w:val="000F3F5A"/>
    <w:rsid w:val="000F50E2"/>
    <w:rsid w:val="00120335"/>
    <w:rsid w:val="00142419"/>
    <w:rsid w:val="00145AEF"/>
    <w:rsid w:val="00147634"/>
    <w:rsid w:val="00153761"/>
    <w:rsid w:val="00155B81"/>
    <w:rsid w:val="00156804"/>
    <w:rsid w:val="00157D8E"/>
    <w:rsid w:val="00157E85"/>
    <w:rsid w:val="00166DC3"/>
    <w:rsid w:val="0017195E"/>
    <w:rsid w:val="001765ED"/>
    <w:rsid w:val="001839B4"/>
    <w:rsid w:val="001D138E"/>
    <w:rsid w:val="001D6649"/>
    <w:rsid w:val="002151C0"/>
    <w:rsid w:val="00220E9E"/>
    <w:rsid w:val="00226E14"/>
    <w:rsid w:val="00230608"/>
    <w:rsid w:val="00243084"/>
    <w:rsid w:val="00244FD8"/>
    <w:rsid w:val="0025344E"/>
    <w:rsid w:val="002705D5"/>
    <w:rsid w:val="00280AEE"/>
    <w:rsid w:val="00296780"/>
    <w:rsid w:val="002971AA"/>
    <w:rsid w:val="002C5E5E"/>
    <w:rsid w:val="002D02D1"/>
    <w:rsid w:val="002D4B43"/>
    <w:rsid w:val="002E1997"/>
    <w:rsid w:val="002E533E"/>
    <w:rsid w:val="002F2F41"/>
    <w:rsid w:val="002F6FB1"/>
    <w:rsid w:val="002F737F"/>
    <w:rsid w:val="00300C5B"/>
    <w:rsid w:val="00306031"/>
    <w:rsid w:val="00311B15"/>
    <w:rsid w:val="00322993"/>
    <w:rsid w:val="00323BBF"/>
    <w:rsid w:val="00324EFF"/>
    <w:rsid w:val="0032501D"/>
    <w:rsid w:val="00326FCC"/>
    <w:rsid w:val="00350528"/>
    <w:rsid w:val="00356C8D"/>
    <w:rsid w:val="0036559B"/>
    <w:rsid w:val="00367F1D"/>
    <w:rsid w:val="00384DD5"/>
    <w:rsid w:val="00385B59"/>
    <w:rsid w:val="00390F3C"/>
    <w:rsid w:val="00391A1B"/>
    <w:rsid w:val="00394056"/>
    <w:rsid w:val="0039413C"/>
    <w:rsid w:val="00396775"/>
    <w:rsid w:val="003C19FD"/>
    <w:rsid w:val="003C2B08"/>
    <w:rsid w:val="003C58D4"/>
    <w:rsid w:val="003D3FD6"/>
    <w:rsid w:val="003D5B91"/>
    <w:rsid w:val="003D6FED"/>
    <w:rsid w:val="003E0132"/>
    <w:rsid w:val="003E491D"/>
    <w:rsid w:val="003E4FBE"/>
    <w:rsid w:val="00415022"/>
    <w:rsid w:val="00444D64"/>
    <w:rsid w:val="00446B7D"/>
    <w:rsid w:val="004671B6"/>
    <w:rsid w:val="00471735"/>
    <w:rsid w:val="00484008"/>
    <w:rsid w:val="004851B5"/>
    <w:rsid w:val="0049190F"/>
    <w:rsid w:val="004A2026"/>
    <w:rsid w:val="004A7EA2"/>
    <w:rsid w:val="004B01AB"/>
    <w:rsid w:val="004D349C"/>
    <w:rsid w:val="004E2E88"/>
    <w:rsid w:val="004F5BE3"/>
    <w:rsid w:val="004F62C6"/>
    <w:rsid w:val="004F7D59"/>
    <w:rsid w:val="00521392"/>
    <w:rsid w:val="00533764"/>
    <w:rsid w:val="00553CD8"/>
    <w:rsid w:val="0055718B"/>
    <w:rsid w:val="00557C19"/>
    <w:rsid w:val="00560A39"/>
    <w:rsid w:val="005670AB"/>
    <w:rsid w:val="005816E0"/>
    <w:rsid w:val="005A2547"/>
    <w:rsid w:val="005A308E"/>
    <w:rsid w:val="005A74E1"/>
    <w:rsid w:val="005B0107"/>
    <w:rsid w:val="005C28A2"/>
    <w:rsid w:val="005C4377"/>
    <w:rsid w:val="005D6F3D"/>
    <w:rsid w:val="005E5469"/>
    <w:rsid w:val="00600F9A"/>
    <w:rsid w:val="00602ADA"/>
    <w:rsid w:val="00614D51"/>
    <w:rsid w:val="00631481"/>
    <w:rsid w:val="006373ED"/>
    <w:rsid w:val="0064AF57"/>
    <w:rsid w:val="0065651F"/>
    <w:rsid w:val="00674CA9"/>
    <w:rsid w:val="00684F79"/>
    <w:rsid w:val="006C7C3F"/>
    <w:rsid w:val="006D659D"/>
    <w:rsid w:val="006D7212"/>
    <w:rsid w:val="00701DDC"/>
    <w:rsid w:val="00726F90"/>
    <w:rsid w:val="007315AB"/>
    <w:rsid w:val="00736D2D"/>
    <w:rsid w:val="007410F3"/>
    <w:rsid w:val="0074132F"/>
    <w:rsid w:val="00746167"/>
    <w:rsid w:val="00757F36"/>
    <w:rsid w:val="00760CA5"/>
    <w:rsid w:val="00764903"/>
    <w:rsid w:val="0076506C"/>
    <w:rsid w:val="00765B4E"/>
    <w:rsid w:val="00767691"/>
    <w:rsid w:val="00767DB1"/>
    <w:rsid w:val="007712EC"/>
    <w:rsid w:val="007934F4"/>
    <w:rsid w:val="007A1615"/>
    <w:rsid w:val="007B5E9F"/>
    <w:rsid w:val="007C0D35"/>
    <w:rsid w:val="007C524D"/>
    <w:rsid w:val="00803A83"/>
    <w:rsid w:val="008235A2"/>
    <w:rsid w:val="00856DFB"/>
    <w:rsid w:val="00861AF1"/>
    <w:rsid w:val="0088796B"/>
    <w:rsid w:val="008A2558"/>
    <w:rsid w:val="008C61FD"/>
    <w:rsid w:val="008C6DD0"/>
    <w:rsid w:val="008D27B5"/>
    <w:rsid w:val="008F0AF7"/>
    <w:rsid w:val="008F4A54"/>
    <w:rsid w:val="00901A69"/>
    <w:rsid w:val="0090258B"/>
    <w:rsid w:val="00902AB0"/>
    <w:rsid w:val="0090632E"/>
    <w:rsid w:val="00906CDF"/>
    <w:rsid w:val="00911438"/>
    <w:rsid w:val="00920E32"/>
    <w:rsid w:val="00922702"/>
    <w:rsid w:val="00930A60"/>
    <w:rsid w:val="0094119E"/>
    <w:rsid w:val="009474EF"/>
    <w:rsid w:val="009670D6"/>
    <w:rsid w:val="00974532"/>
    <w:rsid w:val="009D19BC"/>
    <w:rsid w:val="00A00809"/>
    <w:rsid w:val="00A01433"/>
    <w:rsid w:val="00A16EAE"/>
    <w:rsid w:val="00A174DB"/>
    <w:rsid w:val="00A17C40"/>
    <w:rsid w:val="00A40233"/>
    <w:rsid w:val="00A40D31"/>
    <w:rsid w:val="00A4311A"/>
    <w:rsid w:val="00A53B7E"/>
    <w:rsid w:val="00A639F7"/>
    <w:rsid w:val="00A66EDE"/>
    <w:rsid w:val="00A72F73"/>
    <w:rsid w:val="00A85EFE"/>
    <w:rsid w:val="00AA0320"/>
    <w:rsid w:val="00AA53A7"/>
    <w:rsid w:val="00AB7E2A"/>
    <w:rsid w:val="00AC4287"/>
    <w:rsid w:val="00AD4DEB"/>
    <w:rsid w:val="00AE5F18"/>
    <w:rsid w:val="00AF3D00"/>
    <w:rsid w:val="00B07CE9"/>
    <w:rsid w:val="00B1545B"/>
    <w:rsid w:val="00B15B3E"/>
    <w:rsid w:val="00B33F44"/>
    <w:rsid w:val="00B458C2"/>
    <w:rsid w:val="00B541E1"/>
    <w:rsid w:val="00B624A0"/>
    <w:rsid w:val="00B70100"/>
    <w:rsid w:val="00B74ED3"/>
    <w:rsid w:val="00B77F8D"/>
    <w:rsid w:val="00B83401"/>
    <w:rsid w:val="00B943D6"/>
    <w:rsid w:val="00BA1C5F"/>
    <w:rsid w:val="00BA4EB1"/>
    <w:rsid w:val="00BB424F"/>
    <w:rsid w:val="00BF57AB"/>
    <w:rsid w:val="00C10D83"/>
    <w:rsid w:val="00C160B5"/>
    <w:rsid w:val="00C470D5"/>
    <w:rsid w:val="00C52767"/>
    <w:rsid w:val="00C60163"/>
    <w:rsid w:val="00C75FBB"/>
    <w:rsid w:val="00C9234C"/>
    <w:rsid w:val="00CB0AA4"/>
    <w:rsid w:val="00CD5010"/>
    <w:rsid w:val="00CF1E5B"/>
    <w:rsid w:val="00D01AD8"/>
    <w:rsid w:val="00D2300A"/>
    <w:rsid w:val="00D34A82"/>
    <w:rsid w:val="00D44CB1"/>
    <w:rsid w:val="00D517BB"/>
    <w:rsid w:val="00D55337"/>
    <w:rsid w:val="00D6392A"/>
    <w:rsid w:val="00D97F36"/>
    <w:rsid w:val="00DA4A3F"/>
    <w:rsid w:val="00DC02CA"/>
    <w:rsid w:val="00DD263F"/>
    <w:rsid w:val="00E02DBC"/>
    <w:rsid w:val="00E23BEB"/>
    <w:rsid w:val="00E25443"/>
    <w:rsid w:val="00E26C13"/>
    <w:rsid w:val="00E30F27"/>
    <w:rsid w:val="00E33E87"/>
    <w:rsid w:val="00E440D4"/>
    <w:rsid w:val="00E47696"/>
    <w:rsid w:val="00E54347"/>
    <w:rsid w:val="00E557A3"/>
    <w:rsid w:val="00E829B4"/>
    <w:rsid w:val="00EB2042"/>
    <w:rsid w:val="00EC43BC"/>
    <w:rsid w:val="00ED54EE"/>
    <w:rsid w:val="00ED5F99"/>
    <w:rsid w:val="00F0604D"/>
    <w:rsid w:val="00F21112"/>
    <w:rsid w:val="00F429A1"/>
    <w:rsid w:val="00F52DCA"/>
    <w:rsid w:val="00F70DF3"/>
    <w:rsid w:val="00F72AF1"/>
    <w:rsid w:val="00F80D9E"/>
    <w:rsid w:val="00F8416C"/>
    <w:rsid w:val="00F8479A"/>
    <w:rsid w:val="00F85161"/>
    <w:rsid w:val="00FA3D05"/>
    <w:rsid w:val="00FB1863"/>
    <w:rsid w:val="00FB32E5"/>
    <w:rsid w:val="00FF2448"/>
    <w:rsid w:val="00FF7FE4"/>
    <w:rsid w:val="02B93D1B"/>
    <w:rsid w:val="0370D6AF"/>
    <w:rsid w:val="03FFF144"/>
    <w:rsid w:val="04F3CD45"/>
    <w:rsid w:val="0526CDDA"/>
    <w:rsid w:val="0668DB56"/>
    <w:rsid w:val="079AC8A1"/>
    <w:rsid w:val="0804F772"/>
    <w:rsid w:val="0AEE8778"/>
    <w:rsid w:val="0BBEFAE1"/>
    <w:rsid w:val="0C600794"/>
    <w:rsid w:val="0D1205B9"/>
    <w:rsid w:val="0D3DF70F"/>
    <w:rsid w:val="0D4AB124"/>
    <w:rsid w:val="0E61F05F"/>
    <w:rsid w:val="0FED6FF9"/>
    <w:rsid w:val="102CE920"/>
    <w:rsid w:val="113EB891"/>
    <w:rsid w:val="11B6182A"/>
    <w:rsid w:val="1231E52B"/>
    <w:rsid w:val="133E40A3"/>
    <w:rsid w:val="15D602D9"/>
    <w:rsid w:val="164ED3E4"/>
    <w:rsid w:val="1667BE59"/>
    <w:rsid w:val="171DBBBC"/>
    <w:rsid w:val="1880424E"/>
    <w:rsid w:val="18E44D75"/>
    <w:rsid w:val="19E01158"/>
    <w:rsid w:val="1AF0154F"/>
    <w:rsid w:val="1B2C8B5D"/>
    <w:rsid w:val="1CBD406F"/>
    <w:rsid w:val="1CF46A26"/>
    <w:rsid w:val="1F6BEA09"/>
    <w:rsid w:val="1FFCEBCC"/>
    <w:rsid w:val="20BD9A81"/>
    <w:rsid w:val="2135C2B2"/>
    <w:rsid w:val="2351F924"/>
    <w:rsid w:val="23BADBDA"/>
    <w:rsid w:val="25D039AF"/>
    <w:rsid w:val="26265552"/>
    <w:rsid w:val="265EB42A"/>
    <w:rsid w:val="269A016B"/>
    <w:rsid w:val="275A8141"/>
    <w:rsid w:val="2A2F3CAC"/>
    <w:rsid w:val="2B015C47"/>
    <w:rsid w:val="2BC74609"/>
    <w:rsid w:val="2C42549B"/>
    <w:rsid w:val="2C8B293B"/>
    <w:rsid w:val="2EEFF899"/>
    <w:rsid w:val="2F2C1CB5"/>
    <w:rsid w:val="2F48A611"/>
    <w:rsid w:val="2FC398EF"/>
    <w:rsid w:val="2FE85CD6"/>
    <w:rsid w:val="301EE06D"/>
    <w:rsid w:val="319BC18A"/>
    <w:rsid w:val="3362D9B8"/>
    <w:rsid w:val="33FC7441"/>
    <w:rsid w:val="35FABA45"/>
    <w:rsid w:val="36B1EC7E"/>
    <w:rsid w:val="3A2A36E6"/>
    <w:rsid w:val="3AF77D79"/>
    <w:rsid w:val="3B645364"/>
    <w:rsid w:val="3B7A7A4C"/>
    <w:rsid w:val="3B824B39"/>
    <w:rsid w:val="3BF3D17E"/>
    <w:rsid w:val="3C4D684A"/>
    <w:rsid w:val="3CB917C1"/>
    <w:rsid w:val="3CD23D11"/>
    <w:rsid w:val="3E417BAD"/>
    <w:rsid w:val="3EE92F28"/>
    <w:rsid w:val="3FC41C7E"/>
    <w:rsid w:val="40123D6E"/>
    <w:rsid w:val="40DD6882"/>
    <w:rsid w:val="41450137"/>
    <w:rsid w:val="419B465E"/>
    <w:rsid w:val="4264C331"/>
    <w:rsid w:val="43775B6F"/>
    <w:rsid w:val="448CE90D"/>
    <w:rsid w:val="454C6C58"/>
    <w:rsid w:val="45C01BB4"/>
    <w:rsid w:val="4686F0BF"/>
    <w:rsid w:val="47B2C642"/>
    <w:rsid w:val="481474FD"/>
    <w:rsid w:val="499BC1D0"/>
    <w:rsid w:val="4A31502B"/>
    <w:rsid w:val="4A6F11E2"/>
    <w:rsid w:val="4B554EF8"/>
    <w:rsid w:val="4BBD7CB5"/>
    <w:rsid w:val="4C225E1F"/>
    <w:rsid w:val="4C7F88FA"/>
    <w:rsid w:val="4D6E3508"/>
    <w:rsid w:val="4DAC304B"/>
    <w:rsid w:val="4F674E6E"/>
    <w:rsid w:val="4FB77DFD"/>
    <w:rsid w:val="5009A5C8"/>
    <w:rsid w:val="505CD800"/>
    <w:rsid w:val="50B72B1D"/>
    <w:rsid w:val="516511F8"/>
    <w:rsid w:val="52794164"/>
    <w:rsid w:val="52916336"/>
    <w:rsid w:val="5342062B"/>
    <w:rsid w:val="53B4B774"/>
    <w:rsid w:val="541BED01"/>
    <w:rsid w:val="543580B7"/>
    <w:rsid w:val="54574C11"/>
    <w:rsid w:val="54946EA8"/>
    <w:rsid w:val="5540CFAE"/>
    <w:rsid w:val="579E32EB"/>
    <w:rsid w:val="59A71E04"/>
    <w:rsid w:val="5A082F11"/>
    <w:rsid w:val="5A7F4AD9"/>
    <w:rsid w:val="5B7BE2CA"/>
    <w:rsid w:val="5DC03BF9"/>
    <w:rsid w:val="5F3B6108"/>
    <w:rsid w:val="5F41E952"/>
    <w:rsid w:val="5F48137B"/>
    <w:rsid w:val="6067C1FE"/>
    <w:rsid w:val="6133E459"/>
    <w:rsid w:val="614C8AA0"/>
    <w:rsid w:val="627DC5A8"/>
    <w:rsid w:val="628A85F9"/>
    <w:rsid w:val="6292AF9B"/>
    <w:rsid w:val="62A89479"/>
    <w:rsid w:val="62B5AAD3"/>
    <w:rsid w:val="63B3D5E8"/>
    <w:rsid w:val="64125687"/>
    <w:rsid w:val="646C23F8"/>
    <w:rsid w:val="64D3EF63"/>
    <w:rsid w:val="667A0F27"/>
    <w:rsid w:val="66C065D7"/>
    <w:rsid w:val="674FE76C"/>
    <w:rsid w:val="6860BD29"/>
    <w:rsid w:val="68C1711F"/>
    <w:rsid w:val="6923563B"/>
    <w:rsid w:val="6943F305"/>
    <w:rsid w:val="69DA6381"/>
    <w:rsid w:val="69F783B0"/>
    <w:rsid w:val="6A0E0DB3"/>
    <w:rsid w:val="6AEB126C"/>
    <w:rsid w:val="6AFA116E"/>
    <w:rsid w:val="6B7E4B50"/>
    <w:rsid w:val="6C15B9CD"/>
    <w:rsid w:val="6C2F7325"/>
    <w:rsid w:val="6D49E06F"/>
    <w:rsid w:val="6F11A423"/>
    <w:rsid w:val="6FE4A212"/>
    <w:rsid w:val="7158AD99"/>
    <w:rsid w:val="716C5461"/>
    <w:rsid w:val="71CAD2F0"/>
    <w:rsid w:val="72213591"/>
    <w:rsid w:val="72404E51"/>
    <w:rsid w:val="738A7FA1"/>
    <w:rsid w:val="739C3F2E"/>
    <w:rsid w:val="73B71D8C"/>
    <w:rsid w:val="745106F4"/>
    <w:rsid w:val="75B3996E"/>
    <w:rsid w:val="762BD487"/>
    <w:rsid w:val="765B0EF9"/>
    <w:rsid w:val="767B6E89"/>
    <w:rsid w:val="7685E502"/>
    <w:rsid w:val="76C64682"/>
    <w:rsid w:val="771964DE"/>
    <w:rsid w:val="7860C1AC"/>
    <w:rsid w:val="7885123B"/>
    <w:rsid w:val="7997BBFD"/>
    <w:rsid w:val="79A34818"/>
    <w:rsid w:val="7A4450D6"/>
    <w:rsid w:val="7A5BEB2D"/>
    <w:rsid w:val="7AC79AF1"/>
    <w:rsid w:val="7B63FD14"/>
    <w:rsid w:val="7CC813F0"/>
    <w:rsid w:val="7E156530"/>
    <w:rsid w:val="7E1BB10A"/>
    <w:rsid w:val="7F4FE7BA"/>
    <w:rsid w:val="7F80E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4AD1"/>
  <w15:chartTrackingRefBased/>
  <w15:docId w15:val="{4D405617-2D3B-4DD8-B166-0F5D05A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306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5F0D4-77F6-482B-B0D1-68F7ECDC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0F3A5-43A2-4BAF-A5EA-F98D7BC30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3D18-0E6B-40FA-B096-1ADAFB73A85B}">
  <ds:schemaRefs>
    <ds:schemaRef ds:uri="http://schemas.microsoft.com/office/2006/metadata/properties"/>
    <ds:schemaRef ds:uri="http://schemas.microsoft.com/office/infopath/2007/PartnerControls"/>
    <ds:schemaRef ds:uri="b7d5806f-2308-43b3-a216-a2d56fbf4da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3</cp:revision>
  <dcterms:created xsi:type="dcterms:W3CDTF">2025-08-26T23:04:00Z</dcterms:created>
  <dcterms:modified xsi:type="dcterms:W3CDTF">2025-08-28T15:47:00Z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