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9888" w14:textId="124342C0" w:rsidR="00336811" w:rsidRDefault="00336811" w:rsidP="00BE4B72">
      <w:pPr>
        <w:pStyle w:val="Default"/>
        <w:jc w:val="center"/>
        <w:rPr>
          <w:sz w:val="28"/>
          <w:szCs w:val="28"/>
        </w:rPr>
      </w:pPr>
      <w:r>
        <w:rPr>
          <w:sz w:val="28"/>
          <w:szCs w:val="28"/>
        </w:rPr>
        <w:t>REPÚBLICA DE COLOMBIA</w:t>
      </w:r>
    </w:p>
    <w:p w14:paraId="04D3616B" w14:textId="39647F24" w:rsidR="00336811" w:rsidRDefault="00336811" w:rsidP="00BE4B72">
      <w:pPr>
        <w:pStyle w:val="Default"/>
        <w:jc w:val="center"/>
        <w:rPr>
          <w:sz w:val="28"/>
          <w:szCs w:val="28"/>
        </w:rPr>
      </w:pPr>
      <w:r>
        <w:rPr>
          <w:sz w:val="28"/>
          <w:szCs w:val="28"/>
        </w:rPr>
        <w:t>TRIBUNAL SUPERIOR DEL DISTRITO JUDICIAL DE</w:t>
      </w:r>
    </w:p>
    <w:p w14:paraId="3C4CE857" w14:textId="5F6E552E" w:rsidR="00336811" w:rsidRDefault="00336811" w:rsidP="00BE4B72">
      <w:pPr>
        <w:pStyle w:val="Default"/>
        <w:jc w:val="center"/>
        <w:rPr>
          <w:sz w:val="28"/>
          <w:szCs w:val="28"/>
        </w:rPr>
      </w:pPr>
      <w:r>
        <w:rPr>
          <w:sz w:val="28"/>
          <w:szCs w:val="28"/>
        </w:rPr>
        <w:t>BOGOTÁ, D.C.</w:t>
      </w:r>
    </w:p>
    <w:p w14:paraId="6D7A1A5C" w14:textId="26C69C08" w:rsidR="00336811" w:rsidRDefault="00336811" w:rsidP="00BE4B72">
      <w:pPr>
        <w:pStyle w:val="Default"/>
        <w:jc w:val="center"/>
        <w:rPr>
          <w:sz w:val="28"/>
          <w:szCs w:val="28"/>
        </w:rPr>
      </w:pPr>
      <w:r>
        <w:rPr>
          <w:sz w:val="28"/>
          <w:szCs w:val="28"/>
        </w:rPr>
        <w:t>SALA CIVIL</w:t>
      </w:r>
    </w:p>
    <w:p w14:paraId="6A6357C9" w14:textId="77777777" w:rsidR="00BE4B72" w:rsidRDefault="00BE4B72" w:rsidP="00BE4B72">
      <w:pPr>
        <w:pStyle w:val="Default"/>
        <w:jc w:val="center"/>
        <w:rPr>
          <w:sz w:val="28"/>
          <w:szCs w:val="28"/>
        </w:rPr>
      </w:pPr>
    </w:p>
    <w:p w14:paraId="00522394" w14:textId="6C934FA5" w:rsidR="00336811" w:rsidRDefault="00336811" w:rsidP="00BE4B72">
      <w:pPr>
        <w:pStyle w:val="Default"/>
        <w:jc w:val="center"/>
        <w:rPr>
          <w:sz w:val="28"/>
          <w:szCs w:val="28"/>
        </w:rPr>
      </w:pPr>
      <w:r>
        <w:rPr>
          <w:sz w:val="28"/>
          <w:szCs w:val="28"/>
        </w:rPr>
        <w:t>Bogotá, D.C., diecinueve de febrero de dos mil veinticuatro.</w:t>
      </w:r>
    </w:p>
    <w:p w14:paraId="46E8C7D3" w14:textId="77777777" w:rsidR="00BE4B72" w:rsidRDefault="00BE4B72" w:rsidP="00336811">
      <w:pPr>
        <w:pStyle w:val="Default"/>
        <w:rPr>
          <w:sz w:val="22"/>
          <w:szCs w:val="22"/>
        </w:rPr>
      </w:pPr>
    </w:p>
    <w:p w14:paraId="147BCDD0" w14:textId="77777777" w:rsidR="00BE4B72" w:rsidRDefault="00BE4B72" w:rsidP="00336811">
      <w:pPr>
        <w:pStyle w:val="Default"/>
        <w:rPr>
          <w:sz w:val="22"/>
          <w:szCs w:val="22"/>
        </w:rPr>
      </w:pPr>
    </w:p>
    <w:p w14:paraId="6A2B8475" w14:textId="7979CF50" w:rsidR="00336811" w:rsidRDefault="00336811" w:rsidP="00BE4B72">
      <w:pPr>
        <w:pStyle w:val="Default"/>
        <w:jc w:val="both"/>
        <w:rPr>
          <w:sz w:val="22"/>
          <w:szCs w:val="22"/>
        </w:rPr>
      </w:pPr>
      <w:r>
        <w:rPr>
          <w:sz w:val="22"/>
          <w:szCs w:val="22"/>
        </w:rPr>
        <w:t xml:space="preserve">Proceso: </w:t>
      </w:r>
      <w:r w:rsidR="00BE4B72">
        <w:rPr>
          <w:sz w:val="22"/>
          <w:szCs w:val="22"/>
        </w:rPr>
        <w:tab/>
      </w:r>
      <w:r w:rsidR="00BE4B72">
        <w:rPr>
          <w:sz w:val="22"/>
          <w:szCs w:val="22"/>
        </w:rPr>
        <w:tab/>
      </w:r>
      <w:r>
        <w:rPr>
          <w:sz w:val="22"/>
          <w:szCs w:val="22"/>
        </w:rPr>
        <w:t xml:space="preserve">Verbal - Declarativo </w:t>
      </w:r>
    </w:p>
    <w:p w14:paraId="22857657" w14:textId="51133788" w:rsidR="00336811" w:rsidRDefault="00336811" w:rsidP="00BE4B72">
      <w:pPr>
        <w:pStyle w:val="Default"/>
        <w:jc w:val="both"/>
        <w:rPr>
          <w:sz w:val="22"/>
          <w:szCs w:val="22"/>
        </w:rPr>
      </w:pPr>
      <w:r>
        <w:rPr>
          <w:sz w:val="22"/>
          <w:szCs w:val="22"/>
        </w:rPr>
        <w:t xml:space="preserve">Demandante: </w:t>
      </w:r>
      <w:r w:rsidR="00BE4B72">
        <w:rPr>
          <w:sz w:val="22"/>
          <w:szCs w:val="22"/>
        </w:rPr>
        <w:tab/>
      </w:r>
      <w:proofErr w:type="spellStart"/>
      <w:r>
        <w:rPr>
          <w:sz w:val="22"/>
          <w:szCs w:val="22"/>
        </w:rPr>
        <w:t>Nutrieco</w:t>
      </w:r>
      <w:proofErr w:type="spellEnd"/>
      <w:r>
        <w:rPr>
          <w:sz w:val="22"/>
          <w:szCs w:val="22"/>
        </w:rPr>
        <w:t xml:space="preserve"> S.A. </w:t>
      </w:r>
    </w:p>
    <w:p w14:paraId="7519B6CD" w14:textId="47F1C5A9" w:rsidR="00336811" w:rsidRDefault="00336811" w:rsidP="00BE4B72">
      <w:pPr>
        <w:pStyle w:val="Default"/>
        <w:jc w:val="both"/>
        <w:rPr>
          <w:sz w:val="22"/>
          <w:szCs w:val="22"/>
        </w:rPr>
      </w:pPr>
      <w:r>
        <w:rPr>
          <w:sz w:val="22"/>
          <w:szCs w:val="22"/>
        </w:rPr>
        <w:t xml:space="preserve">Demandado: </w:t>
      </w:r>
      <w:r w:rsidR="00BE4B72">
        <w:rPr>
          <w:sz w:val="22"/>
          <w:szCs w:val="22"/>
        </w:rPr>
        <w:tab/>
      </w:r>
      <w:r w:rsidR="00BE4B72">
        <w:rPr>
          <w:sz w:val="22"/>
          <w:szCs w:val="22"/>
        </w:rPr>
        <w:tab/>
      </w:r>
      <w:r>
        <w:rPr>
          <w:sz w:val="22"/>
          <w:szCs w:val="22"/>
        </w:rPr>
        <w:t xml:space="preserve">Boehringer Ingelheim S.A. </w:t>
      </w:r>
    </w:p>
    <w:p w14:paraId="7686D672" w14:textId="2138B099" w:rsidR="00336811" w:rsidRDefault="00336811" w:rsidP="00BE4B72">
      <w:pPr>
        <w:pStyle w:val="Default"/>
        <w:jc w:val="both"/>
        <w:rPr>
          <w:sz w:val="22"/>
          <w:szCs w:val="22"/>
        </w:rPr>
      </w:pPr>
      <w:r>
        <w:rPr>
          <w:sz w:val="22"/>
          <w:szCs w:val="22"/>
        </w:rPr>
        <w:t xml:space="preserve">Radicación: </w:t>
      </w:r>
      <w:r w:rsidR="00BE4B72">
        <w:rPr>
          <w:sz w:val="22"/>
          <w:szCs w:val="22"/>
        </w:rPr>
        <w:tab/>
      </w:r>
      <w:r w:rsidR="00BE4B72">
        <w:rPr>
          <w:sz w:val="22"/>
          <w:szCs w:val="22"/>
        </w:rPr>
        <w:tab/>
      </w:r>
      <w:r>
        <w:rPr>
          <w:sz w:val="22"/>
          <w:szCs w:val="22"/>
        </w:rPr>
        <w:t xml:space="preserve">110013103041202200074 01 </w:t>
      </w:r>
    </w:p>
    <w:p w14:paraId="2DDDDCE9" w14:textId="16DBAD02" w:rsidR="00336811" w:rsidRDefault="00336811" w:rsidP="00BE4B72">
      <w:pPr>
        <w:pStyle w:val="Default"/>
        <w:jc w:val="both"/>
        <w:rPr>
          <w:sz w:val="22"/>
          <w:szCs w:val="22"/>
        </w:rPr>
      </w:pPr>
      <w:r>
        <w:rPr>
          <w:sz w:val="22"/>
          <w:szCs w:val="22"/>
        </w:rPr>
        <w:t xml:space="preserve">Procedencia: </w:t>
      </w:r>
      <w:r w:rsidR="00BE4B72">
        <w:rPr>
          <w:sz w:val="22"/>
          <w:szCs w:val="22"/>
        </w:rPr>
        <w:tab/>
      </w:r>
      <w:r>
        <w:rPr>
          <w:sz w:val="22"/>
          <w:szCs w:val="22"/>
        </w:rPr>
        <w:t xml:space="preserve">Juzgado 41 Civil del Circuito de Bogotá </w:t>
      </w:r>
    </w:p>
    <w:p w14:paraId="5AAC9194" w14:textId="77777777" w:rsidR="00BE4B72" w:rsidRDefault="00336811" w:rsidP="00BE4B72">
      <w:pPr>
        <w:pStyle w:val="Default"/>
        <w:jc w:val="both"/>
        <w:rPr>
          <w:sz w:val="22"/>
          <w:szCs w:val="22"/>
        </w:rPr>
      </w:pPr>
      <w:r>
        <w:rPr>
          <w:sz w:val="22"/>
          <w:szCs w:val="22"/>
        </w:rPr>
        <w:t xml:space="preserve">Asunto: </w:t>
      </w:r>
      <w:r w:rsidR="00BE4B72">
        <w:rPr>
          <w:sz w:val="22"/>
          <w:szCs w:val="22"/>
        </w:rPr>
        <w:tab/>
      </w:r>
      <w:r w:rsidR="00BE4B72">
        <w:rPr>
          <w:sz w:val="22"/>
          <w:szCs w:val="22"/>
        </w:rPr>
        <w:tab/>
      </w:r>
      <w:r>
        <w:rPr>
          <w:sz w:val="22"/>
          <w:szCs w:val="22"/>
        </w:rPr>
        <w:t>Apelación sentencia</w:t>
      </w:r>
    </w:p>
    <w:p w14:paraId="73275C52" w14:textId="77777777" w:rsidR="00BE4B72" w:rsidRDefault="00BE4B72" w:rsidP="00BE4B72">
      <w:pPr>
        <w:pStyle w:val="Default"/>
        <w:jc w:val="both"/>
        <w:rPr>
          <w:sz w:val="22"/>
          <w:szCs w:val="22"/>
        </w:rPr>
      </w:pPr>
    </w:p>
    <w:p w14:paraId="3370961C" w14:textId="2959BFFF" w:rsidR="00336811" w:rsidRDefault="00336811" w:rsidP="00BE4B72">
      <w:pPr>
        <w:pStyle w:val="Default"/>
        <w:jc w:val="both"/>
        <w:rPr>
          <w:sz w:val="22"/>
          <w:szCs w:val="22"/>
        </w:rPr>
      </w:pPr>
      <w:r>
        <w:rPr>
          <w:sz w:val="22"/>
          <w:szCs w:val="22"/>
        </w:rPr>
        <w:t xml:space="preserve"> </w:t>
      </w:r>
    </w:p>
    <w:p w14:paraId="013B843F" w14:textId="77777777" w:rsidR="00336811" w:rsidRDefault="00336811" w:rsidP="00BE4B72">
      <w:pPr>
        <w:pStyle w:val="Default"/>
        <w:jc w:val="both"/>
        <w:rPr>
          <w:sz w:val="28"/>
          <w:szCs w:val="28"/>
        </w:rPr>
      </w:pPr>
      <w:r>
        <w:rPr>
          <w:sz w:val="28"/>
          <w:szCs w:val="28"/>
        </w:rPr>
        <w:t xml:space="preserve">Revisado el plenario, en los términos del artículo 325 de la Ley Procesal Civil, se RESUELVE: </w:t>
      </w:r>
    </w:p>
    <w:p w14:paraId="4F177986" w14:textId="77777777" w:rsidR="00BE4B72" w:rsidRDefault="00BE4B72" w:rsidP="00BE4B72">
      <w:pPr>
        <w:pStyle w:val="Default"/>
        <w:jc w:val="both"/>
        <w:rPr>
          <w:sz w:val="28"/>
          <w:szCs w:val="28"/>
        </w:rPr>
      </w:pPr>
    </w:p>
    <w:p w14:paraId="634D10B8" w14:textId="480DA8F4" w:rsidR="00336811" w:rsidRDefault="00336811" w:rsidP="00BE4B72">
      <w:pPr>
        <w:pStyle w:val="Default"/>
        <w:jc w:val="both"/>
        <w:rPr>
          <w:sz w:val="28"/>
          <w:szCs w:val="28"/>
        </w:rPr>
      </w:pPr>
      <w:r>
        <w:rPr>
          <w:sz w:val="28"/>
          <w:szCs w:val="28"/>
        </w:rPr>
        <w:t xml:space="preserve">1. Comoquiera que confluyen las exigencias legales para admitir el recurso, pues fue formulado oportunamente por quien tiene legitimación para ello y se expusieron los reparos concretos a la providencia cuestionada, por ende, SE ADMITE, en el efecto SUSPENSIVO, el recurso de apelación promovido por la parte demandante, a través de su apoderado, contra la sentencia proferida el 14 de diciembre de 2023 por el Juzgado 41 Civil del Circuito de Bogotá. </w:t>
      </w:r>
    </w:p>
    <w:p w14:paraId="0D62202C" w14:textId="77777777" w:rsidR="00BE4B72" w:rsidRDefault="00BE4B72" w:rsidP="00BE4B72">
      <w:pPr>
        <w:pStyle w:val="Default"/>
        <w:jc w:val="both"/>
        <w:rPr>
          <w:sz w:val="28"/>
          <w:szCs w:val="28"/>
        </w:rPr>
      </w:pPr>
    </w:p>
    <w:p w14:paraId="1E8746A7" w14:textId="529DDE33" w:rsidR="00336811" w:rsidRDefault="00336811" w:rsidP="00BE4B72">
      <w:pPr>
        <w:pStyle w:val="Default"/>
        <w:jc w:val="both"/>
        <w:rPr>
          <w:sz w:val="28"/>
          <w:szCs w:val="28"/>
        </w:rPr>
      </w:pPr>
      <w:r>
        <w:rPr>
          <w:sz w:val="28"/>
          <w:szCs w:val="28"/>
        </w:rPr>
        <w:t xml:space="preserve">2. Conforme al artículo 12 de la Ley 2213 de 2022, a cuyo tenor: “Ejecutoriado el auto que admite el recurso o el que niega la solicitud de pruebas, el apelante deberá sustentar el recurso a más tardar dentro de los cinco (5) días siguientes”, se OTORGA TRASLADO al apelante para que ante esta Corporación sustente el recurso, vencido el plazo legal antedicho la contraparte podrá descorrer el traslado, si así lo considera; términos que comenzarán a contabilizarse desde la ejecutoria de esta determinación. </w:t>
      </w:r>
    </w:p>
    <w:p w14:paraId="257756CE" w14:textId="77777777" w:rsidR="00BE4B72" w:rsidRDefault="00BE4B72" w:rsidP="00BE4B72">
      <w:pPr>
        <w:pStyle w:val="Default"/>
        <w:jc w:val="both"/>
        <w:rPr>
          <w:sz w:val="28"/>
          <w:szCs w:val="28"/>
        </w:rPr>
      </w:pPr>
    </w:p>
    <w:p w14:paraId="35B315AB" w14:textId="4F8710EB" w:rsidR="00336811" w:rsidRDefault="00336811" w:rsidP="00BE4B72">
      <w:pPr>
        <w:pStyle w:val="Default"/>
        <w:jc w:val="both"/>
        <w:rPr>
          <w:rFonts w:cstheme="minorBidi"/>
          <w:color w:val="auto"/>
          <w:sz w:val="28"/>
          <w:szCs w:val="28"/>
        </w:rPr>
      </w:pPr>
      <w:r>
        <w:rPr>
          <w:sz w:val="28"/>
          <w:szCs w:val="28"/>
        </w:rPr>
        <w:t xml:space="preserve">Se advierte al recurrente, que en el plazo legal concedido y ante esta Sede, DEBERÁ SUSTENTAR EL RECURSO so pena de declararlo desierto (artículos 322 de la Ley 1564 de 2012 y 12 de la Ley 2213 de 2022). Se recuerda que la sustentación consistirá </w:t>
      </w:r>
      <w:r>
        <w:rPr>
          <w:sz w:val="28"/>
          <w:szCs w:val="28"/>
        </w:rPr>
        <w:lastRenderedPageBreak/>
        <w:t xml:space="preserve">en el desarrollo de los reparos planteados al </w:t>
      </w:r>
      <w:r>
        <w:rPr>
          <w:rFonts w:cstheme="minorBidi"/>
          <w:color w:val="auto"/>
          <w:sz w:val="28"/>
          <w:szCs w:val="28"/>
        </w:rPr>
        <w:t xml:space="preserve">propiciar el recurso, cualquier aspecto adicional que se incluya no será considerado (artículos 320, 327 y 328 de la Ley 1564 de 2012). </w:t>
      </w:r>
    </w:p>
    <w:p w14:paraId="34827696" w14:textId="77777777" w:rsidR="00BE4B72" w:rsidRDefault="00BE4B72" w:rsidP="00BE4B72">
      <w:pPr>
        <w:pStyle w:val="Default"/>
        <w:jc w:val="both"/>
        <w:rPr>
          <w:rFonts w:cstheme="minorBidi"/>
          <w:color w:val="auto"/>
          <w:sz w:val="28"/>
          <w:szCs w:val="28"/>
        </w:rPr>
      </w:pPr>
    </w:p>
    <w:p w14:paraId="3253211B" w14:textId="0BA0D7C6" w:rsidR="00336811" w:rsidRDefault="00336811" w:rsidP="00BE4B72">
      <w:pPr>
        <w:pStyle w:val="Default"/>
        <w:jc w:val="both"/>
        <w:rPr>
          <w:rFonts w:cstheme="minorBidi"/>
          <w:color w:val="auto"/>
          <w:sz w:val="28"/>
          <w:szCs w:val="28"/>
        </w:rPr>
      </w:pPr>
      <w:r>
        <w:rPr>
          <w:rFonts w:cstheme="minorBidi"/>
          <w:color w:val="auto"/>
          <w:sz w:val="28"/>
          <w:szCs w:val="28"/>
        </w:rPr>
        <w:t xml:space="preserve">3. Los profesionales del derecho darán estricto cumplimiento al numeral 14 del artículo 78 de la Ley 1564 de 2012, so pena de imposición de multa, en los términos allí previstos. </w:t>
      </w:r>
    </w:p>
    <w:p w14:paraId="4836581B" w14:textId="77777777" w:rsidR="00BE4B72" w:rsidRDefault="00BE4B72" w:rsidP="00BE4B72">
      <w:pPr>
        <w:pStyle w:val="Default"/>
        <w:jc w:val="both"/>
        <w:rPr>
          <w:rFonts w:cstheme="minorBidi"/>
          <w:color w:val="auto"/>
          <w:sz w:val="28"/>
          <w:szCs w:val="28"/>
        </w:rPr>
      </w:pPr>
    </w:p>
    <w:p w14:paraId="3A29D66F" w14:textId="0C0C200D" w:rsidR="00336811" w:rsidRDefault="00336811" w:rsidP="00BE4B72">
      <w:pPr>
        <w:pStyle w:val="Default"/>
        <w:jc w:val="both"/>
        <w:rPr>
          <w:rFonts w:cstheme="minorBidi"/>
          <w:sz w:val="28"/>
          <w:szCs w:val="28"/>
        </w:rPr>
      </w:pPr>
      <w:r>
        <w:rPr>
          <w:rFonts w:cstheme="minorBidi"/>
          <w:color w:val="auto"/>
          <w:sz w:val="28"/>
          <w:szCs w:val="28"/>
        </w:rPr>
        <w:t xml:space="preserve">4. Las partes contendientes deberán dirigir sus escritos o memoriales con destino a este asunto al correo electrónico del </w:t>
      </w:r>
      <w:proofErr w:type="gramStart"/>
      <w:r>
        <w:rPr>
          <w:rFonts w:cstheme="minorBidi"/>
          <w:color w:val="auto"/>
          <w:sz w:val="28"/>
          <w:szCs w:val="28"/>
        </w:rPr>
        <w:t>Secretario</w:t>
      </w:r>
      <w:proofErr w:type="gramEnd"/>
      <w:r>
        <w:rPr>
          <w:rFonts w:cstheme="minorBidi"/>
          <w:color w:val="auto"/>
          <w:sz w:val="28"/>
          <w:szCs w:val="28"/>
        </w:rPr>
        <w:t xml:space="preserve"> Judicial de esta Corporación </w:t>
      </w:r>
      <w:r>
        <w:rPr>
          <w:rFonts w:cstheme="minorBidi"/>
          <w:color w:val="0462C1"/>
          <w:sz w:val="28"/>
          <w:szCs w:val="28"/>
        </w:rPr>
        <w:t>secsctribsupbta2@cendoj.ramajudicial.gov.co</w:t>
      </w:r>
      <w:r>
        <w:rPr>
          <w:rFonts w:cstheme="minorBidi"/>
          <w:sz w:val="28"/>
          <w:szCs w:val="28"/>
        </w:rPr>
        <w:t xml:space="preserve">. </w:t>
      </w:r>
    </w:p>
    <w:p w14:paraId="6D0F2DC8" w14:textId="77777777" w:rsidR="00BE4B72" w:rsidRDefault="00BE4B72" w:rsidP="00BE4B72">
      <w:pPr>
        <w:pStyle w:val="Default"/>
        <w:jc w:val="both"/>
        <w:rPr>
          <w:rFonts w:cstheme="minorBidi"/>
          <w:sz w:val="28"/>
          <w:szCs w:val="28"/>
        </w:rPr>
      </w:pPr>
    </w:p>
    <w:p w14:paraId="42EB3499" w14:textId="77777777" w:rsidR="00BE4B72" w:rsidRDefault="00336811" w:rsidP="00BE4B72">
      <w:pPr>
        <w:pStyle w:val="Default"/>
        <w:jc w:val="both"/>
        <w:rPr>
          <w:sz w:val="28"/>
          <w:szCs w:val="28"/>
        </w:rPr>
      </w:pPr>
      <w:r>
        <w:rPr>
          <w:rFonts w:cstheme="minorBidi"/>
          <w:sz w:val="28"/>
          <w:szCs w:val="28"/>
        </w:rPr>
        <w:t xml:space="preserve">5. De otro lado, importante es señalar que el artículo 121 ibidem </w:t>
      </w:r>
      <w:r>
        <w:rPr>
          <w:sz w:val="28"/>
          <w:szCs w:val="28"/>
        </w:rPr>
        <w:t xml:space="preserve">impone: “(…) el plazo para resolver la segunda instancia no podrá ser superior a seis (6) meses contados a partir de la recepción del expediente en la secretaría del Juzgado o Tribunal (…). </w:t>
      </w:r>
    </w:p>
    <w:p w14:paraId="455101E7" w14:textId="77777777" w:rsidR="00BE4B72" w:rsidRDefault="00BE4B72" w:rsidP="00BE4B72">
      <w:pPr>
        <w:pStyle w:val="Default"/>
        <w:jc w:val="both"/>
        <w:rPr>
          <w:sz w:val="28"/>
          <w:szCs w:val="28"/>
        </w:rPr>
      </w:pPr>
    </w:p>
    <w:p w14:paraId="7214410E" w14:textId="544DBCCE" w:rsidR="00336811" w:rsidRDefault="00336811" w:rsidP="00BE4B72">
      <w:pPr>
        <w:pStyle w:val="Default"/>
        <w:jc w:val="both"/>
        <w:rPr>
          <w:sz w:val="28"/>
          <w:szCs w:val="28"/>
        </w:rPr>
      </w:pPr>
      <w:r>
        <w:rPr>
          <w:sz w:val="28"/>
          <w:szCs w:val="28"/>
        </w:rPr>
        <w:t xml:space="preserve">Excepcionalmente el juez o magistrado podrá prorrogar por una sola vez el término para resolver la instancia respectiva, hasta por seis (6) meses más, con explicación de la necesidad de hacerlo, mediante auto que no admite recurso”. </w:t>
      </w:r>
    </w:p>
    <w:p w14:paraId="00CAA3C1" w14:textId="77777777" w:rsidR="00BE4B72" w:rsidRDefault="00BE4B72" w:rsidP="00BE4B72">
      <w:pPr>
        <w:pStyle w:val="Default"/>
        <w:jc w:val="both"/>
        <w:rPr>
          <w:sz w:val="28"/>
          <w:szCs w:val="28"/>
        </w:rPr>
      </w:pPr>
    </w:p>
    <w:p w14:paraId="0E10A309" w14:textId="4FC2D74E" w:rsidR="00336811" w:rsidRDefault="00336811" w:rsidP="00BE4B72">
      <w:pPr>
        <w:pStyle w:val="Default"/>
        <w:jc w:val="both"/>
        <w:rPr>
          <w:sz w:val="28"/>
          <w:szCs w:val="28"/>
        </w:rPr>
      </w:pPr>
      <w:r>
        <w:rPr>
          <w:sz w:val="28"/>
          <w:szCs w:val="28"/>
        </w:rPr>
        <w:t xml:space="preserve">En el caso concreto, pertinente es hacer uso de la mencionada facultad, en atención a la complejidad del asunto, la carga laboral de la suscrita y en consideración a los trastornos generados por el trabajo virtual; en consecuencia, SE PRORROGA por una sola vez, hasta por seis (6) meses más, el término para decidir de fondo de esta segunda instancia. </w:t>
      </w:r>
    </w:p>
    <w:p w14:paraId="7F3B9A48" w14:textId="77777777" w:rsidR="00BE4B72" w:rsidRDefault="00BE4B72" w:rsidP="00BE4B72">
      <w:pPr>
        <w:pStyle w:val="Default"/>
        <w:jc w:val="both"/>
        <w:rPr>
          <w:sz w:val="28"/>
          <w:szCs w:val="28"/>
        </w:rPr>
      </w:pPr>
    </w:p>
    <w:p w14:paraId="4624F395" w14:textId="77777777" w:rsidR="00BE4B72" w:rsidRDefault="00BE4B72" w:rsidP="00BE4B72">
      <w:pPr>
        <w:pStyle w:val="Default"/>
        <w:jc w:val="both"/>
        <w:rPr>
          <w:sz w:val="28"/>
          <w:szCs w:val="28"/>
        </w:rPr>
      </w:pPr>
    </w:p>
    <w:p w14:paraId="2F4B47F1" w14:textId="2C9AB52B" w:rsidR="00336811" w:rsidRDefault="00336811" w:rsidP="00BE4B72">
      <w:pPr>
        <w:pStyle w:val="Default"/>
        <w:jc w:val="both"/>
        <w:rPr>
          <w:sz w:val="28"/>
          <w:szCs w:val="28"/>
        </w:rPr>
      </w:pPr>
      <w:r>
        <w:rPr>
          <w:sz w:val="28"/>
          <w:szCs w:val="28"/>
        </w:rPr>
        <w:t xml:space="preserve">Notifíquese, </w:t>
      </w:r>
    </w:p>
    <w:p w14:paraId="59D71FD2" w14:textId="77777777" w:rsidR="00BE4B72" w:rsidRDefault="00BE4B72" w:rsidP="00BE4B72">
      <w:pPr>
        <w:pStyle w:val="Default"/>
        <w:jc w:val="both"/>
        <w:rPr>
          <w:sz w:val="28"/>
          <w:szCs w:val="28"/>
        </w:rPr>
      </w:pPr>
    </w:p>
    <w:p w14:paraId="7613C0D0" w14:textId="12A1877A" w:rsidR="00336811" w:rsidRDefault="00336811" w:rsidP="00BE4B72">
      <w:pPr>
        <w:pStyle w:val="Default"/>
        <w:jc w:val="both"/>
        <w:rPr>
          <w:sz w:val="28"/>
          <w:szCs w:val="28"/>
        </w:rPr>
      </w:pPr>
      <w:r>
        <w:rPr>
          <w:sz w:val="28"/>
          <w:szCs w:val="28"/>
        </w:rPr>
        <w:t xml:space="preserve">RUTH ELENA GALVIS VERGARA </w:t>
      </w:r>
    </w:p>
    <w:p w14:paraId="6ED8EAB7" w14:textId="77777777" w:rsidR="00336811" w:rsidRDefault="00336811" w:rsidP="00BE4B72">
      <w:pPr>
        <w:pStyle w:val="Default"/>
        <w:jc w:val="both"/>
        <w:rPr>
          <w:sz w:val="28"/>
          <w:szCs w:val="28"/>
        </w:rPr>
      </w:pPr>
      <w:r>
        <w:rPr>
          <w:sz w:val="28"/>
          <w:szCs w:val="28"/>
        </w:rPr>
        <w:t xml:space="preserve">Magistrada </w:t>
      </w:r>
    </w:p>
    <w:p w14:paraId="0DBFA688" w14:textId="77777777" w:rsidR="00BE4B72" w:rsidRDefault="00BE4B72" w:rsidP="00BE4B72">
      <w:pPr>
        <w:pStyle w:val="Default"/>
        <w:jc w:val="both"/>
        <w:rPr>
          <w:rFonts w:ascii="Arial" w:hAnsi="Arial" w:cs="Arial"/>
          <w:color w:val="auto"/>
          <w:sz w:val="16"/>
          <w:szCs w:val="16"/>
        </w:rPr>
      </w:pPr>
    </w:p>
    <w:p w14:paraId="01F5EC7E" w14:textId="77777777" w:rsidR="00BE4B72" w:rsidRDefault="00BE4B72" w:rsidP="00BE4B72">
      <w:pPr>
        <w:pStyle w:val="Default"/>
        <w:jc w:val="both"/>
        <w:rPr>
          <w:rFonts w:ascii="Arial" w:hAnsi="Arial" w:cs="Arial"/>
          <w:color w:val="auto"/>
          <w:sz w:val="16"/>
          <w:szCs w:val="16"/>
        </w:rPr>
      </w:pPr>
    </w:p>
    <w:p w14:paraId="546725C2" w14:textId="77777777" w:rsidR="00BE4B72" w:rsidRDefault="00BE4B72" w:rsidP="00BE4B72">
      <w:pPr>
        <w:pStyle w:val="Default"/>
        <w:jc w:val="both"/>
        <w:rPr>
          <w:rFonts w:ascii="Arial" w:hAnsi="Arial" w:cs="Arial"/>
          <w:color w:val="auto"/>
          <w:sz w:val="16"/>
          <w:szCs w:val="16"/>
        </w:rPr>
      </w:pPr>
    </w:p>
    <w:p w14:paraId="3994737E" w14:textId="77777777" w:rsidR="00BE4B72" w:rsidRDefault="00BE4B72" w:rsidP="00BE4B72">
      <w:pPr>
        <w:pStyle w:val="Default"/>
        <w:jc w:val="both"/>
        <w:rPr>
          <w:rFonts w:ascii="Arial" w:hAnsi="Arial" w:cs="Arial"/>
          <w:color w:val="auto"/>
          <w:sz w:val="16"/>
          <w:szCs w:val="16"/>
        </w:rPr>
      </w:pPr>
    </w:p>
    <w:p w14:paraId="12B151C3" w14:textId="14206376" w:rsidR="00336811" w:rsidRDefault="00336811" w:rsidP="00BE4B72">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379A733E" w14:textId="77777777" w:rsidR="00336811" w:rsidRDefault="00336811" w:rsidP="00BE4B72">
      <w:pPr>
        <w:pStyle w:val="Default"/>
        <w:jc w:val="both"/>
        <w:rPr>
          <w:rFonts w:ascii="Arial" w:hAnsi="Arial" w:cs="Arial"/>
          <w:color w:val="auto"/>
          <w:sz w:val="16"/>
          <w:szCs w:val="16"/>
        </w:rPr>
      </w:pPr>
      <w:r>
        <w:rPr>
          <w:rFonts w:ascii="Arial" w:hAnsi="Arial" w:cs="Arial"/>
          <w:color w:val="auto"/>
          <w:sz w:val="16"/>
          <w:szCs w:val="16"/>
        </w:rPr>
        <w:t xml:space="preserve">Ruth Elena Galvis Vergara </w:t>
      </w:r>
    </w:p>
    <w:p w14:paraId="3B43DD5A" w14:textId="77777777" w:rsidR="00336811" w:rsidRDefault="00336811" w:rsidP="00BE4B72">
      <w:pPr>
        <w:pStyle w:val="Default"/>
        <w:jc w:val="both"/>
        <w:rPr>
          <w:rFonts w:ascii="Arial" w:hAnsi="Arial" w:cs="Arial"/>
          <w:color w:val="auto"/>
          <w:sz w:val="16"/>
          <w:szCs w:val="16"/>
        </w:rPr>
      </w:pPr>
      <w:r>
        <w:rPr>
          <w:rFonts w:ascii="Arial" w:hAnsi="Arial" w:cs="Arial"/>
          <w:color w:val="auto"/>
          <w:sz w:val="16"/>
          <w:szCs w:val="16"/>
        </w:rPr>
        <w:t xml:space="preserve">Magistrada Sala Civil </w:t>
      </w:r>
    </w:p>
    <w:p w14:paraId="358F98A4" w14:textId="77777777" w:rsidR="00336811" w:rsidRDefault="00336811" w:rsidP="00BE4B72">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60DFA856" w14:textId="77777777" w:rsidR="00336811" w:rsidRDefault="00336811" w:rsidP="00BE4B72">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7F49E67F" w14:textId="77777777" w:rsidR="00336811" w:rsidRDefault="00336811" w:rsidP="00BE4B72">
      <w:pPr>
        <w:pStyle w:val="Default"/>
        <w:jc w:val="both"/>
        <w:rPr>
          <w:rFonts w:ascii="Arial" w:hAnsi="Arial" w:cs="Arial"/>
          <w:color w:val="auto"/>
          <w:sz w:val="16"/>
          <w:szCs w:val="16"/>
        </w:rPr>
      </w:pPr>
      <w:r>
        <w:rPr>
          <w:rFonts w:ascii="Arial" w:hAnsi="Arial" w:cs="Arial"/>
          <w:color w:val="auto"/>
          <w:sz w:val="16"/>
          <w:szCs w:val="16"/>
        </w:rPr>
        <w:lastRenderedPageBreak/>
        <w:t xml:space="preserve">conforme a lo dispuesto en la Ley 527/99 y el decreto reglamentario 2364/12 </w:t>
      </w:r>
    </w:p>
    <w:p w14:paraId="511C8E9F" w14:textId="77777777" w:rsidR="00336811" w:rsidRDefault="00336811" w:rsidP="00BE4B72">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4F984699" w14:textId="77777777" w:rsidR="00336811" w:rsidRDefault="00336811" w:rsidP="00BE4B72">
      <w:pPr>
        <w:pStyle w:val="Default"/>
        <w:jc w:val="both"/>
        <w:rPr>
          <w:rFonts w:ascii="Arial" w:hAnsi="Arial" w:cs="Arial"/>
          <w:color w:val="auto"/>
          <w:sz w:val="16"/>
          <w:szCs w:val="16"/>
        </w:rPr>
      </w:pPr>
      <w:r>
        <w:rPr>
          <w:rFonts w:ascii="Arial" w:hAnsi="Arial" w:cs="Arial"/>
          <w:color w:val="auto"/>
          <w:sz w:val="16"/>
          <w:szCs w:val="16"/>
        </w:rPr>
        <w:t xml:space="preserve">de516453100f3cc8f3f61a0f2c9516eeb0fe8a2d38934c628a543d495d9cd23c </w:t>
      </w:r>
    </w:p>
    <w:p w14:paraId="1FD93772" w14:textId="77777777" w:rsidR="00336811" w:rsidRDefault="00336811" w:rsidP="00BE4B72">
      <w:pPr>
        <w:pStyle w:val="Default"/>
        <w:jc w:val="both"/>
        <w:rPr>
          <w:rFonts w:ascii="Arial" w:hAnsi="Arial" w:cs="Arial"/>
          <w:color w:val="auto"/>
          <w:sz w:val="16"/>
          <w:szCs w:val="16"/>
        </w:rPr>
      </w:pPr>
      <w:r>
        <w:rPr>
          <w:rFonts w:ascii="Arial" w:hAnsi="Arial" w:cs="Arial"/>
          <w:color w:val="auto"/>
          <w:sz w:val="16"/>
          <w:szCs w:val="16"/>
        </w:rPr>
        <w:t xml:space="preserve">Documento generado en 19/02/2024 08:00:37 AM </w:t>
      </w:r>
    </w:p>
    <w:p w14:paraId="6B30DE69" w14:textId="77777777" w:rsidR="00336811" w:rsidRDefault="00336811" w:rsidP="00BE4B72">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39E9CACF" w14:textId="4CD165B8" w:rsidR="00B9243D" w:rsidRDefault="00336811" w:rsidP="00BE4B72">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11"/>
    <w:rsid w:val="000F63B7"/>
    <w:rsid w:val="00336811"/>
    <w:rsid w:val="00737460"/>
    <w:rsid w:val="00B9243D"/>
    <w:rsid w:val="00BE4B72"/>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AE50"/>
  <w15:chartTrackingRefBased/>
  <w15:docId w15:val="{A416124E-B7FF-4B93-9152-486C78BE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36811"/>
    <w:pPr>
      <w:autoSpaceDE w:val="0"/>
      <w:autoSpaceDN w:val="0"/>
      <w:adjustRightInd w:val="0"/>
      <w:spacing w:after="0" w:line="240" w:lineRule="auto"/>
    </w:pPr>
    <w:rPr>
      <w:rFonts w:ascii="Arial Rounded MT Bold" w:hAnsi="Arial Rounded MT Bold" w:cs="Arial Rounded MT Bold"/>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573</Words>
  <Characters>3153</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2024-02-20T21:34:00Z</dcterms:created>
  <dcterms:modified xsi:type="dcterms:W3CDTF">2024-02-20T22:10:00Z</dcterms:modified>
</cp:coreProperties>
</file>