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9E68" w14:textId="77777777" w:rsidR="002D68D3" w:rsidRDefault="002D68D3" w:rsidP="002D68D3">
      <w:pPr>
        <w:autoSpaceDE w:val="0"/>
        <w:autoSpaceDN w:val="0"/>
        <w:adjustRightInd w:val="0"/>
        <w:spacing w:after="0" w:line="240" w:lineRule="auto"/>
        <w:jc w:val="right"/>
        <w:rPr>
          <w:rFonts w:ascii="BookmanOldStyle" w:hAnsi="BookmanOldStyle" w:cs="BookmanOldStyle"/>
          <w:color w:val="818181"/>
          <w:kern w:val="0"/>
          <w:lang w:val="es-CO"/>
        </w:rPr>
      </w:pPr>
      <w:r>
        <w:rPr>
          <w:rFonts w:ascii="BookmanOldStyle" w:hAnsi="BookmanOldStyle" w:cs="BookmanOldStyle"/>
          <w:color w:val="818181"/>
          <w:kern w:val="0"/>
          <w:lang w:val="es-CO"/>
        </w:rPr>
        <w:t xml:space="preserve">Radicación </w:t>
      </w:r>
      <w:proofErr w:type="spellStart"/>
      <w:r>
        <w:rPr>
          <w:rFonts w:ascii="BookmanOldStyle" w:hAnsi="BookmanOldStyle" w:cs="BookmanOldStyle"/>
          <w:color w:val="818181"/>
          <w:kern w:val="0"/>
          <w:lang w:val="es-CO"/>
        </w:rPr>
        <w:t>n.°</w:t>
      </w:r>
      <w:proofErr w:type="spellEnd"/>
      <w:r>
        <w:rPr>
          <w:rFonts w:ascii="BookmanOldStyle" w:hAnsi="BookmanOldStyle" w:cs="BookmanOldStyle"/>
          <w:color w:val="818181"/>
          <w:kern w:val="0"/>
          <w:lang w:val="es-CO"/>
        </w:rPr>
        <w:t xml:space="preserve"> 029201700014 – 01</w:t>
      </w:r>
    </w:p>
    <w:p w14:paraId="5E68FA14" w14:textId="77777777" w:rsidR="00C46E55" w:rsidRDefault="00C46E55" w:rsidP="00C46E55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</w:pPr>
    </w:p>
    <w:p w14:paraId="6DCE5DC5" w14:textId="70DEBE4A" w:rsidR="002D68D3" w:rsidRDefault="002D68D3" w:rsidP="00C46E55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  <w:t>TRIBUNAL SUPERIOR DEL DISTRITO JUDICIAL</w:t>
      </w:r>
      <w:r w:rsidR="00C46E55"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  <w:t>DE BOGOTÁ D.C.</w:t>
      </w:r>
    </w:p>
    <w:p w14:paraId="5678485D" w14:textId="77777777" w:rsidR="00C46E55" w:rsidRDefault="00C46E55" w:rsidP="00C46E55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</w:pPr>
    </w:p>
    <w:p w14:paraId="20F049E7" w14:textId="2C37099B" w:rsidR="002D68D3" w:rsidRDefault="002D68D3" w:rsidP="00C46E55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  <w:t>LORENZO TORRES RUSSY</w:t>
      </w:r>
    </w:p>
    <w:p w14:paraId="3D4FD5CB" w14:textId="77777777" w:rsidR="002D68D3" w:rsidRDefault="002D68D3" w:rsidP="00C46E55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  <w:t>Magistrado ponente</w:t>
      </w:r>
    </w:p>
    <w:p w14:paraId="57E0F233" w14:textId="77777777" w:rsidR="00C46E55" w:rsidRDefault="00C46E55" w:rsidP="00C46E55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</w:p>
    <w:p w14:paraId="66F4240C" w14:textId="5F7CF572" w:rsidR="002D68D3" w:rsidRDefault="002D68D3" w:rsidP="00C46E55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Bogotá, D.C., treinta y uno (31) de enero de dos mil</w:t>
      </w:r>
      <w:r w:rsidR="00C46E55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veinticuatro (2024).</w:t>
      </w:r>
    </w:p>
    <w:p w14:paraId="49281A2F" w14:textId="77777777" w:rsidR="00C46E55" w:rsidRDefault="00C46E55" w:rsidP="00C46E55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</w:p>
    <w:p w14:paraId="54F077B3" w14:textId="77777777" w:rsidR="00C46E55" w:rsidRDefault="00C46E55" w:rsidP="00C46E55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</w:p>
    <w:p w14:paraId="34D57469" w14:textId="6A28E791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Procede la Sala al estudio del recurso de reposición,</w:t>
      </w:r>
      <w:r w:rsidR="009A7EE0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interpuesto por la por la parte demandante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  <w:t>LICED FAINORY</w:t>
      </w:r>
      <w:r w:rsidR="009A7EE0"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  <w:t>VALENCIA AGUILAR</w:t>
      </w:r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contra el auto de fecha diez (10) de</w:t>
      </w:r>
      <w:r w:rsidR="009A7EE0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julio de dos mil veintitrés (2023)</w:t>
      </w:r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mediante el cual se decidió</w:t>
      </w:r>
      <w:r w:rsidR="009A7EE0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negar el recurso de casación presentado contra la sentencia</w:t>
      </w:r>
      <w:r w:rsidR="009A7EE0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proferida el 28 de febrero de 2022, dentro del proceso ordinario</w:t>
      </w:r>
      <w:r w:rsidR="009A7EE0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laboral promovido en contra de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  <w:t>CONSTRUCTORA MAJUMI</w:t>
      </w:r>
      <w:r w:rsidR="009A7EE0"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  <w:t>S.A.S EN LIQUIDACIÓN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,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  <w:t>METACONSTRUCCIONES S.A.S. EN</w:t>
      </w:r>
      <w:r w:rsidR="009A7EE0"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  <w:t xml:space="preserve">LIQUIDACIÓN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y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  <w:t>JORGE OLMEDO MURILLO.</w:t>
      </w:r>
    </w:p>
    <w:p w14:paraId="50AED6A4" w14:textId="77777777" w:rsidR="009A7EE0" w:rsidRDefault="009A7EE0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</w:p>
    <w:p w14:paraId="50FA49B3" w14:textId="4992D4EE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A efectos de resolver lo pertinente se hacen las</w:t>
      </w:r>
      <w:r w:rsidR="009A7EE0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siguientes,</w:t>
      </w:r>
    </w:p>
    <w:p w14:paraId="1E7D8A28" w14:textId="77777777" w:rsidR="009A7EE0" w:rsidRDefault="009A7EE0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</w:pPr>
    </w:p>
    <w:p w14:paraId="2CEA4772" w14:textId="5E6D3455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  <w:t>CONSIDERACIONES</w:t>
      </w:r>
    </w:p>
    <w:p w14:paraId="4DE4F4D2" w14:textId="77777777" w:rsidR="009A7EE0" w:rsidRDefault="009A7EE0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</w:p>
    <w:p w14:paraId="73C16DB8" w14:textId="77777777" w:rsidR="009A7EE0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En primer lugar, respecto al recurso de reposición</w:t>
      </w:r>
      <w:r w:rsidR="009A7EE0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interpuesto en contra del auto que denegó el recurso de</w:t>
      </w:r>
      <w:r w:rsidR="009A7EE0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casación a la parte demandante de acuerdo a lo establecido</w:t>
      </w:r>
      <w:r w:rsidR="009A7EE0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en los artículos 63 y 64 del Código Procesal del Trabajo y de</w:t>
      </w:r>
      <w:r w:rsidR="009A7EE0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la Seguridad Social, establece que el recurso de reposición es</w:t>
      </w:r>
      <w:r w:rsidR="009A7EE0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procedente. </w:t>
      </w:r>
    </w:p>
    <w:p w14:paraId="0334ABD4" w14:textId="77777777" w:rsidR="009A7EE0" w:rsidRDefault="009A7EE0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</w:p>
    <w:p w14:paraId="1CF01918" w14:textId="5E9B345D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Asimismo, con arreglo a lo establecido en el</w:t>
      </w:r>
      <w:r w:rsidR="009A7EE0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artículo 352 y 353 del CGP el recurso de queja procede en</w:t>
      </w:r>
      <w:r w:rsidR="009A7EE0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subsidio del de reposición.</w:t>
      </w:r>
    </w:p>
    <w:p w14:paraId="60B94F6B" w14:textId="77777777" w:rsidR="009A7EE0" w:rsidRDefault="009A7EE0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</w:p>
    <w:p w14:paraId="11C23250" w14:textId="1CE0A898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Conforme a lo anterior, procede la Sala a estudiar el</w:t>
      </w:r>
      <w:r w:rsidR="009A7EE0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recurso de reposición interpuesto en el término de la</w:t>
      </w:r>
      <w:r w:rsidR="009A7EE0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ejecutoria, analizando nuevamente las pretensiones</w:t>
      </w:r>
      <w:r w:rsidR="009A7EE0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negadas, teniendo en cuenta que el fallo de segunda</w:t>
      </w:r>
      <w:r w:rsidR="009A7EE0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instancia modificó los ordinales 1° y 3°, en el sentido de</w:t>
      </w:r>
      <w:r w:rsidR="009A7EE0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establecer como extremos laborales del contrato de trabajo el</w:t>
      </w:r>
      <w:r w:rsidR="009A7EE0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periodo comprendido entre el 22 de julio de 2014 y el 21 de</w:t>
      </w:r>
      <w:r w:rsidR="009A7EE0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julio de 2015 y determinó la suma de $59’306.911,00 por</w:t>
      </w:r>
    </w:p>
    <w:p w14:paraId="3D8DFB6F" w14:textId="6F4227BC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concepto de lucro cesante consolidado, confirmó en lo demás</w:t>
      </w:r>
      <w:r w:rsidR="009A7EE0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la sentencia condenatoria del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8"/>
          <w:szCs w:val="28"/>
          <w:lang w:val="es-CO"/>
        </w:rPr>
        <w:t>a quo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.</w:t>
      </w:r>
      <w:r w:rsidR="009A7EE0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</w:p>
    <w:p w14:paraId="3D8D8360" w14:textId="5C61E8F9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lastRenderedPageBreak/>
        <w:t>Las condenas impuestas en primera instancia se</w:t>
      </w:r>
      <w:r w:rsidR="009A7EE0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encuentran determinadas de la siguiente manera:</w:t>
      </w:r>
    </w:p>
    <w:p w14:paraId="59442D4E" w14:textId="77777777" w:rsidR="009A7EE0" w:rsidRDefault="009A7EE0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</w:p>
    <w:p w14:paraId="78F5CA32" w14:textId="77777777" w:rsidR="002D68D3" w:rsidRDefault="002D68D3" w:rsidP="00810B09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</w:pP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RESUELVE</w:t>
      </w:r>
    </w:p>
    <w:p w14:paraId="168D6346" w14:textId="77777777" w:rsidR="009A7EE0" w:rsidRDefault="009A7EE0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Italic" w:hAnsi="BookmanOldStyle-BoldItalic" w:cs="BookmanOldStyle-BoldItalic"/>
          <w:b/>
          <w:bCs/>
          <w:i/>
          <w:iCs/>
          <w:color w:val="000000"/>
          <w:kern w:val="0"/>
          <w:sz w:val="20"/>
          <w:szCs w:val="20"/>
          <w:lang w:val="es-CO"/>
        </w:rPr>
      </w:pPr>
    </w:p>
    <w:p w14:paraId="565E7882" w14:textId="17D81549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</w:pPr>
      <w:r>
        <w:rPr>
          <w:rFonts w:ascii="BookmanOldStyle-BoldItalic" w:hAnsi="BookmanOldStyle-BoldItalic" w:cs="BookmanOldStyle-BoldItalic"/>
          <w:b/>
          <w:bCs/>
          <w:i/>
          <w:iCs/>
          <w:color w:val="000000"/>
          <w:kern w:val="0"/>
          <w:sz w:val="20"/>
          <w:szCs w:val="20"/>
          <w:lang w:val="es-CO"/>
        </w:rPr>
        <w:t>PRIMERO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 xml:space="preserve">: </w:t>
      </w:r>
      <w:r>
        <w:rPr>
          <w:rFonts w:ascii="BookmanOldStyle-BoldItalic" w:hAnsi="BookmanOldStyle-BoldItalic" w:cs="BookmanOldStyle-BoldItalic"/>
          <w:b/>
          <w:bCs/>
          <w:i/>
          <w:iCs/>
          <w:color w:val="000000"/>
          <w:kern w:val="0"/>
          <w:sz w:val="20"/>
          <w:szCs w:val="20"/>
          <w:lang w:val="es-CO"/>
        </w:rPr>
        <w:t xml:space="preserve">DECLARAR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que entré el señor JORGE OLMEDO MURILLO GALLEGO</w:t>
      </w:r>
      <w:r w:rsidR="009A7EE0"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identificado con C.C. No. 6.138.934 y el señor Juan Pablo Gamboa Contreras</w:t>
      </w:r>
      <w:r w:rsidR="009A7EE0"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identificado con la C.C. No. 1.121.855.410 (Q.E.P.D.) existió un contrato de</w:t>
      </w:r>
      <w:r w:rsidR="009A7EE0"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trabajo el cual estaba vigente al momento de la ocurrencia del accidente de</w:t>
      </w:r>
      <w:r w:rsidR="009A7EE0"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trabajo ocurrido el 21 de julio de 2015.</w:t>
      </w:r>
    </w:p>
    <w:p w14:paraId="571AE95C" w14:textId="77777777" w:rsidR="009A7EE0" w:rsidRDefault="009A7EE0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Italic" w:hAnsi="BookmanOldStyle-BoldItalic" w:cs="BookmanOldStyle-BoldItalic"/>
          <w:b/>
          <w:bCs/>
          <w:i/>
          <w:iCs/>
          <w:color w:val="000000"/>
          <w:kern w:val="0"/>
          <w:sz w:val="20"/>
          <w:szCs w:val="20"/>
          <w:lang w:val="es-CO"/>
        </w:rPr>
      </w:pPr>
    </w:p>
    <w:p w14:paraId="55FDA50A" w14:textId="77232A66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</w:pPr>
      <w:r>
        <w:rPr>
          <w:rFonts w:ascii="BookmanOldStyle-BoldItalic" w:hAnsi="BookmanOldStyle-BoldItalic" w:cs="BookmanOldStyle-BoldItalic"/>
          <w:b/>
          <w:bCs/>
          <w:i/>
          <w:iCs/>
          <w:color w:val="000000"/>
          <w:kern w:val="0"/>
          <w:sz w:val="20"/>
          <w:szCs w:val="20"/>
          <w:lang w:val="es-CO"/>
        </w:rPr>
        <w:t xml:space="preserve">SEGUNDO: DECLARAR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solidariamente responsables de las empresas</w:t>
      </w:r>
      <w:r w:rsidR="009A7EE0"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CONSTRUCTORA MAJUMI SAS y METACONSTRUCCIONES SAS que conforman</w:t>
      </w:r>
      <w:r w:rsidR="009A7EE0"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LA UNIÓN TEMPORAL LA FONTANA, del pago de las acreencias laborales</w:t>
      </w:r>
      <w:r w:rsidR="009A7EE0"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reclamadas en la demanda.</w:t>
      </w:r>
    </w:p>
    <w:p w14:paraId="00F0E5F5" w14:textId="77777777" w:rsidR="009A7EE0" w:rsidRDefault="009A7EE0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Italic" w:hAnsi="BookmanOldStyle-BoldItalic" w:cs="BookmanOldStyle-BoldItalic"/>
          <w:b/>
          <w:bCs/>
          <w:i/>
          <w:iCs/>
          <w:color w:val="000000"/>
          <w:kern w:val="0"/>
          <w:sz w:val="20"/>
          <w:szCs w:val="20"/>
          <w:lang w:val="es-CO"/>
        </w:rPr>
      </w:pPr>
    </w:p>
    <w:p w14:paraId="30DCB246" w14:textId="74B7B55B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</w:pPr>
      <w:r>
        <w:rPr>
          <w:rFonts w:ascii="BookmanOldStyle-BoldItalic" w:hAnsi="BookmanOldStyle-BoldItalic" w:cs="BookmanOldStyle-BoldItalic"/>
          <w:b/>
          <w:bCs/>
          <w:i/>
          <w:iCs/>
          <w:color w:val="000000"/>
          <w:kern w:val="0"/>
          <w:sz w:val="20"/>
          <w:szCs w:val="20"/>
          <w:lang w:val="es-CO"/>
        </w:rPr>
        <w:t xml:space="preserve">TERCERO: CONDENAR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al Señor JORGE OLMEDO MURILLO GALLEGO y</w:t>
      </w:r>
      <w:r w:rsidR="009A7EE0"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solidariamente a las empresas a pagar a favor de la demandante señora LICED</w:t>
      </w:r>
      <w:r w:rsidR="009A7EE0"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FAINORY VALENCIA AGUILAR y a su menor hijo JUAN ESTEBAN GAMBOA</w:t>
      </w:r>
      <w:r w:rsidR="009A7EE0"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VALENCIA la indemnización plena de perjuicios así: la suma de $71.089.589 ,91</w:t>
      </w:r>
      <w:r w:rsidR="009A7EE0"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por lucro cesante consolidado y la suma de 187.060.992,86 Cómo el lucro cesante</w:t>
      </w:r>
      <w:r w:rsidR="009A7EE0"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Futuro para un total de $258.150.582,77, en un porcentaje del 50% para cada</w:t>
      </w:r>
      <w:r w:rsidR="009A7EE0"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uno de conformidad con lo expuesto en la parte motiva.</w:t>
      </w:r>
    </w:p>
    <w:p w14:paraId="40B649DE" w14:textId="77777777" w:rsidR="009A7EE0" w:rsidRDefault="009A7EE0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Italic" w:hAnsi="BookmanOldStyle-BoldItalic" w:cs="BookmanOldStyle-BoldItalic"/>
          <w:b/>
          <w:bCs/>
          <w:i/>
          <w:iCs/>
          <w:color w:val="000000"/>
          <w:kern w:val="0"/>
          <w:sz w:val="20"/>
          <w:szCs w:val="20"/>
          <w:lang w:val="es-CO"/>
        </w:rPr>
      </w:pPr>
    </w:p>
    <w:p w14:paraId="7375D7CE" w14:textId="33E8B96F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</w:pPr>
      <w:r>
        <w:rPr>
          <w:rFonts w:ascii="BookmanOldStyle-BoldItalic" w:hAnsi="BookmanOldStyle-BoldItalic" w:cs="BookmanOldStyle-BoldItalic"/>
          <w:b/>
          <w:bCs/>
          <w:i/>
          <w:iCs/>
          <w:color w:val="000000"/>
          <w:kern w:val="0"/>
          <w:sz w:val="20"/>
          <w:szCs w:val="20"/>
          <w:lang w:val="es-CO"/>
        </w:rPr>
        <w:t xml:space="preserve">CUARTO: CONDENAR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al Señor JORGE OLMEDO MURILLO GALLEGO y</w:t>
      </w:r>
      <w:r w:rsidR="009A7EE0"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solidariamente a las empresas CONSTRUCTORA MAJUMI SAS y</w:t>
      </w:r>
      <w:r w:rsidR="009A7EE0"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METACONSTRUCCIONES SAS que conforman LA UNIÓN TEMPORAL LA</w:t>
      </w:r>
      <w:r w:rsidR="009A7EE0"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FONTANA, a pagar los perjuicios morales así:</w:t>
      </w:r>
    </w:p>
    <w:p w14:paraId="6E1ACE74" w14:textId="77777777" w:rsidR="009A7EE0" w:rsidRDefault="009A7EE0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</w:pPr>
    </w:p>
    <w:p w14:paraId="0AE4DE2B" w14:textId="021EAE8B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</w:pP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LICED FAINORY VALENCIA AGUILAR (compañera): 50 SMLMV</w:t>
      </w:r>
    </w:p>
    <w:p w14:paraId="092BD37E" w14:textId="77777777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</w:pP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JUAN ESTEBAN GAMBOA VALENCIA (hijo): 50 SMLMV</w:t>
      </w:r>
    </w:p>
    <w:p w14:paraId="715D4144" w14:textId="77777777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</w:pP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EMMA CONTRERAS (madre): 70 SMLMV</w:t>
      </w:r>
    </w:p>
    <w:p w14:paraId="219DCC42" w14:textId="77777777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</w:pP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JUAN BAUTISTA GAMBOA LEON (padre): 50 SMLMV</w:t>
      </w:r>
    </w:p>
    <w:p w14:paraId="655EA166" w14:textId="77777777" w:rsidR="009A7EE0" w:rsidRDefault="009A7EE0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Italic" w:hAnsi="BookmanOldStyle-BoldItalic" w:cs="BookmanOldStyle-BoldItalic"/>
          <w:b/>
          <w:bCs/>
          <w:i/>
          <w:iCs/>
          <w:color w:val="000000"/>
          <w:kern w:val="0"/>
          <w:sz w:val="20"/>
          <w:szCs w:val="20"/>
          <w:lang w:val="es-CO"/>
        </w:rPr>
      </w:pPr>
    </w:p>
    <w:p w14:paraId="3163209F" w14:textId="52D0D7AC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</w:pPr>
      <w:r>
        <w:rPr>
          <w:rFonts w:ascii="BookmanOldStyle-BoldItalic" w:hAnsi="BookmanOldStyle-BoldItalic" w:cs="BookmanOldStyle-BoldItalic"/>
          <w:b/>
          <w:bCs/>
          <w:i/>
          <w:iCs/>
          <w:color w:val="000000"/>
          <w:kern w:val="0"/>
          <w:sz w:val="20"/>
          <w:szCs w:val="20"/>
          <w:lang w:val="es-CO"/>
        </w:rPr>
        <w:t xml:space="preserve">QUINTO: CONDENAR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al señor JORGE OLMEDO MURILLO GALLEGO y</w:t>
      </w:r>
      <w:r w:rsidR="00810B09"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solidariamente a las empresas CONSTRUCTORA MAJUMI SAS y</w:t>
      </w:r>
      <w:r w:rsidR="00810B09"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METACONSTRUCCIONES SAS que conforman LA UNIÓN TEMPORAL LA</w:t>
      </w:r>
      <w:r w:rsidR="00810B09"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FONTANA, al reconocimiento de la pensión de sobrevivientes a la señora en un</w:t>
      </w:r>
      <w:r w:rsidR="00810B09"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50% a la señora LICED FAINORY VALENCIA AGUILAR, en calidad de compañera</w:t>
      </w:r>
      <w:r w:rsidR="00810B09"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permanente del causante y en un 50% al menor JUAN ESTEBAN GAMBOA</w:t>
      </w:r>
      <w:r w:rsidR="00810B09"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VALENCIA en calidad de hijo del causante hasta los 18 años o hasta los 25 si se</w:t>
      </w:r>
      <w:r w:rsidR="00810B09"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acredita que sigue estudiando, en cuantía de un salario mínimo y por 13</w:t>
      </w:r>
      <w:r w:rsidR="00810B09"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mensualidades al año.</w:t>
      </w:r>
    </w:p>
    <w:p w14:paraId="539A998B" w14:textId="77777777" w:rsidR="00810B09" w:rsidRDefault="00810B09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Italic" w:hAnsi="BookmanOldStyle-BoldItalic" w:cs="BookmanOldStyle-BoldItalic"/>
          <w:b/>
          <w:bCs/>
          <w:i/>
          <w:iCs/>
          <w:color w:val="000000"/>
          <w:kern w:val="0"/>
          <w:sz w:val="20"/>
          <w:szCs w:val="20"/>
          <w:lang w:val="es-CO"/>
        </w:rPr>
      </w:pPr>
    </w:p>
    <w:p w14:paraId="4A01C43C" w14:textId="44D9BE60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</w:pPr>
      <w:r>
        <w:rPr>
          <w:rFonts w:ascii="BookmanOldStyle-BoldItalic" w:hAnsi="BookmanOldStyle-BoldItalic" w:cs="BookmanOldStyle-BoldItalic"/>
          <w:b/>
          <w:bCs/>
          <w:i/>
          <w:iCs/>
          <w:color w:val="000000"/>
          <w:kern w:val="0"/>
          <w:sz w:val="20"/>
          <w:szCs w:val="20"/>
          <w:lang w:val="es-CO"/>
        </w:rPr>
        <w:t xml:space="preserve">SEXTO: ABSOLVER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al señor JORGE OLMEDO MURILLO GALLEGO y</w:t>
      </w:r>
      <w:r w:rsidR="00810B09"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solidariamente a las empresas CONSTRUCTORA MAJUMI SAS y</w:t>
      </w:r>
      <w:r w:rsidR="00810B09"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METACONSTRUCCIONES SAS que conforman LA UNIÓN TEMPORAL LA</w:t>
      </w:r>
      <w:r w:rsidR="00810B09"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FONTANA del pago de las prestaciones sociales reclamadas.</w:t>
      </w:r>
    </w:p>
    <w:p w14:paraId="0E45D9C8" w14:textId="77777777" w:rsidR="00810B09" w:rsidRDefault="00810B09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Italic" w:hAnsi="BookmanOldStyle-BoldItalic" w:cs="BookmanOldStyle-BoldItalic"/>
          <w:b/>
          <w:bCs/>
          <w:i/>
          <w:iCs/>
          <w:color w:val="000000"/>
          <w:kern w:val="0"/>
          <w:sz w:val="20"/>
          <w:szCs w:val="20"/>
          <w:lang w:val="es-CO"/>
        </w:rPr>
      </w:pPr>
    </w:p>
    <w:p w14:paraId="4487676F" w14:textId="09EBC93B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</w:pPr>
      <w:r>
        <w:rPr>
          <w:rFonts w:ascii="BookmanOldStyle-BoldItalic" w:hAnsi="BookmanOldStyle-BoldItalic" w:cs="BookmanOldStyle-BoldItalic"/>
          <w:b/>
          <w:bCs/>
          <w:i/>
          <w:iCs/>
          <w:color w:val="000000"/>
          <w:kern w:val="0"/>
          <w:sz w:val="20"/>
          <w:szCs w:val="20"/>
          <w:lang w:val="es-CO"/>
        </w:rPr>
        <w:t xml:space="preserve">SÉPTIMO: ABSOLVER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a la empresa BIENESTAR SOCIAL MT SAS y a la ARL LA</w:t>
      </w:r>
      <w:r w:rsidR="00810B09"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EQUIDAD SEGUROS DE VIDA de todas y cada una de las pretensiones incoadas</w:t>
      </w:r>
      <w:r w:rsidR="00810B09"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en su contra.</w:t>
      </w:r>
    </w:p>
    <w:p w14:paraId="7BD06F1C" w14:textId="77777777" w:rsidR="00810B09" w:rsidRDefault="00810B09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</w:pPr>
    </w:p>
    <w:p w14:paraId="72895391" w14:textId="16093333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</w:pPr>
      <w:r>
        <w:rPr>
          <w:rFonts w:ascii="BookmanOldStyle-BoldItalic" w:hAnsi="BookmanOldStyle-BoldItalic" w:cs="BookmanOldStyle-BoldItalic"/>
          <w:b/>
          <w:bCs/>
          <w:i/>
          <w:iCs/>
          <w:color w:val="000000"/>
          <w:kern w:val="0"/>
          <w:sz w:val="20"/>
          <w:szCs w:val="20"/>
          <w:lang w:val="es-CO"/>
        </w:rPr>
        <w:t xml:space="preserve">OCTAVO: CONDENAR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en costas a la parte demandada fijando como agencias</w:t>
      </w:r>
      <w:r w:rsidR="00810B09"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0"/>
          <w:szCs w:val="20"/>
          <w:lang w:val="es-CO"/>
        </w:rPr>
        <w:t>en derecho la suma de 10.000.000.”</w:t>
      </w:r>
    </w:p>
    <w:p w14:paraId="68C215CA" w14:textId="77777777" w:rsidR="00810B09" w:rsidRDefault="00810B09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</w:p>
    <w:p w14:paraId="5F9EB332" w14:textId="2B22C188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De acuerdo con lo anterior, se procede a realizar</w:t>
      </w:r>
      <w:r w:rsidR="00810B09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nuevamente los cálculos correspondientes teniendo en</w:t>
      </w:r>
      <w:r w:rsidR="00810B09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cuenta que la parte demandante en el recurso de reposición</w:t>
      </w:r>
      <w:r w:rsidR="00810B09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argumenta en síntesis lo siguiente:</w:t>
      </w:r>
    </w:p>
    <w:p w14:paraId="66786B2F" w14:textId="77777777" w:rsidR="00810B09" w:rsidRDefault="00810B09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56505B6F" w14:textId="48F99A60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lastRenderedPageBreak/>
        <w:t>[…]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Desconoce el auto objeto de este recurso que, le asiste a la parte</w:t>
      </w:r>
      <w:r w:rsidR="000F581F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demandante interés jurídico y económico en la proposición del recurso</w:t>
      </w:r>
      <w:r w:rsidR="000F581F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extraordinario, en tanto fue objeto de apelación no solo la cuantía de los</w:t>
      </w:r>
      <w:r w:rsidR="000F581F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perjuicios reconocidos, sino a cargo de quien debía estar la pensión de</w:t>
      </w:r>
      <w:r w:rsidR="000F581F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sobrevivientes.</w:t>
      </w:r>
    </w:p>
    <w:p w14:paraId="2D1D685F" w14:textId="77777777" w:rsidR="000F581F" w:rsidRDefault="000F581F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</w:pPr>
    </w:p>
    <w:p w14:paraId="2B4DDF15" w14:textId="46DBDA16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Se reitera, la sentencia causa materialmente un agravio a mis representados,</w:t>
      </w:r>
      <w:r w:rsidR="000F581F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puesto que, si bien está ordenada la prestación pensional, dicha decisión es</w:t>
      </w:r>
      <w:r w:rsidR="000F581F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imposible de materializar, pues tal y como ha podido ser verificado por su</w:t>
      </w:r>
      <w:r w:rsidR="000F581F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Despacho, las personas jurídicas responsables de la misma, se liquidaron</w:t>
      </w:r>
      <w:r w:rsidR="000F581F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mediante documentos privados que obran en el expediente y que fueron</w:t>
      </w:r>
      <w:r w:rsidR="000F581F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requeridos previamente a las partes antes de emitir el auto objeto del presente</w:t>
      </w:r>
      <w:r w:rsidR="000F581F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recurso, sin que exista a la fecha una mínima garantía de que tales demandados</w:t>
      </w:r>
      <w:r w:rsidR="000F581F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aseguraran la provisión de esta eventual condena, que por supuesto, será objeto</w:t>
      </w:r>
      <w:r w:rsidR="000F581F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de discusión por su parte en sede del recurso extraordinario que les ha sido</w:t>
      </w:r>
      <w:r w:rsidR="000F581F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concedido de manera exclusiva a ellos.</w:t>
      </w:r>
      <w:r>
        <w:rPr>
          <w:rFonts w:ascii="BookmanOldStyle" w:hAnsi="BookmanOldStyle" w:cs="BookmanOldStyle"/>
          <w:color w:val="000000"/>
          <w:kern w:val="0"/>
          <w:lang w:val="es-CO"/>
        </w:rPr>
        <w:t>[…]</w:t>
      </w:r>
    </w:p>
    <w:p w14:paraId="32815AF7" w14:textId="77777777" w:rsidR="000F581F" w:rsidRDefault="000F581F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</w:p>
    <w:p w14:paraId="2CF199E4" w14:textId="488CFA82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Al reliquidar nuevamente las pretensiones negadas y</w:t>
      </w:r>
      <w:r w:rsidR="000F581F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apeladas se obtiene:</w:t>
      </w:r>
    </w:p>
    <w:p w14:paraId="3631916D" w14:textId="77777777" w:rsidR="00A51BDD" w:rsidRDefault="00A51BDD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</w:p>
    <w:p w14:paraId="50A33BB9" w14:textId="77777777" w:rsidR="00A51BDD" w:rsidRDefault="00A51BDD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</w:p>
    <w:p w14:paraId="36D26353" w14:textId="77777777" w:rsidR="008840AA" w:rsidRDefault="008840AA" w:rsidP="008840AA">
      <w:pPr>
        <w:autoSpaceDE w:val="0"/>
        <w:autoSpaceDN w:val="0"/>
        <w:adjustRightInd w:val="0"/>
        <w:spacing w:after="0" w:line="240" w:lineRule="auto"/>
        <w:ind w:firstLine="720"/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</w:pP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>Tabla Datos Generales de la Liquidación</w:t>
      </w:r>
    </w:p>
    <w:p w14:paraId="57501C14" w14:textId="77777777" w:rsidR="008840AA" w:rsidRDefault="008840AA" w:rsidP="008840A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</w:pPr>
    </w:p>
    <w:p w14:paraId="620472DC" w14:textId="307BA2D5" w:rsidR="008840AA" w:rsidRDefault="008840AA" w:rsidP="008840AA">
      <w:pPr>
        <w:autoSpaceDE w:val="0"/>
        <w:autoSpaceDN w:val="0"/>
        <w:adjustRightInd w:val="0"/>
        <w:spacing w:after="0" w:line="240" w:lineRule="auto"/>
        <w:ind w:firstLine="720"/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>Extremos Laborales</w:t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 xml:space="preserve">Desde: </w:t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>20-ene 2014</w:t>
      </w:r>
    </w:p>
    <w:p w14:paraId="40393CDF" w14:textId="5FB74786" w:rsidR="008840AA" w:rsidRDefault="008840AA" w:rsidP="008840A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</w:pPr>
    </w:p>
    <w:p w14:paraId="6EE1090E" w14:textId="1B95C1BD" w:rsidR="008840AA" w:rsidRDefault="008840AA" w:rsidP="008840A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</w:pPr>
      <w:r>
        <w:t>Hasta: 21-jul 2015</w:t>
      </w:r>
    </w:p>
    <w:p w14:paraId="4A255A51" w14:textId="3F793B1E" w:rsidR="008840AA" w:rsidRDefault="008840AA" w:rsidP="008840A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</w:pPr>
    </w:p>
    <w:p w14:paraId="47BFF297" w14:textId="4059DA5F" w:rsidR="008840AA" w:rsidRDefault="008840AA" w:rsidP="008840AA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 xml:space="preserve">Último Salario Devengado </w:t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>$ 644.350,00</w:t>
      </w:r>
    </w:p>
    <w:p w14:paraId="5844D8CA" w14:textId="77777777" w:rsidR="00A51BDD" w:rsidRDefault="00A51BDD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</w:p>
    <w:p w14:paraId="7D396658" w14:textId="77777777" w:rsidR="005728F0" w:rsidRDefault="005728F0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</w:p>
    <w:p w14:paraId="4D4657C4" w14:textId="77777777" w:rsidR="00F2786B" w:rsidRDefault="00F2786B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</w:p>
    <w:p w14:paraId="26684DC8" w14:textId="77777777" w:rsidR="00F2786B" w:rsidRDefault="00F2786B" w:rsidP="00F2786B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</w:pP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>Tabla Salarial</w:t>
      </w:r>
    </w:p>
    <w:p w14:paraId="6567BB9E" w14:textId="77777777" w:rsidR="00F2786B" w:rsidRDefault="00F2786B" w:rsidP="00F2786B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</w:pPr>
    </w:p>
    <w:p w14:paraId="0A7CB6F8" w14:textId="3C0A82E4" w:rsidR="00F2786B" w:rsidRDefault="00F2786B" w:rsidP="00F2786B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</w:pP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 xml:space="preserve">Año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>
        <w:rPr>
          <w:rFonts w:ascii="Arial-BoldMT" w:hAnsi="Arial-BoldMT" w:cs="Arial-BoldMT"/>
          <w:b/>
          <w:bCs/>
          <w:kern w:val="0"/>
          <w:sz w:val="18"/>
          <w:szCs w:val="18"/>
          <w:lang w:val="es-CO"/>
        </w:rPr>
        <w:t xml:space="preserve">Salario </w:t>
      </w:r>
      <w:r>
        <w:rPr>
          <w:rFonts w:ascii="Arial-BoldMT" w:hAnsi="Arial-BoldMT" w:cs="Arial-BoldMT"/>
          <w:b/>
          <w:bCs/>
          <w:kern w:val="0"/>
          <w:sz w:val="18"/>
          <w:szCs w:val="18"/>
          <w:lang w:val="es-CO"/>
        </w:rPr>
        <w:tab/>
      </w:r>
      <w:r>
        <w:rPr>
          <w:rFonts w:ascii="Arial-BoldMT" w:hAnsi="Arial-BoldMT" w:cs="Arial-BoldMT"/>
          <w:b/>
          <w:bCs/>
          <w:kern w:val="0"/>
          <w:sz w:val="18"/>
          <w:szCs w:val="18"/>
          <w:lang w:val="es-CO"/>
        </w:rPr>
        <w:t xml:space="preserve">Mensual </w:t>
      </w:r>
      <w:r>
        <w:rPr>
          <w:rFonts w:ascii="Arial-BoldMT" w:hAnsi="Arial-BoldMT" w:cs="Arial-BoldMT"/>
          <w:b/>
          <w:bCs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 xml:space="preserve">Meses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>Subtotal salarios</w:t>
      </w:r>
    </w:p>
    <w:p w14:paraId="6D83FC3E" w14:textId="1DFD35CC" w:rsidR="00F2786B" w:rsidRDefault="00F2786B" w:rsidP="00F278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 xml:space="preserve">2014 </w:t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MT" w:hAnsi="ArialMT" w:cs="ArialMT"/>
          <w:kern w:val="0"/>
          <w:sz w:val="18"/>
          <w:szCs w:val="18"/>
          <w:lang w:val="es-CO"/>
        </w:rPr>
        <w:t xml:space="preserve">$ 616.000,00 </w:t>
      </w:r>
      <w:r>
        <w:rPr>
          <w:rFonts w:ascii="ArialMT" w:hAnsi="ArialMT" w:cs="ArialMT"/>
          <w:kern w:val="0"/>
          <w:sz w:val="18"/>
          <w:szCs w:val="18"/>
          <w:lang w:val="es-CO"/>
        </w:rPr>
        <w:tab/>
      </w:r>
      <w:r>
        <w:rPr>
          <w:rFonts w:ascii="ArialMT" w:hAnsi="ArialMT" w:cs="ArialMT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 xml:space="preserve">11,37 </w:t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MT" w:hAnsi="ArialMT" w:cs="ArialMT"/>
          <w:kern w:val="0"/>
          <w:sz w:val="18"/>
          <w:szCs w:val="18"/>
          <w:lang w:val="es-CO"/>
        </w:rPr>
        <w:t>$ 7.001.866,67</w:t>
      </w:r>
    </w:p>
    <w:p w14:paraId="7B70C08B" w14:textId="4BFEEC2A" w:rsidR="00F2786B" w:rsidRDefault="00F2786B" w:rsidP="00F278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>2015</w:t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 xml:space="preserve"> </w:t>
      </w:r>
      <w:r>
        <w:rPr>
          <w:rFonts w:ascii="ArialMT" w:hAnsi="ArialMT" w:cs="ArialMT"/>
          <w:kern w:val="0"/>
          <w:sz w:val="18"/>
          <w:szCs w:val="18"/>
          <w:lang w:val="es-CO"/>
        </w:rPr>
        <w:t xml:space="preserve">$ 644.350,00 </w:t>
      </w:r>
      <w:r>
        <w:rPr>
          <w:rFonts w:ascii="ArialMT" w:hAnsi="ArialMT" w:cs="ArialMT"/>
          <w:kern w:val="0"/>
          <w:sz w:val="18"/>
          <w:szCs w:val="18"/>
          <w:lang w:val="es-CO"/>
        </w:rPr>
        <w:tab/>
      </w:r>
      <w:r>
        <w:rPr>
          <w:rFonts w:ascii="ArialMT" w:hAnsi="ArialMT" w:cs="ArialMT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 xml:space="preserve">6,70 </w:t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MT" w:hAnsi="ArialMT" w:cs="ArialMT"/>
          <w:kern w:val="0"/>
          <w:sz w:val="18"/>
          <w:szCs w:val="18"/>
          <w:lang w:val="es-CO"/>
        </w:rPr>
        <w:t>$ 4.317.145,00</w:t>
      </w:r>
    </w:p>
    <w:p w14:paraId="17C02F94" w14:textId="77777777" w:rsidR="00F2786B" w:rsidRDefault="00F2786B" w:rsidP="00F2786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8"/>
          <w:szCs w:val="18"/>
          <w:lang w:val="es-CO"/>
        </w:rPr>
      </w:pPr>
    </w:p>
    <w:p w14:paraId="2F979599" w14:textId="304926AE" w:rsidR="00F2786B" w:rsidRDefault="00F2786B" w:rsidP="00F2786B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</w:pPr>
      <w:proofErr w:type="gramStart"/>
      <w:r>
        <w:rPr>
          <w:rFonts w:ascii="Arial-BoldMT" w:hAnsi="Arial-BoldMT" w:cs="Arial-BoldMT"/>
          <w:b/>
          <w:bCs/>
          <w:kern w:val="0"/>
          <w:sz w:val="18"/>
          <w:szCs w:val="18"/>
          <w:lang w:val="es-CO"/>
        </w:rPr>
        <w:t>Total</w:t>
      </w:r>
      <w:proofErr w:type="gramEnd"/>
      <w:r>
        <w:rPr>
          <w:rFonts w:ascii="Arial-BoldMT" w:hAnsi="Arial-BoldMT" w:cs="Arial-BoldMT"/>
          <w:b/>
          <w:bCs/>
          <w:kern w:val="0"/>
          <w:sz w:val="18"/>
          <w:szCs w:val="18"/>
          <w:lang w:val="es-CO"/>
        </w:rPr>
        <w:t xml:space="preserve"> salarios </w:t>
      </w:r>
      <w:r>
        <w:rPr>
          <w:rFonts w:ascii="Arial-BoldMT" w:hAnsi="Arial-BoldMT" w:cs="Arial-BoldMT"/>
          <w:b/>
          <w:bCs/>
          <w:kern w:val="0"/>
          <w:sz w:val="18"/>
          <w:szCs w:val="18"/>
          <w:lang w:val="es-CO"/>
        </w:rPr>
        <w:tab/>
      </w:r>
      <w:r>
        <w:rPr>
          <w:rFonts w:ascii="Arial-BoldMT" w:hAnsi="Arial-BoldMT" w:cs="Arial-BoldMT"/>
          <w:b/>
          <w:bCs/>
          <w:kern w:val="0"/>
          <w:sz w:val="18"/>
          <w:szCs w:val="18"/>
          <w:lang w:val="es-CO"/>
        </w:rPr>
        <w:tab/>
      </w:r>
      <w:r>
        <w:rPr>
          <w:rFonts w:ascii="Arial-BoldMT" w:hAnsi="Arial-BoldMT" w:cs="Arial-BoldMT"/>
          <w:b/>
          <w:bCs/>
          <w:kern w:val="0"/>
          <w:sz w:val="18"/>
          <w:szCs w:val="18"/>
          <w:lang w:val="es-CO"/>
        </w:rPr>
        <w:tab/>
      </w:r>
      <w:r>
        <w:rPr>
          <w:rFonts w:ascii="Arial-BoldMT" w:hAnsi="Arial-BoldMT" w:cs="Arial-BoldMT"/>
          <w:b/>
          <w:bCs/>
          <w:kern w:val="0"/>
          <w:sz w:val="18"/>
          <w:szCs w:val="18"/>
          <w:lang w:val="es-CO"/>
        </w:rPr>
        <w:tab/>
      </w:r>
      <w:r>
        <w:rPr>
          <w:rFonts w:ascii="Arial-BoldMT" w:hAnsi="Arial-BoldMT" w:cs="Arial-BoldMT"/>
          <w:b/>
          <w:bCs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>$ 11.319.011,67</w:t>
      </w:r>
    </w:p>
    <w:p w14:paraId="3C42499E" w14:textId="77777777" w:rsidR="00F2786B" w:rsidRDefault="00F2786B" w:rsidP="00F2786B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</w:pPr>
    </w:p>
    <w:p w14:paraId="0093794B" w14:textId="77777777" w:rsidR="00F2786B" w:rsidRDefault="00F2786B" w:rsidP="00F2786B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</w:pPr>
    </w:p>
    <w:p w14:paraId="6552E738" w14:textId="015DA51A" w:rsidR="00F2786B" w:rsidRDefault="00F2786B" w:rsidP="00F2786B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</w:pP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>Tabla Liquidación Prestaciones Sociales</w:t>
      </w:r>
    </w:p>
    <w:p w14:paraId="18834AF2" w14:textId="77777777" w:rsidR="00F2786B" w:rsidRDefault="00F2786B" w:rsidP="00F2786B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</w:pPr>
    </w:p>
    <w:p w14:paraId="1F73DB1D" w14:textId="77777777" w:rsidR="00F2786B" w:rsidRDefault="00F2786B" w:rsidP="00F2786B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</w:pPr>
    </w:p>
    <w:p w14:paraId="61665428" w14:textId="6C342276" w:rsidR="00F2786B" w:rsidRDefault="00F2786B" w:rsidP="00F2786B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</w:pP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 xml:space="preserve">Año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>Cesantías</w:t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 xml:space="preserve">Intereses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 xml:space="preserve">sobre cesantías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>Prima de</w:t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>servicios</w:t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  <w:t>Vacaciones</w:t>
      </w:r>
    </w:p>
    <w:p w14:paraId="13EE3BCC" w14:textId="4963F28C" w:rsidR="00F2786B" w:rsidRDefault="00F2786B" w:rsidP="00F2786B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 xml:space="preserve">2.014 </w:t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 xml:space="preserve">$ 583.488,89 </w:t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 xml:space="preserve">$ 66.323,24 </w:t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 xml:space="preserve">$ 583.488,89 </w:t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>$ 291.744,44</w:t>
      </w:r>
    </w:p>
    <w:p w14:paraId="3578B004" w14:textId="2D1BC2AB" w:rsidR="00F2786B" w:rsidRDefault="00F2786B" w:rsidP="00F2786B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 xml:space="preserve">2.015 </w:t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 xml:space="preserve">$ 359.765,82 </w:t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 xml:space="preserve">$ 24.104,31 </w:t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 xml:space="preserve">$ 359.765,82 </w:t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>$ 179.881,04</w:t>
      </w:r>
    </w:p>
    <w:p w14:paraId="510AE55F" w14:textId="77777777" w:rsidR="00F2786B" w:rsidRDefault="00F2786B" w:rsidP="00F2786B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</w:pPr>
    </w:p>
    <w:p w14:paraId="7205580D" w14:textId="43E95907" w:rsidR="00F2786B" w:rsidRDefault="00F2786B" w:rsidP="00F2786B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</w:pP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 xml:space="preserve">Totales $ 943.254,71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 xml:space="preserve">$ 90.427,55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 xml:space="preserve">$ 943.254,71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>$ 471.625,49</w:t>
      </w:r>
    </w:p>
    <w:p w14:paraId="4F74D489" w14:textId="77777777" w:rsidR="00F2786B" w:rsidRDefault="00F2786B" w:rsidP="00F2786B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</w:pPr>
    </w:p>
    <w:p w14:paraId="7C657235" w14:textId="77777777" w:rsidR="00F2786B" w:rsidRDefault="00F2786B" w:rsidP="00F2786B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</w:pPr>
    </w:p>
    <w:p w14:paraId="520FD951" w14:textId="5B98F060" w:rsidR="00F2786B" w:rsidRDefault="00F2786B" w:rsidP="00F2786B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</w:pP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 xml:space="preserve">Concepto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 xml:space="preserve">Pretendido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 xml:space="preserve">Otorgado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>Diferencia</w:t>
      </w:r>
    </w:p>
    <w:p w14:paraId="7E325C0A" w14:textId="77777777" w:rsidR="00F2786B" w:rsidRDefault="00F2786B" w:rsidP="00F2786B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</w:pPr>
    </w:p>
    <w:p w14:paraId="4510D629" w14:textId="63A6B53C" w:rsidR="00F2786B" w:rsidRDefault="00F2786B" w:rsidP="00F2786B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 xml:space="preserve">Lucro cesante consolidado </w:t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>$ 152.267.745,00</w:t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 xml:space="preserve"> $ 59.306.911,00 </w:t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>$ 92.960.834,00</w:t>
      </w:r>
    </w:p>
    <w:p w14:paraId="2E55D1F9" w14:textId="77777777" w:rsidR="00F2786B" w:rsidRDefault="00F2786B" w:rsidP="00F2786B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</w:pPr>
    </w:p>
    <w:p w14:paraId="55A8ECDE" w14:textId="77777777" w:rsidR="00F2786B" w:rsidRDefault="00F2786B" w:rsidP="00F2786B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</w:pPr>
    </w:p>
    <w:p w14:paraId="31F4C5A7" w14:textId="0A14A920" w:rsidR="00F2786B" w:rsidRDefault="00F2786B" w:rsidP="00BF6CA1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</w:pP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>Tabla Liquidación Crédito</w:t>
      </w:r>
    </w:p>
    <w:p w14:paraId="11B93AE2" w14:textId="77777777" w:rsidR="00F2786B" w:rsidRDefault="00F2786B" w:rsidP="00F2786B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</w:pPr>
    </w:p>
    <w:p w14:paraId="164F5A95" w14:textId="0A60B101" w:rsidR="00F2786B" w:rsidRDefault="00F2786B" w:rsidP="00F2786B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 xml:space="preserve">Salarios </w:t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>$ 11.319.011,67</w:t>
      </w:r>
    </w:p>
    <w:p w14:paraId="7D52C178" w14:textId="69DA3FA0" w:rsidR="00F2786B" w:rsidRDefault="00F2786B" w:rsidP="00F2786B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 xml:space="preserve">Auxilio Cesantías </w:t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 xml:space="preserve">$ </w:t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 xml:space="preserve">     </w:t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>943.254,71</w:t>
      </w:r>
    </w:p>
    <w:p w14:paraId="6AD51366" w14:textId="2ED3DB9C" w:rsidR="00F2786B" w:rsidRDefault="00F2786B" w:rsidP="00F2786B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 xml:space="preserve">Intereses Sobre las Cesantías </w:t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 xml:space="preserve">$ </w:t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 xml:space="preserve">      </w:t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>90.427,55</w:t>
      </w:r>
    </w:p>
    <w:p w14:paraId="0B56252C" w14:textId="479872DD" w:rsidR="00F2786B" w:rsidRDefault="00F2786B" w:rsidP="00F2786B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 xml:space="preserve">Prima de Servicios </w:t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 xml:space="preserve">$ </w:t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 xml:space="preserve">    </w:t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>943.254,71</w:t>
      </w:r>
    </w:p>
    <w:p w14:paraId="02DCB8DE" w14:textId="5FD2E8DF" w:rsidR="00F2786B" w:rsidRDefault="00F2786B" w:rsidP="00F2786B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 xml:space="preserve">Vacaciones </w:t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 xml:space="preserve">$ </w:t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 xml:space="preserve">   </w:t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>471.625,49</w:t>
      </w:r>
    </w:p>
    <w:p w14:paraId="68ACD2BF" w14:textId="66838FDE" w:rsidR="00F2786B" w:rsidRDefault="00F2786B" w:rsidP="00F2786B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>Diferencia lucro cesante consolidado pretendido y otorgado 2</w:t>
      </w:r>
      <w:r>
        <w:rPr>
          <w:rFonts w:ascii="Arial-ItalicMT" w:hAnsi="Arial-ItalicMT" w:cs="Arial-ItalicMT"/>
          <w:i/>
          <w:iCs/>
          <w:kern w:val="0"/>
          <w:sz w:val="12"/>
          <w:szCs w:val="12"/>
          <w:lang w:val="es-CO"/>
        </w:rPr>
        <w:t xml:space="preserve">da </w:t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 xml:space="preserve">instancia </w:t>
      </w:r>
      <w:r w:rsidR="00BF6CA1"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>$ 92.960.834,00</w:t>
      </w:r>
    </w:p>
    <w:p w14:paraId="210093DA" w14:textId="77777777" w:rsidR="00BF6CA1" w:rsidRDefault="00BF6CA1" w:rsidP="00F2786B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</w:pPr>
    </w:p>
    <w:p w14:paraId="42F708A8" w14:textId="0CC9D771" w:rsidR="00F2786B" w:rsidRDefault="00F2786B" w:rsidP="00F2786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  <w:proofErr w:type="gramStart"/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>Total</w:t>
      </w:r>
      <w:proofErr w:type="gramEnd"/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 xml:space="preserve"> Liquidación </w:t>
      </w:r>
      <w:r w:rsidR="00BF6CA1"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 w:rsidR="00BF6CA1"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>$ 106.728.408,13</w:t>
      </w:r>
    </w:p>
    <w:p w14:paraId="539A6E95" w14:textId="32D4CBCD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lastRenderedPageBreak/>
        <w:t>Analizados los valores la Sala encuentra que la</w:t>
      </w:r>
      <w:r w:rsidR="0079398D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liquidación esta ajustada a las pretensiones negadas y</w:t>
      </w:r>
      <w:r w:rsidR="0079398D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apeladas, </w:t>
      </w:r>
      <w:proofErr w:type="spellStart"/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summa</w:t>
      </w:r>
      <w:proofErr w:type="spellEnd"/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proofErr w:type="spellStart"/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gravaminis</w:t>
      </w:r>
      <w:proofErr w:type="spellEnd"/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inferior a los 120 salarios mínimos</w:t>
      </w:r>
      <w:r w:rsidR="0079398D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legales para acceder al recurso. La recurrente disiente de tal</w:t>
      </w:r>
      <w:r w:rsidR="0079398D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determinación, por considerar que contrario a lo afirmado sí</w:t>
      </w:r>
      <w:r w:rsidR="0079398D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le asiste interés económico para recurrir en casación, pues a</w:t>
      </w:r>
      <w:r w:rsidR="0079398D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su juicio, la prestación pensional reconocida debe estar a</w:t>
      </w:r>
      <w:r w:rsidR="0079398D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cargo de La Equidad Seguros de Vida y no en los términos en</w:t>
      </w:r>
      <w:r w:rsidR="0079398D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que fue reconocida.</w:t>
      </w:r>
    </w:p>
    <w:p w14:paraId="69AADA4F" w14:textId="77777777" w:rsidR="0079398D" w:rsidRDefault="0079398D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</w:p>
    <w:p w14:paraId="4582E48A" w14:textId="31EBE374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Al respecto cabe precisar, que el interés jurídico para</w:t>
      </w:r>
      <w:r w:rsidR="0079398D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interponer el recurso de casación, </w:t>
      </w:r>
      <w:proofErr w:type="gramStart"/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es</w:t>
      </w:r>
      <w:proofErr w:type="gramEnd"/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ante todo, un perjuicio</w:t>
      </w:r>
      <w:r w:rsidR="0079398D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pecuniario y la </w:t>
      </w:r>
      <w:proofErr w:type="spellStart"/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summa</w:t>
      </w:r>
      <w:proofErr w:type="spellEnd"/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proofErr w:type="spellStart"/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gravaminis</w:t>
      </w:r>
      <w:proofErr w:type="spellEnd"/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deber ser cuantificable</w:t>
      </w:r>
      <w:r w:rsidR="0079398D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monetariamente insistiendo en que no existirá tal interés</w:t>
      </w:r>
      <w:r w:rsidR="0079398D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cuando no supere la cuantía legal, así lo ha determinado la</w:t>
      </w:r>
      <w:r w:rsidR="0079398D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Sala de Casación Laboral de la Corte Suprema de Justicia:</w:t>
      </w:r>
    </w:p>
    <w:p w14:paraId="24AE3C09" w14:textId="77777777" w:rsidR="0079398D" w:rsidRDefault="0079398D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</w:p>
    <w:p w14:paraId="38EDCF8C" w14:textId="68158F96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lang w:val="es-CO"/>
        </w:rPr>
      </w:pPr>
      <w:r>
        <w:rPr>
          <w:rFonts w:ascii="Calibri" w:hAnsi="Calibri" w:cs="Calibri"/>
          <w:color w:val="000000"/>
          <w:kern w:val="0"/>
          <w:lang w:val="es-CO"/>
        </w:rPr>
        <w:t>[…]</w:t>
      </w:r>
      <w:r>
        <w:rPr>
          <w:rFonts w:ascii="BookmanOldStyle" w:hAnsi="BookmanOldStyle" w:cs="BookmanOldStyle"/>
          <w:color w:val="000000"/>
          <w:kern w:val="0"/>
          <w:lang w:val="es-CO"/>
        </w:rPr>
        <w:t>En este sentido, no es procedente, para admitir o inadmitir el</w:t>
      </w:r>
      <w:r w:rsidR="0079398D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recurso de casación, comprobar la viabilidad de las pretensiones, si le</w:t>
      </w:r>
      <w:r w:rsidR="0079398D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asiste razón o no al recurrente en casación, o si las decisiones</w:t>
      </w:r>
      <w:r w:rsidR="0079398D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impugnadas de los juzgadores de primera y segunda instancia son o</w:t>
      </w:r>
      <w:r w:rsidR="0079398D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no ajustadas a derecho, pues todo ello es materia de la decisión de</w:t>
      </w:r>
      <w:r w:rsidR="0079398D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fondo que dicte la Corporación cuando resuelva la impugnación</w:t>
      </w:r>
      <w:r w:rsidR="0079398D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 xml:space="preserve">extraordinaria, luego de cumplido el trámite procesal de rigor </w:t>
      </w:r>
      <w:r>
        <w:rPr>
          <w:rFonts w:ascii="Calibri" w:hAnsi="Calibri" w:cs="Calibri"/>
          <w:color w:val="000000"/>
          <w:kern w:val="0"/>
          <w:lang w:val="es-CO"/>
        </w:rPr>
        <w:t>[…]</w:t>
      </w:r>
    </w:p>
    <w:p w14:paraId="30493D26" w14:textId="0ADE8E6F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 xml:space="preserve">(Magistrado Ponente: GUSTAVO JOSÉ GNECCO MENDOZA rad. </w:t>
      </w:r>
      <w:proofErr w:type="spellStart"/>
      <w:r>
        <w:rPr>
          <w:rFonts w:ascii="BookmanOldStyle" w:hAnsi="BookmanOldStyle" w:cs="BookmanOldStyle"/>
          <w:color w:val="000000"/>
          <w:kern w:val="0"/>
          <w:lang w:val="es-CO"/>
        </w:rPr>
        <w:t>n.°</w:t>
      </w:r>
      <w:proofErr w:type="spellEnd"/>
      <w:r w:rsidR="0079398D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39340)</w:t>
      </w:r>
    </w:p>
    <w:p w14:paraId="1794F9B3" w14:textId="77777777" w:rsidR="0079398D" w:rsidRDefault="0079398D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</w:p>
    <w:p w14:paraId="41695B73" w14:textId="50435210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De acuerdo con lo sostenido líneas atrás, el interés</w:t>
      </w:r>
      <w:r w:rsidR="0079398D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jurídico recurrido no se configura, dado que la prestación</w:t>
      </w:r>
      <w:r w:rsidR="0079398D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pensional fue concedida en primera instancia y confirmada</w:t>
      </w:r>
      <w:r w:rsidR="0079398D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por este Tribunal. En consecuencia, la Sala se mantiene</w:t>
      </w:r>
    </w:p>
    <w:p w14:paraId="2836F264" w14:textId="4A095D8D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incólume en la decisión de negar el recurso de casación, y</w:t>
      </w:r>
      <w:r w:rsidR="0079398D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comoquiera que el recurso de queja es procedente se ordena</w:t>
      </w:r>
      <w:r w:rsidR="0079398D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trasladar a la Sala de Casación Laboral de la Corte Suprema</w:t>
      </w:r>
      <w:r w:rsidR="0079398D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de Justicia el expediente de la referencia, con el fin de</w:t>
      </w:r>
      <w:r w:rsidR="0079398D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surtirse el recurso de queja en los términos previstos en el</w:t>
      </w:r>
      <w:r w:rsidR="0079398D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artículo 353 del CGP, aplicable en materia laboral por</w:t>
      </w:r>
      <w:r w:rsidR="0079398D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remisión del canon 145 del CPTSS.</w:t>
      </w:r>
    </w:p>
    <w:p w14:paraId="709DE09E" w14:textId="77777777" w:rsidR="0079398D" w:rsidRDefault="0079398D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</w:pPr>
    </w:p>
    <w:p w14:paraId="5EFDBDFE" w14:textId="6456CA5B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  <w:t>DECISIÓN</w:t>
      </w:r>
    </w:p>
    <w:p w14:paraId="0345E106" w14:textId="77777777" w:rsidR="0079398D" w:rsidRDefault="0079398D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</w:p>
    <w:p w14:paraId="1240AD84" w14:textId="77777777" w:rsidR="0079398D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En mérito de lo expuesto, la Sala Laboral del Tribunal</w:t>
      </w:r>
      <w:r w:rsidR="0079398D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Superior del Distrito Judicial de Bogotá,</w:t>
      </w:r>
      <w:r w:rsidR="0079398D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</w:p>
    <w:p w14:paraId="7375860C" w14:textId="77777777" w:rsidR="0079398D" w:rsidRDefault="0079398D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</w:p>
    <w:p w14:paraId="770F7E8F" w14:textId="564D6DAE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  <w:t>RESUELVE:</w:t>
      </w:r>
    </w:p>
    <w:p w14:paraId="05C5663C" w14:textId="77777777" w:rsidR="0079398D" w:rsidRDefault="0079398D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</w:pPr>
    </w:p>
    <w:p w14:paraId="360441BA" w14:textId="0086B9F6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  <w:t xml:space="preserve">PRIMERO: NO REPONER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el auto de fecha diez (10) de</w:t>
      </w:r>
      <w:r w:rsidR="0079398D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julio de dos mil veintitrés (2023) por las razones</w:t>
      </w:r>
      <w:r w:rsidR="0079398D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anteriormente expuestas.</w:t>
      </w:r>
    </w:p>
    <w:p w14:paraId="419AC02E" w14:textId="247C2142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  <w:lastRenderedPageBreak/>
        <w:t xml:space="preserve">SEGUNDO: CONCÉDASE EL RECURSO DE QUEJA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a</w:t>
      </w:r>
      <w:r w:rsidR="0079398D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la parte demandante. Por la Secretaría de la Sala Laboral de</w:t>
      </w:r>
      <w:r w:rsidR="0079398D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este Tribunal súrtase lo pertinente ante la Sala de Casación</w:t>
      </w:r>
      <w:r w:rsidR="0079398D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Laboral de la Corte Suprema de Justicia.</w:t>
      </w:r>
    </w:p>
    <w:p w14:paraId="361711BC" w14:textId="77777777" w:rsidR="0079398D" w:rsidRDefault="0079398D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</w:pPr>
    </w:p>
    <w:p w14:paraId="0DF6AFF2" w14:textId="480CDCFF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  <w:t xml:space="preserve">TERCERO: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Continúese con el trámite dispuesto en auto</w:t>
      </w:r>
      <w:r w:rsidR="0079398D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anterior, respecto del recurso de casación concedido a la</w:t>
      </w:r>
      <w:r w:rsidR="0079398D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parte demandada.</w:t>
      </w:r>
    </w:p>
    <w:p w14:paraId="4853C62E" w14:textId="77777777" w:rsidR="0079398D" w:rsidRDefault="0079398D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</w:p>
    <w:p w14:paraId="4BC89C5F" w14:textId="30870EE9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Notifíquese y Cúmplase,</w:t>
      </w:r>
    </w:p>
    <w:p w14:paraId="39F28BDD" w14:textId="77777777" w:rsidR="0079398D" w:rsidRDefault="0079398D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</w:pPr>
    </w:p>
    <w:p w14:paraId="6A23D0F6" w14:textId="50E69BC4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  <w:t>LORENZO TORRES RUSSY</w:t>
      </w:r>
    </w:p>
    <w:p w14:paraId="7B144F25" w14:textId="77777777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Magistrado</w:t>
      </w:r>
    </w:p>
    <w:p w14:paraId="12ED94F0" w14:textId="77777777" w:rsidR="0079398D" w:rsidRDefault="0079398D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</w:pPr>
    </w:p>
    <w:p w14:paraId="552D4037" w14:textId="28EC7913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  <w:t>MARLENY RUEDA OLARTE</w:t>
      </w:r>
    </w:p>
    <w:p w14:paraId="44056EE6" w14:textId="77777777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Magistrada</w:t>
      </w:r>
    </w:p>
    <w:p w14:paraId="64FCB47F" w14:textId="77777777" w:rsidR="0079398D" w:rsidRDefault="0079398D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</w:pPr>
    </w:p>
    <w:p w14:paraId="1F7C3D21" w14:textId="3F777628" w:rsidR="002D68D3" w:rsidRDefault="002D68D3" w:rsidP="009A7EE0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8"/>
          <w:szCs w:val="28"/>
          <w:lang w:val="es-CO"/>
        </w:rPr>
        <w:t>MANUEL EDUARDO SERRANO BAQUERO</w:t>
      </w:r>
    </w:p>
    <w:p w14:paraId="23B3DFEB" w14:textId="7C41F114" w:rsidR="00B9243D" w:rsidRDefault="002D68D3" w:rsidP="009A7EE0">
      <w:pPr>
        <w:jc w:val="both"/>
      </w:pPr>
      <w:r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Magistrado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D3"/>
    <w:rsid w:val="000F581F"/>
    <w:rsid w:val="002D68D3"/>
    <w:rsid w:val="005728F0"/>
    <w:rsid w:val="00737460"/>
    <w:rsid w:val="0079398D"/>
    <w:rsid w:val="00810B09"/>
    <w:rsid w:val="008840AA"/>
    <w:rsid w:val="009A7EE0"/>
    <w:rsid w:val="00A51BDD"/>
    <w:rsid w:val="00B9243D"/>
    <w:rsid w:val="00BF6CA1"/>
    <w:rsid w:val="00C46E55"/>
    <w:rsid w:val="00DA03DC"/>
    <w:rsid w:val="00F2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8126"/>
  <w15:chartTrackingRefBased/>
  <w15:docId w15:val="{DFD4DBDA-EFEB-480B-BF30-1699AD00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8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1463</Words>
  <Characters>8049</Characters>
  <Application>Microsoft Office Word</Application>
  <DocSecurity>0</DocSecurity>
  <Lines>67</Lines>
  <Paragraphs>18</Paragraphs>
  <ScaleCrop>false</ScaleCrop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11</cp:revision>
  <dcterms:created xsi:type="dcterms:W3CDTF">2024-02-05T21:54:00Z</dcterms:created>
  <dcterms:modified xsi:type="dcterms:W3CDTF">2024-02-05T22:17:00Z</dcterms:modified>
</cp:coreProperties>
</file>