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47B7" w14:textId="77777777" w:rsidR="00680CDE" w:rsidRDefault="00680CDE" w:rsidP="00EA5586">
      <w:pPr>
        <w:spacing w:line="312" w:lineRule="auto"/>
        <w:rPr>
          <w:rFonts w:ascii="Arial" w:eastAsia="Arial" w:hAnsi="Arial" w:cs="Arial"/>
          <w:color w:val="000000" w:themeColor="text1"/>
        </w:rPr>
      </w:pPr>
      <w:r>
        <w:rPr>
          <w:rFonts w:ascii="Arial" w:eastAsia="Arial" w:hAnsi="Arial" w:cs="Arial"/>
          <w:color w:val="000000" w:themeColor="text1"/>
        </w:rPr>
        <w:t>Doctor</w:t>
      </w:r>
    </w:p>
    <w:p w14:paraId="4F85186D" w14:textId="77777777" w:rsidR="00680CDE" w:rsidRPr="00680CDE" w:rsidRDefault="00680CDE" w:rsidP="00EA5586">
      <w:pPr>
        <w:spacing w:line="312" w:lineRule="auto"/>
        <w:rPr>
          <w:rFonts w:ascii="Arial" w:hAnsi="Arial" w:cs="Arial"/>
          <w:b/>
          <w:bCs/>
        </w:rPr>
      </w:pPr>
      <w:r w:rsidRPr="00680CDE">
        <w:rPr>
          <w:rFonts w:ascii="Arial" w:hAnsi="Arial" w:cs="Arial"/>
          <w:b/>
          <w:bCs/>
        </w:rPr>
        <w:t>EDUARDO ANTONIO LUBO BARROS</w:t>
      </w:r>
    </w:p>
    <w:p w14:paraId="349A00CE" w14:textId="038DA866" w:rsidR="00B1302E" w:rsidRPr="00E32B8B" w:rsidRDefault="00680CDE" w:rsidP="00EA5586">
      <w:pPr>
        <w:spacing w:line="312" w:lineRule="auto"/>
        <w:rPr>
          <w:rFonts w:ascii="Arial" w:eastAsia="Arial" w:hAnsi="Arial" w:cs="Arial"/>
          <w:b/>
          <w:bCs/>
          <w:color w:val="000000" w:themeColor="text1"/>
        </w:rPr>
      </w:pPr>
      <w:r>
        <w:rPr>
          <w:rFonts w:ascii="Arial" w:hAnsi="Arial" w:cs="Arial"/>
        </w:rPr>
        <w:t>Magistrado Ponente</w:t>
      </w:r>
      <w:r w:rsidR="00B1302E" w:rsidRPr="00E32B8B">
        <w:rPr>
          <w:rFonts w:ascii="Arial" w:hAnsi="Arial" w:cs="Arial"/>
        </w:rPr>
        <w:br/>
      </w:r>
      <w:r w:rsidR="00B1302E" w:rsidRPr="00680CDE">
        <w:rPr>
          <w:rFonts w:ascii="Arial" w:eastAsia="Arial" w:hAnsi="Arial" w:cs="Arial"/>
          <w:color w:val="000000" w:themeColor="text1"/>
        </w:rPr>
        <w:t>TRIBUNAL ADMINISTRATIVO DEL VALLE DEL CAUCA</w:t>
      </w:r>
      <w:r w:rsidR="00B1302E" w:rsidRPr="00E32B8B">
        <w:rPr>
          <w:rFonts w:ascii="Arial" w:eastAsia="Arial" w:hAnsi="Arial" w:cs="Arial"/>
          <w:b/>
          <w:bCs/>
          <w:color w:val="000000" w:themeColor="text1"/>
        </w:rPr>
        <w:t xml:space="preserve"> </w:t>
      </w:r>
    </w:p>
    <w:p w14:paraId="131DA98B" w14:textId="77777777" w:rsidR="00B1302E" w:rsidRPr="00C625C3" w:rsidRDefault="00B1302E" w:rsidP="00EA5586">
      <w:pPr>
        <w:spacing w:line="312" w:lineRule="auto"/>
        <w:rPr>
          <w:rFonts w:ascii="Arial" w:hAnsi="Arial" w:cs="Arial"/>
        </w:rPr>
      </w:pPr>
      <w:hyperlink r:id="rId8" w:history="1">
        <w:r w:rsidRPr="00C625C3">
          <w:rPr>
            <w:rStyle w:val="Hipervnculo"/>
            <w:rFonts w:ascii="Arial" w:hAnsi="Arial" w:cs="Arial"/>
          </w:rPr>
          <w:t>s01tadvalle@cendoj.ramajudicial.gov.co</w:t>
        </w:r>
      </w:hyperlink>
      <w:r w:rsidRPr="00C625C3">
        <w:rPr>
          <w:rFonts w:ascii="Arial" w:hAnsi="Arial" w:cs="Arial"/>
        </w:rPr>
        <w:t xml:space="preserve"> </w:t>
      </w:r>
    </w:p>
    <w:p w14:paraId="73FDF0A4" w14:textId="0A853727" w:rsidR="00B1302E" w:rsidRPr="00E32B8B" w:rsidRDefault="00B1302E" w:rsidP="00EA5586">
      <w:pPr>
        <w:spacing w:line="312" w:lineRule="auto"/>
        <w:rPr>
          <w:rFonts w:ascii="Arial" w:eastAsia="Arial" w:hAnsi="Arial" w:cs="Arial"/>
          <w:color w:val="000000" w:themeColor="text1"/>
        </w:rPr>
      </w:pPr>
    </w:p>
    <w:p w14:paraId="7005B7CA" w14:textId="475C8412" w:rsidR="00B1302E" w:rsidRPr="00E32B8B" w:rsidRDefault="00B1302E" w:rsidP="00EA5586">
      <w:pPr>
        <w:spacing w:line="312" w:lineRule="auto"/>
        <w:ind w:left="708"/>
        <w:rPr>
          <w:rFonts w:ascii="Arial" w:eastAsia="Arial" w:hAnsi="Arial" w:cs="Arial"/>
          <w:b/>
          <w:bCs/>
          <w:color w:val="000000" w:themeColor="text1"/>
        </w:rPr>
      </w:pPr>
      <w:r w:rsidRPr="00E32B8B">
        <w:rPr>
          <w:rFonts w:ascii="Arial" w:eastAsia="Arial" w:hAnsi="Arial" w:cs="Arial"/>
          <w:b/>
          <w:bCs/>
          <w:color w:val="000000" w:themeColor="text1"/>
        </w:rPr>
        <w:t>RADICACIÓN</w:t>
      </w:r>
      <w:r w:rsidRPr="00031D64">
        <w:rPr>
          <w:rFonts w:ascii="Arial" w:eastAsia="Arial" w:hAnsi="Arial" w:cs="Arial"/>
          <w:color w:val="000000" w:themeColor="text1"/>
        </w:rPr>
        <w:t>:</w:t>
      </w:r>
      <w:r w:rsidR="00031D64">
        <w:rPr>
          <w:rFonts w:ascii="Arial" w:eastAsia="Arial" w:hAnsi="Arial" w:cs="Arial"/>
          <w:b/>
          <w:bCs/>
          <w:color w:val="000000" w:themeColor="text1"/>
        </w:rPr>
        <w:t xml:space="preserve"> </w:t>
      </w:r>
      <w:r w:rsidR="00031D64" w:rsidRPr="00031D64">
        <w:rPr>
          <w:rFonts w:ascii="Arial" w:eastAsia="Arial" w:hAnsi="Arial" w:cs="Arial"/>
          <w:color w:val="000000" w:themeColor="text1"/>
        </w:rPr>
        <w:t>76001-33-33-020-</w:t>
      </w:r>
      <w:r w:rsidR="00031D64" w:rsidRPr="00031D64">
        <w:rPr>
          <w:rFonts w:ascii="Arial" w:eastAsia="Arial" w:hAnsi="Arial" w:cs="Arial"/>
          <w:b/>
          <w:bCs/>
          <w:color w:val="000000" w:themeColor="text1"/>
        </w:rPr>
        <w:t>2017-00122</w:t>
      </w:r>
      <w:r w:rsidR="00031D64" w:rsidRPr="00031D64">
        <w:rPr>
          <w:rFonts w:ascii="Arial" w:eastAsia="Arial" w:hAnsi="Arial" w:cs="Arial"/>
          <w:color w:val="000000" w:themeColor="text1"/>
        </w:rPr>
        <w:t>-02</w:t>
      </w:r>
    </w:p>
    <w:p w14:paraId="2668B619" w14:textId="0A82ACFB" w:rsidR="00B1302E" w:rsidRPr="00E32B8B" w:rsidRDefault="00B1302E" w:rsidP="00EA5586">
      <w:pPr>
        <w:spacing w:line="312" w:lineRule="auto"/>
        <w:ind w:left="708"/>
        <w:rPr>
          <w:rFonts w:ascii="Arial" w:eastAsia="Arial" w:hAnsi="Arial" w:cs="Arial"/>
          <w:color w:val="000000" w:themeColor="text1"/>
        </w:rPr>
      </w:pPr>
      <w:r w:rsidRPr="00E32B8B">
        <w:rPr>
          <w:rFonts w:ascii="Arial" w:eastAsia="Arial" w:hAnsi="Arial" w:cs="Arial"/>
          <w:b/>
          <w:bCs/>
          <w:color w:val="000000" w:themeColor="text1"/>
        </w:rPr>
        <w:t>MEDIO DE CONTROL</w:t>
      </w:r>
      <w:r w:rsidRPr="00031D64">
        <w:rPr>
          <w:rFonts w:ascii="Arial" w:eastAsia="Arial" w:hAnsi="Arial" w:cs="Arial"/>
          <w:color w:val="000000" w:themeColor="text1"/>
        </w:rPr>
        <w:t>:</w:t>
      </w:r>
      <w:r w:rsidRPr="00E32B8B">
        <w:rPr>
          <w:rFonts w:ascii="Arial" w:eastAsia="Arial" w:hAnsi="Arial" w:cs="Arial"/>
          <w:b/>
          <w:bCs/>
          <w:color w:val="000000" w:themeColor="text1"/>
        </w:rPr>
        <w:t xml:space="preserve"> </w:t>
      </w:r>
      <w:r w:rsidRPr="004738AE">
        <w:rPr>
          <w:rFonts w:ascii="Arial" w:eastAsia="Arial" w:hAnsi="Arial" w:cs="Arial"/>
          <w:color w:val="000000" w:themeColor="text1"/>
        </w:rPr>
        <w:t>REPARACIÓN DIRECTA</w:t>
      </w:r>
    </w:p>
    <w:p w14:paraId="1A1E9E59" w14:textId="1126D052" w:rsidR="00B1302E" w:rsidRPr="00E32B8B" w:rsidRDefault="00B1302E" w:rsidP="00EA5586">
      <w:pPr>
        <w:spacing w:line="312" w:lineRule="auto"/>
        <w:ind w:left="708"/>
        <w:rPr>
          <w:rFonts w:ascii="Arial" w:eastAsia="Arial" w:hAnsi="Arial" w:cs="Arial"/>
          <w:b/>
          <w:bCs/>
          <w:color w:val="000000" w:themeColor="text1"/>
        </w:rPr>
      </w:pPr>
      <w:r w:rsidRPr="00E32B8B">
        <w:rPr>
          <w:rFonts w:ascii="Arial" w:eastAsia="Arial" w:hAnsi="Arial" w:cs="Arial"/>
          <w:b/>
          <w:bCs/>
          <w:color w:val="000000" w:themeColor="text1"/>
        </w:rPr>
        <w:t>DEMANDANTES</w:t>
      </w:r>
      <w:r w:rsidRPr="00031D64">
        <w:rPr>
          <w:rFonts w:ascii="Arial" w:eastAsia="Arial" w:hAnsi="Arial" w:cs="Arial"/>
          <w:color w:val="000000" w:themeColor="text1"/>
        </w:rPr>
        <w:t>:</w:t>
      </w:r>
      <w:r w:rsidR="00031D64">
        <w:rPr>
          <w:rFonts w:ascii="Arial" w:eastAsia="Arial" w:hAnsi="Arial" w:cs="Arial"/>
          <w:b/>
          <w:bCs/>
          <w:color w:val="000000" w:themeColor="text1"/>
        </w:rPr>
        <w:t xml:space="preserve"> </w:t>
      </w:r>
      <w:r w:rsidR="00031D64" w:rsidRPr="00031D64">
        <w:rPr>
          <w:rFonts w:ascii="Arial" w:eastAsia="Arial" w:hAnsi="Arial" w:cs="Arial"/>
          <w:color w:val="000000" w:themeColor="text1"/>
        </w:rPr>
        <w:t>PAOLA ANDREA LASSO TRUJILLO</w:t>
      </w:r>
      <w:r w:rsidRPr="004738AE">
        <w:rPr>
          <w:rFonts w:ascii="Arial" w:eastAsia="Arial" w:hAnsi="Arial" w:cs="Arial"/>
          <w:color w:val="000000" w:themeColor="text1"/>
        </w:rPr>
        <w:t xml:space="preserve"> Y OTROS</w:t>
      </w:r>
    </w:p>
    <w:p w14:paraId="23AD77D4" w14:textId="279D13B9" w:rsidR="00B1302E" w:rsidRPr="00E32B8B" w:rsidRDefault="00B1302E" w:rsidP="00EA5586">
      <w:pPr>
        <w:spacing w:line="312" w:lineRule="auto"/>
        <w:ind w:left="708"/>
        <w:rPr>
          <w:rFonts w:ascii="Arial" w:eastAsia="Arial" w:hAnsi="Arial" w:cs="Arial"/>
          <w:b/>
          <w:bCs/>
          <w:color w:val="000000" w:themeColor="text1"/>
        </w:rPr>
      </w:pPr>
      <w:r w:rsidRPr="00E32B8B">
        <w:rPr>
          <w:rFonts w:ascii="Arial" w:eastAsia="Arial" w:hAnsi="Arial" w:cs="Arial"/>
          <w:b/>
          <w:bCs/>
          <w:color w:val="000000" w:themeColor="text1"/>
        </w:rPr>
        <w:t>DEMANDADOS</w:t>
      </w:r>
      <w:r w:rsidRPr="00031D64">
        <w:rPr>
          <w:rFonts w:ascii="Arial" w:eastAsia="Arial" w:hAnsi="Arial" w:cs="Arial"/>
          <w:color w:val="000000" w:themeColor="text1"/>
        </w:rPr>
        <w:t>:</w:t>
      </w:r>
      <w:r w:rsidR="00031D64">
        <w:rPr>
          <w:rFonts w:ascii="Arial" w:eastAsia="Arial" w:hAnsi="Arial" w:cs="Arial"/>
          <w:color w:val="000000" w:themeColor="text1"/>
        </w:rPr>
        <w:t xml:space="preserve"> </w:t>
      </w:r>
      <w:r w:rsidR="00031D64" w:rsidRPr="00031D64">
        <w:rPr>
          <w:rFonts w:ascii="Arial" w:eastAsia="Arial" w:hAnsi="Arial" w:cs="Arial"/>
          <w:color w:val="000000" w:themeColor="text1"/>
        </w:rPr>
        <w:t>DISTRITO DE SANTIAGO DE CALI Y OTROS</w:t>
      </w:r>
    </w:p>
    <w:p w14:paraId="04E944BA" w14:textId="35F8A368" w:rsidR="00031D64" w:rsidRDefault="00B1302E" w:rsidP="00EA5586">
      <w:pPr>
        <w:spacing w:line="312" w:lineRule="auto"/>
        <w:ind w:left="708"/>
        <w:rPr>
          <w:rFonts w:ascii="Arial" w:eastAsia="Arial" w:hAnsi="Arial" w:cs="Arial"/>
          <w:color w:val="000000" w:themeColor="text1"/>
        </w:rPr>
      </w:pPr>
      <w:r w:rsidRPr="00E32B8B">
        <w:rPr>
          <w:rFonts w:ascii="Arial" w:eastAsia="Arial" w:hAnsi="Arial" w:cs="Arial"/>
          <w:b/>
          <w:bCs/>
          <w:color w:val="000000" w:themeColor="text1"/>
        </w:rPr>
        <w:t>LLAMADO EN GTÍA</w:t>
      </w:r>
      <w:r w:rsidRPr="00031D64">
        <w:rPr>
          <w:rFonts w:ascii="Arial" w:eastAsia="Arial" w:hAnsi="Arial" w:cs="Arial"/>
          <w:color w:val="000000" w:themeColor="text1"/>
        </w:rPr>
        <w:t>:</w:t>
      </w:r>
      <w:r w:rsidR="00031D64">
        <w:rPr>
          <w:rFonts w:ascii="Arial" w:eastAsia="Arial" w:hAnsi="Arial" w:cs="Arial"/>
          <w:color w:val="000000" w:themeColor="text1"/>
        </w:rPr>
        <w:t xml:space="preserve"> </w:t>
      </w:r>
      <w:r w:rsidR="0042652C">
        <w:rPr>
          <w:rFonts w:ascii="Arial" w:eastAsia="Arial" w:hAnsi="Arial" w:cs="Arial"/>
          <w:color w:val="000000" w:themeColor="text1"/>
        </w:rPr>
        <w:t>MAPFRE SEGUROS GENERALES DE COLOMBIA</w:t>
      </w:r>
      <w:r w:rsidRPr="004738AE">
        <w:rPr>
          <w:rFonts w:ascii="Arial" w:eastAsia="Arial" w:hAnsi="Arial" w:cs="Arial"/>
          <w:color w:val="000000" w:themeColor="text1"/>
        </w:rPr>
        <w:t xml:space="preserve"> S.A.</w:t>
      </w:r>
      <w:r w:rsidR="0042652C">
        <w:rPr>
          <w:rFonts w:ascii="Arial" w:eastAsia="Arial" w:hAnsi="Arial" w:cs="Arial"/>
          <w:color w:val="000000" w:themeColor="text1"/>
        </w:rPr>
        <w:t xml:space="preserve"> Y OTROS</w:t>
      </w:r>
    </w:p>
    <w:p w14:paraId="50DABC08" w14:textId="5005ADCC" w:rsidR="00B1302E" w:rsidRPr="00E32B8B" w:rsidRDefault="00B1302E" w:rsidP="00EA5586">
      <w:pPr>
        <w:spacing w:line="312" w:lineRule="auto"/>
        <w:rPr>
          <w:rFonts w:ascii="Arial" w:eastAsia="Arial" w:hAnsi="Arial" w:cs="Arial"/>
          <w:color w:val="000000" w:themeColor="text1"/>
        </w:rPr>
      </w:pPr>
      <w:r w:rsidRPr="00E32B8B">
        <w:rPr>
          <w:rFonts w:ascii="Arial" w:eastAsia="Arial" w:hAnsi="Arial" w:cs="Arial"/>
          <w:color w:val="000000" w:themeColor="text1"/>
        </w:rPr>
        <w:t xml:space="preserve"> </w:t>
      </w:r>
    </w:p>
    <w:p w14:paraId="726C6BB3" w14:textId="77777777" w:rsidR="00B1302E" w:rsidRDefault="00B1302E" w:rsidP="00EA5586">
      <w:pPr>
        <w:spacing w:line="312" w:lineRule="auto"/>
        <w:jc w:val="right"/>
        <w:rPr>
          <w:rFonts w:ascii="Arial" w:eastAsia="Arial" w:hAnsi="Arial" w:cs="Arial"/>
          <w:b/>
          <w:bCs/>
          <w:color w:val="000000" w:themeColor="text1"/>
        </w:rPr>
      </w:pPr>
    </w:p>
    <w:p w14:paraId="446CA857" w14:textId="7BE4D6B9" w:rsidR="00B1302E" w:rsidRPr="00E32B8B" w:rsidRDefault="00B1302E" w:rsidP="00EA5586">
      <w:pPr>
        <w:spacing w:line="312" w:lineRule="auto"/>
        <w:jc w:val="right"/>
        <w:rPr>
          <w:rFonts w:ascii="Arial" w:eastAsia="Arial" w:hAnsi="Arial" w:cs="Arial"/>
          <w:color w:val="000000" w:themeColor="text1"/>
        </w:rPr>
      </w:pPr>
      <w:r w:rsidRPr="00E32B8B">
        <w:rPr>
          <w:rFonts w:ascii="Arial" w:eastAsia="Arial" w:hAnsi="Arial" w:cs="Arial"/>
          <w:b/>
          <w:bCs/>
          <w:color w:val="000000" w:themeColor="text1"/>
        </w:rPr>
        <w:t xml:space="preserve">ASUNTO: SOLICITUD DE </w:t>
      </w:r>
      <w:r w:rsidR="00500051">
        <w:rPr>
          <w:rFonts w:ascii="Arial" w:eastAsia="Arial" w:hAnsi="Arial" w:cs="Arial"/>
          <w:b/>
          <w:bCs/>
          <w:color w:val="000000" w:themeColor="text1"/>
        </w:rPr>
        <w:t xml:space="preserve">ACLARACIÓN Y </w:t>
      </w:r>
      <w:r w:rsidRPr="00E32B8B">
        <w:rPr>
          <w:rFonts w:ascii="Arial" w:eastAsia="Arial" w:hAnsi="Arial" w:cs="Arial"/>
          <w:b/>
          <w:bCs/>
          <w:color w:val="000000" w:themeColor="text1"/>
        </w:rPr>
        <w:t xml:space="preserve">ADICIÓN </w:t>
      </w:r>
      <w:r w:rsidR="00500051">
        <w:rPr>
          <w:rFonts w:ascii="Arial" w:eastAsia="Arial" w:hAnsi="Arial" w:cs="Arial"/>
          <w:b/>
          <w:bCs/>
          <w:color w:val="000000" w:themeColor="text1"/>
        </w:rPr>
        <w:t>DE</w:t>
      </w:r>
      <w:r>
        <w:rPr>
          <w:rFonts w:ascii="Arial" w:eastAsia="Arial" w:hAnsi="Arial" w:cs="Arial"/>
          <w:b/>
          <w:bCs/>
          <w:color w:val="000000" w:themeColor="text1"/>
        </w:rPr>
        <w:t xml:space="preserve"> SENTENCIA No. </w:t>
      </w:r>
      <w:r w:rsidR="00500051">
        <w:rPr>
          <w:rFonts w:ascii="Arial" w:eastAsia="Arial" w:hAnsi="Arial" w:cs="Arial"/>
          <w:b/>
          <w:bCs/>
          <w:color w:val="000000" w:themeColor="text1"/>
        </w:rPr>
        <w:t>226</w:t>
      </w:r>
    </w:p>
    <w:p w14:paraId="1782E441" w14:textId="77777777" w:rsidR="00B1302E" w:rsidRPr="00E32B8B" w:rsidRDefault="00B1302E" w:rsidP="00EA5586">
      <w:pPr>
        <w:spacing w:line="312" w:lineRule="auto"/>
        <w:jc w:val="both"/>
        <w:rPr>
          <w:rFonts w:ascii="Arial" w:eastAsia="Arial" w:hAnsi="Arial" w:cs="Arial"/>
          <w:b/>
          <w:bCs/>
          <w:color w:val="000000" w:themeColor="text1"/>
        </w:rPr>
      </w:pPr>
    </w:p>
    <w:p w14:paraId="137B5281" w14:textId="77777777" w:rsidR="00B1302E" w:rsidRDefault="00B1302E" w:rsidP="00EA5586">
      <w:pPr>
        <w:spacing w:line="312" w:lineRule="auto"/>
        <w:jc w:val="both"/>
        <w:rPr>
          <w:rFonts w:ascii="Arial" w:eastAsia="Arial" w:hAnsi="Arial" w:cs="Arial"/>
          <w:b/>
          <w:bCs/>
          <w:color w:val="000000" w:themeColor="text1"/>
        </w:rPr>
      </w:pPr>
    </w:p>
    <w:p w14:paraId="7D18DDE0" w14:textId="08C1A651" w:rsidR="00B1302E" w:rsidRPr="00E32B8B" w:rsidRDefault="00B1302E" w:rsidP="00EA5586">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GUSTAVO ALBERTO HERRERA ÁVILA</w:t>
      </w:r>
      <w:r w:rsidRPr="00E32B8B">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500051">
        <w:rPr>
          <w:rFonts w:ascii="Arial" w:eastAsia="Arial" w:hAnsi="Arial" w:cs="Arial"/>
          <w:color w:val="000000" w:themeColor="text1"/>
        </w:rPr>
        <w:t>general</w:t>
      </w:r>
      <w:r w:rsidRPr="00E32B8B">
        <w:rPr>
          <w:rFonts w:ascii="Arial" w:eastAsia="Arial" w:hAnsi="Arial" w:cs="Arial"/>
          <w:color w:val="000000" w:themeColor="text1"/>
        </w:rPr>
        <w:t xml:space="preserve"> de </w:t>
      </w:r>
      <w:r w:rsidR="00500051" w:rsidRPr="00500051">
        <w:rPr>
          <w:rFonts w:ascii="Arial" w:eastAsia="Arial" w:hAnsi="Arial" w:cs="Arial"/>
          <w:b/>
          <w:bCs/>
          <w:color w:val="000000" w:themeColor="text1"/>
        </w:rPr>
        <w:t>MAPFRE SEGUROS GENERALES DE COLOMBIA S.A.</w:t>
      </w:r>
      <w:r w:rsidRPr="00E32B8B">
        <w:rPr>
          <w:rFonts w:ascii="Arial" w:eastAsia="Arial" w:hAnsi="Arial" w:cs="Arial"/>
          <w:color w:val="000000" w:themeColor="text1"/>
        </w:rPr>
        <w:t>, conforme al poder que reposa en el expediente, encontrándome dentro del término correspondiente</w:t>
      </w:r>
      <w:r>
        <w:rPr>
          <w:rFonts w:ascii="Arial" w:eastAsia="Arial" w:hAnsi="Arial" w:cs="Arial"/>
          <w:color w:val="000000" w:themeColor="text1"/>
        </w:rPr>
        <w:t>;</w:t>
      </w:r>
      <w:r w:rsidRPr="00E32B8B">
        <w:rPr>
          <w:rFonts w:ascii="Arial" w:eastAsia="Arial" w:hAnsi="Arial" w:cs="Arial"/>
          <w:color w:val="000000" w:themeColor="text1"/>
        </w:rPr>
        <w:t xml:space="preserve"> comedidamente procedo a elevar </w:t>
      </w:r>
      <w:r w:rsidRPr="00E32B8B">
        <w:rPr>
          <w:rFonts w:ascii="Arial" w:eastAsia="Arial" w:hAnsi="Arial" w:cs="Arial"/>
          <w:b/>
          <w:bCs/>
          <w:color w:val="000000" w:themeColor="text1"/>
        </w:rPr>
        <w:t>SOLICITUD DE</w:t>
      </w:r>
      <w:r w:rsidR="007E653F">
        <w:rPr>
          <w:rFonts w:ascii="Arial" w:eastAsia="Arial" w:hAnsi="Arial" w:cs="Arial"/>
          <w:b/>
          <w:bCs/>
          <w:color w:val="000000" w:themeColor="text1"/>
        </w:rPr>
        <w:t xml:space="preserve"> ACLARACIÓN Y</w:t>
      </w:r>
      <w:r w:rsidRPr="00E32B8B">
        <w:rPr>
          <w:rFonts w:ascii="Arial" w:eastAsia="Arial" w:hAnsi="Arial" w:cs="Arial"/>
          <w:b/>
          <w:bCs/>
          <w:color w:val="000000" w:themeColor="text1"/>
        </w:rPr>
        <w:t xml:space="preserve"> ADICIÓN</w:t>
      </w:r>
      <w:r>
        <w:rPr>
          <w:rFonts w:ascii="Arial" w:eastAsia="Arial" w:hAnsi="Arial" w:cs="Arial"/>
          <w:b/>
          <w:bCs/>
          <w:color w:val="000000" w:themeColor="text1"/>
        </w:rPr>
        <w:t xml:space="preserve"> </w:t>
      </w:r>
      <w:r w:rsidRPr="00E32B8B">
        <w:rPr>
          <w:rFonts w:ascii="Arial" w:eastAsia="Arial" w:hAnsi="Arial" w:cs="Arial"/>
          <w:color w:val="000000" w:themeColor="text1"/>
        </w:rPr>
        <w:t>de</w:t>
      </w:r>
      <w:r>
        <w:rPr>
          <w:rFonts w:ascii="Arial" w:eastAsia="Arial" w:hAnsi="Arial" w:cs="Arial"/>
          <w:color w:val="000000" w:themeColor="text1"/>
        </w:rPr>
        <w:t xml:space="preserve"> </w:t>
      </w:r>
      <w:r w:rsidRPr="00E32B8B">
        <w:rPr>
          <w:rFonts w:ascii="Arial" w:eastAsia="Arial" w:hAnsi="Arial" w:cs="Arial"/>
          <w:color w:val="000000" w:themeColor="text1"/>
        </w:rPr>
        <w:t>l</w:t>
      </w:r>
      <w:r>
        <w:rPr>
          <w:rFonts w:ascii="Arial" w:eastAsia="Arial" w:hAnsi="Arial" w:cs="Arial"/>
          <w:color w:val="000000" w:themeColor="text1"/>
        </w:rPr>
        <w:t>a</w:t>
      </w:r>
      <w:r w:rsidRPr="00E32B8B">
        <w:rPr>
          <w:rFonts w:ascii="Arial" w:eastAsia="Arial" w:hAnsi="Arial" w:cs="Arial"/>
          <w:color w:val="000000" w:themeColor="text1"/>
        </w:rPr>
        <w:t xml:space="preserve"> </w:t>
      </w:r>
      <w:r>
        <w:rPr>
          <w:rFonts w:ascii="Arial" w:eastAsia="Arial" w:hAnsi="Arial" w:cs="Arial"/>
          <w:color w:val="000000" w:themeColor="text1"/>
        </w:rPr>
        <w:t>Sentencia</w:t>
      </w:r>
      <w:r w:rsidRPr="00E32B8B">
        <w:rPr>
          <w:rFonts w:ascii="Arial" w:eastAsia="Arial" w:hAnsi="Arial" w:cs="Arial"/>
          <w:color w:val="000000" w:themeColor="text1"/>
        </w:rPr>
        <w:t xml:space="preserve"> </w:t>
      </w:r>
      <w:r>
        <w:rPr>
          <w:rFonts w:ascii="Arial" w:eastAsia="Arial" w:hAnsi="Arial" w:cs="Arial"/>
          <w:color w:val="000000" w:themeColor="text1"/>
        </w:rPr>
        <w:t xml:space="preserve">No. </w:t>
      </w:r>
      <w:r w:rsidR="007E653F">
        <w:rPr>
          <w:rFonts w:ascii="Arial" w:eastAsia="Arial" w:hAnsi="Arial" w:cs="Arial"/>
          <w:color w:val="000000" w:themeColor="text1"/>
        </w:rPr>
        <w:t>126</w:t>
      </w:r>
      <w:r w:rsidRPr="00E32B8B">
        <w:rPr>
          <w:rFonts w:ascii="Arial" w:eastAsia="Arial" w:hAnsi="Arial" w:cs="Arial"/>
          <w:color w:val="000000" w:themeColor="text1"/>
        </w:rPr>
        <w:t xml:space="preserve"> </w:t>
      </w:r>
      <w:r>
        <w:rPr>
          <w:rFonts w:ascii="Arial" w:eastAsia="Arial" w:hAnsi="Arial" w:cs="Arial"/>
          <w:color w:val="000000" w:themeColor="text1"/>
        </w:rPr>
        <w:t>proferida</w:t>
      </w:r>
      <w:r w:rsidRPr="00E32B8B">
        <w:rPr>
          <w:rFonts w:ascii="Arial" w:eastAsia="Arial" w:hAnsi="Arial" w:cs="Arial"/>
          <w:color w:val="000000" w:themeColor="text1"/>
        </w:rPr>
        <w:t xml:space="preserve"> por este despacho el </w:t>
      </w:r>
      <w:r>
        <w:rPr>
          <w:rFonts w:ascii="Arial" w:eastAsia="Arial" w:hAnsi="Arial" w:cs="Arial"/>
          <w:color w:val="000000" w:themeColor="text1"/>
        </w:rPr>
        <w:t xml:space="preserve">pasado </w:t>
      </w:r>
      <w:r w:rsidR="007E653F">
        <w:rPr>
          <w:rFonts w:ascii="Arial" w:eastAsia="Arial" w:hAnsi="Arial" w:cs="Arial"/>
          <w:color w:val="000000" w:themeColor="text1"/>
        </w:rPr>
        <w:t>04</w:t>
      </w:r>
      <w:r w:rsidRPr="00E32B8B">
        <w:rPr>
          <w:rFonts w:ascii="Arial" w:eastAsia="Arial" w:hAnsi="Arial" w:cs="Arial"/>
          <w:color w:val="000000" w:themeColor="text1"/>
        </w:rPr>
        <w:t xml:space="preserve"> de </w:t>
      </w:r>
      <w:r w:rsidR="007E653F">
        <w:rPr>
          <w:rFonts w:ascii="Arial" w:eastAsia="Arial" w:hAnsi="Arial" w:cs="Arial"/>
          <w:color w:val="000000" w:themeColor="text1"/>
        </w:rPr>
        <w:t>julio</w:t>
      </w:r>
      <w:r w:rsidRPr="00E32B8B">
        <w:rPr>
          <w:rFonts w:ascii="Arial" w:eastAsia="Arial" w:hAnsi="Arial" w:cs="Arial"/>
          <w:color w:val="000000" w:themeColor="text1"/>
        </w:rPr>
        <w:t xml:space="preserve"> de 202</w:t>
      </w:r>
      <w:r>
        <w:rPr>
          <w:rFonts w:ascii="Arial" w:eastAsia="Arial" w:hAnsi="Arial" w:cs="Arial"/>
          <w:color w:val="000000" w:themeColor="text1"/>
        </w:rPr>
        <w:t>5</w:t>
      </w:r>
      <w:r w:rsidRPr="00E32B8B">
        <w:rPr>
          <w:rFonts w:ascii="Arial" w:eastAsia="Arial" w:hAnsi="Arial" w:cs="Arial"/>
          <w:color w:val="000000" w:themeColor="text1"/>
        </w:rPr>
        <w:t xml:space="preserve"> y notificad</w:t>
      </w:r>
      <w:r>
        <w:rPr>
          <w:rFonts w:ascii="Arial" w:eastAsia="Arial" w:hAnsi="Arial" w:cs="Arial"/>
          <w:color w:val="000000" w:themeColor="text1"/>
        </w:rPr>
        <w:t xml:space="preserve">a personalmente el </w:t>
      </w:r>
      <w:r w:rsidR="001D5B96">
        <w:rPr>
          <w:rFonts w:ascii="Arial" w:eastAsia="Arial" w:hAnsi="Arial" w:cs="Arial"/>
          <w:color w:val="000000" w:themeColor="text1"/>
        </w:rPr>
        <w:t>17</w:t>
      </w:r>
      <w:r>
        <w:rPr>
          <w:rFonts w:ascii="Arial" w:eastAsia="Arial" w:hAnsi="Arial" w:cs="Arial"/>
          <w:color w:val="000000" w:themeColor="text1"/>
        </w:rPr>
        <w:t xml:space="preserve"> de lo corrientes</w:t>
      </w:r>
      <w:r w:rsidRPr="00E32B8B">
        <w:rPr>
          <w:rFonts w:ascii="Arial" w:eastAsia="Arial" w:hAnsi="Arial" w:cs="Arial"/>
          <w:color w:val="000000" w:themeColor="text1"/>
        </w:rPr>
        <w:t xml:space="preserve">, mediante </w:t>
      </w:r>
      <w:r>
        <w:rPr>
          <w:rFonts w:ascii="Arial" w:eastAsia="Arial" w:hAnsi="Arial" w:cs="Arial"/>
          <w:color w:val="000000" w:themeColor="text1"/>
        </w:rPr>
        <w:t>la</w:t>
      </w:r>
      <w:r w:rsidRPr="00E32B8B">
        <w:rPr>
          <w:rFonts w:ascii="Arial" w:eastAsia="Arial" w:hAnsi="Arial" w:cs="Arial"/>
          <w:color w:val="000000" w:themeColor="text1"/>
        </w:rPr>
        <w:t xml:space="preserve"> cual se</w:t>
      </w:r>
      <w:r>
        <w:rPr>
          <w:rFonts w:ascii="Arial" w:eastAsia="Arial" w:hAnsi="Arial" w:cs="Arial"/>
          <w:color w:val="000000" w:themeColor="text1"/>
        </w:rPr>
        <w:t xml:space="preserve"> decidió </w:t>
      </w:r>
      <w:r w:rsidR="001D5B96">
        <w:rPr>
          <w:rFonts w:ascii="Arial" w:eastAsia="Arial" w:hAnsi="Arial" w:cs="Arial"/>
          <w:color w:val="000000" w:themeColor="text1"/>
        </w:rPr>
        <w:t>revocar la sentencia de primera instancia y conceder las pretensiones de la demanda, y puntualmente respecto de lo que concierne a este escrito, se reconoció el perjuicio de</w:t>
      </w:r>
      <w:r w:rsidR="004F26D5">
        <w:rPr>
          <w:rFonts w:ascii="Arial" w:eastAsia="Arial" w:hAnsi="Arial" w:cs="Arial"/>
          <w:color w:val="000000" w:themeColor="text1"/>
        </w:rPr>
        <w:t>l</w:t>
      </w:r>
      <w:r w:rsidR="001D5B96">
        <w:rPr>
          <w:rFonts w:ascii="Arial" w:eastAsia="Arial" w:hAnsi="Arial" w:cs="Arial"/>
          <w:color w:val="000000" w:themeColor="text1"/>
        </w:rPr>
        <w:t xml:space="preserve"> lucro cesante a la víctima en la modalidad de condena en abstracto aun cuando en el proceso no existe prueba de los ingresos, </w:t>
      </w:r>
      <w:r w:rsidR="006C3A2D">
        <w:rPr>
          <w:rFonts w:ascii="Arial" w:eastAsia="Arial" w:hAnsi="Arial" w:cs="Arial"/>
          <w:color w:val="000000" w:themeColor="text1"/>
        </w:rPr>
        <w:t>así como también</w:t>
      </w:r>
      <w:r w:rsidR="001D5B96">
        <w:rPr>
          <w:rFonts w:ascii="Arial" w:eastAsia="Arial" w:hAnsi="Arial" w:cs="Arial"/>
          <w:color w:val="000000" w:themeColor="text1"/>
        </w:rPr>
        <w:t xml:space="preserve"> se omitió indicar que la condena de mi procurada opera por reembolso</w:t>
      </w:r>
      <w:r w:rsidR="006C3A2D">
        <w:rPr>
          <w:rFonts w:ascii="Arial" w:eastAsia="Arial" w:hAnsi="Arial" w:cs="Arial"/>
          <w:color w:val="000000" w:themeColor="text1"/>
        </w:rPr>
        <w:t>, no se tuvo en cuenta el deducible y no se calculó ni determinó que la condena opera una vez efectuado el descuento del referido deducible</w:t>
      </w:r>
      <w:r w:rsidRPr="00E32B8B">
        <w:rPr>
          <w:rFonts w:ascii="Arial" w:eastAsia="Arial" w:hAnsi="Arial" w:cs="Arial"/>
          <w:color w:val="000000" w:themeColor="text1"/>
        </w:rPr>
        <w:t xml:space="preserve">; </w:t>
      </w:r>
      <w:r>
        <w:rPr>
          <w:rFonts w:ascii="Arial" w:eastAsia="Arial" w:hAnsi="Arial" w:cs="Arial"/>
          <w:color w:val="000000" w:themeColor="text1"/>
        </w:rPr>
        <w:t xml:space="preserve">a lo cual acudo </w:t>
      </w:r>
      <w:r w:rsidRPr="00E32B8B">
        <w:rPr>
          <w:rFonts w:ascii="Arial" w:eastAsia="Arial" w:hAnsi="Arial" w:cs="Arial"/>
          <w:color w:val="000000" w:themeColor="text1"/>
        </w:rPr>
        <w:t>de conformidad con los argumentos fácticos y jurídicos que se esgrimen a continuación:</w:t>
      </w:r>
    </w:p>
    <w:p w14:paraId="3E04D15D" w14:textId="77777777" w:rsidR="00B1302E" w:rsidRPr="00E32B8B" w:rsidRDefault="00B1302E" w:rsidP="00EA5586">
      <w:pPr>
        <w:spacing w:line="312" w:lineRule="auto"/>
        <w:jc w:val="both"/>
        <w:rPr>
          <w:rFonts w:ascii="Arial" w:eastAsia="Arial" w:hAnsi="Arial" w:cs="Arial"/>
          <w:color w:val="000000" w:themeColor="text1"/>
        </w:rPr>
      </w:pPr>
    </w:p>
    <w:p w14:paraId="59E0A158" w14:textId="77777777" w:rsidR="00B1302E" w:rsidRPr="00E32B8B" w:rsidRDefault="00B1302E" w:rsidP="00EA5586">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CAPÍTULO I. OPORTUNIDAD</w:t>
      </w:r>
    </w:p>
    <w:p w14:paraId="199A8E87" w14:textId="77777777" w:rsidR="00B1302E" w:rsidRPr="00E32B8B" w:rsidRDefault="00B1302E" w:rsidP="00EA5586">
      <w:pPr>
        <w:spacing w:line="312" w:lineRule="auto"/>
        <w:jc w:val="center"/>
        <w:rPr>
          <w:rFonts w:ascii="Arial" w:eastAsia="Arial" w:hAnsi="Arial" w:cs="Arial"/>
          <w:b/>
          <w:bCs/>
          <w:color w:val="000000" w:themeColor="text1"/>
          <w:u w:val="single"/>
        </w:rPr>
      </w:pPr>
    </w:p>
    <w:p w14:paraId="595A978D" w14:textId="7034714B" w:rsidR="00B1302E" w:rsidRPr="00E32B8B" w:rsidRDefault="00B1302E" w:rsidP="00EA5586">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La solicitud de a</w:t>
      </w:r>
      <w:r>
        <w:rPr>
          <w:rFonts w:ascii="Arial" w:eastAsia="Arial" w:hAnsi="Arial" w:cs="Arial"/>
          <w:color w:val="000000" w:themeColor="text1"/>
        </w:rPr>
        <w:t>di</w:t>
      </w:r>
      <w:r w:rsidRPr="00E32B8B">
        <w:rPr>
          <w:rFonts w:ascii="Arial" w:eastAsia="Arial" w:hAnsi="Arial" w:cs="Arial"/>
          <w:color w:val="000000" w:themeColor="text1"/>
        </w:rPr>
        <w:t>ción que se presenta a través de este memorial es procedente a la luz de lo dispuesto por el artículo 28</w:t>
      </w:r>
      <w:r>
        <w:rPr>
          <w:rFonts w:ascii="Arial" w:eastAsia="Arial" w:hAnsi="Arial" w:cs="Arial"/>
          <w:color w:val="000000" w:themeColor="text1"/>
        </w:rPr>
        <w:t>7</w:t>
      </w:r>
      <w:r w:rsidRPr="00E32B8B">
        <w:rPr>
          <w:rFonts w:ascii="Arial" w:eastAsia="Arial" w:hAnsi="Arial" w:cs="Arial"/>
          <w:color w:val="000000" w:themeColor="text1"/>
        </w:rPr>
        <w:t xml:space="preserve"> del Código General del Proceso,</w:t>
      </w:r>
      <w:r w:rsidR="00F75027">
        <w:rPr>
          <w:rFonts w:ascii="Arial" w:eastAsia="Arial" w:hAnsi="Arial" w:cs="Arial"/>
          <w:color w:val="000000" w:themeColor="text1"/>
        </w:rPr>
        <w:t xml:space="preserve"> aplicable por remisión expresa del artículo 211 de</w:t>
      </w:r>
      <w:r w:rsidR="002C3BBB">
        <w:rPr>
          <w:rFonts w:ascii="Arial" w:eastAsia="Arial" w:hAnsi="Arial" w:cs="Arial"/>
          <w:color w:val="000000" w:themeColor="text1"/>
        </w:rPr>
        <w:t xml:space="preserve"> la Ley 1437 de 2011</w:t>
      </w:r>
      <w:r w:rsidR="00F75027">
        <w:rPr>
          <w:rFonts w:ascii="Arial" w:eastAsia="Arial" w:hAnsi="Arial" w:cs="Arial"/>
          <w:color w:val="000000" w:themeColor="text1"/>
        </w:rPr>
        <w:t>,</w:t>
      </w:r>
      <w:r w:rsidRPr="00E32B8B">
        <w:rPr>
          <w:rFonts w:ascii="Arial" w:eastAsia="Arial" w:hAnsi="Arial" w:cs="Arial"/>
          <w:color w:val="000000" w:themeColor="text1"/>
        </w:rPr>
        <w:t xml:space="preserve"> de acuerdo con el cual</w:t>
      </w:r>
      <w:r w:rsidR="005F290A">
        <w:rPr>
          <w:rFonts w:ascii="Arial" w:eastAsia="Arial" w:hAnsi="Arial" w:cs="Arial"/>
          <w:color w:val="000000" w:themeColor="text1"/>
        </w:rPr>
        <w:t>,</w:t>
      </w:r>
      <w:r w:rsidRPr="00E32B8B">
        <w:rPr>
          <w:rFonts w:ascii="Arial" w:eastAsia="Arial" w:hAnsi="Arial" w:cs="Arial"/>
          <w:color w:val="000000" w:themeColor="text1"/>
        </w:rPr>
        <w:t xml:space="preserve"> </w:t>
      </w:r>
      <w:r w:rsidR="005F290A">
        <w:rPr>
          <w:rFonts w:ascii="Arial" w:eastAsia="Arial" w:hAnsi="Arial" w:cs="Arial"/>
          <w:color w:val="000000" w:themeColor="text1"/>
        </w:rPr>
        <w:t>la solicitud de la referencia</w:t>
      </w:r>
      <w:r w:rsidRPr="00E32B8B">
        <w:rPr>
          <w:rFonts w:ascii="Arial" w:eastAsia="Arial" w:hAnsi="Arial" w:cs="Arial"/>
          <w:color w:val="000000" w:themeColor="text1"/>
        </w:rPr>
        <w:t xml:space="preserve"> procede de oficio o a petición de parte siempre que sea formulada dentro del término de ejecutoria:</w:t>
      </w:r>
    </w:p>
    <w:p w14:paraId="0374D325" w14:textId="77777777" w:rsidR="00B1302E" w:rsidRPr="00E32B8B" w:rsidRDefault="00B1302E" w:rsidP="00EA5586">
      <w:pPr>
        <w:spacing w:line="312" w:lineRule="auto"/>
        <w:jc w:val="both"/>
        <w:rPr>
          <w:rFonts w:ascii="Arial" w:eastAsia="Arial" w:hAnsi="Arial" w:cs="Arial"/>
          <w:color w:val="000000" w:themeColor="text1"/>
        </w:rPr>
      </w:pPr>
    </w:p>
    <w:p w14:paraId="33D4DA87" w14:textId="77777777" w:rsidR="00B1302E" w:rsidRPr="00E32B8B" w:rsidRDefault="00B1302E" w:rsidP="00EA5586">
      <w:pPr>
        <w:spacing w:line="312" w:lineRule="auto"/>
        <w:ind w:left="567" w:right="567"/>
        <w:jc w:val="both"/>
        <w:rPr>
          <w:rFonts w:ascii="Arial" w:eastAsia="Arial" w:hAnsi="Arial" w:cs="Arial"/>
          <w:i/>
          <w:iCs/>
          <w:color w:val="000000" w:themeColor="text1"/>
          <w:sz w:val="20"/>
          <w:szCs w:val="20"/>
        </w:rPr>
      </w:pPr>
      <w:r w:rsidRPr="00E32B8B">
        <w:rPr>
          <w:rFonts w:ascii="Arial" w:eastAsia="Arial" w:hAnsi="Arial" w:cs="Arial"/>
          <w:i/>
          <w:iCs/>
          <w:color w:val="000000" w:themeColor="text1"/>
          <w:sz w:val="20"/>
          <w:szCs w:val="20"/>
        </w:rPr>
        <w:t>“</w:t>
      </w:r>
      <w:r>
        <w:rPr>
          <w:rFonts w:ascii="Arial" w:eastAsia="Arial" w:hAnsi="Arial" w:cs="Arial"/>
          <w:i/>
          <w:iCs/>
          <w:color w:val="000000" w:themeColor="text1"/>
          <w:sz w:val="20"/>
          <w:szCs w:val="20"/>
        </w:rPr>
        <w:t>(…)</w:t>
      </w:r>
      <w:r w:rsidRPr="004E32E9">
        <w:rPr>
          <w:rFonts w:ascii="Arial" w:eastAsia="Arial" w:hAnsi="Arial" w:cs="Arial"/>
          <w:i/>
          <w:iCs/>
          <w:color w:val="000000" w:themeColor="text1"/>
          <w:sz w:val="20"/>
          <w:szCs w:val="20"/>
        </w:rPr>
        <w:t xml:space="preserve"> </w:t>
      </w:r>
      <w:r w:rsidRPr="00CF6D6A">
        <w:rPr>
          <w:rFonts w:ascii="Arial" w:eastAsia="Arial" w:hAnsi="Arial" w:cs="Arial"/>
          <w:i/>
          <w:iCs/>
          <w:color w:val="000000" w:themeColor="text1"/>
          <w:sz w:val="20"/>
          <w:szCs w:val="20"/>
        </w:rPr>
        <w:t xml:space="preserve">Cuando la sentencia omita resolver (…) sobre cualquier otro punto que de conformidad con la ley debía ser objeto de pronunciamiento, deberá adicionarse por medio de sentencia complementaria, </w:t>
      </w:r>
      <w:r w:rsidRPr="00CF6D6A">
        <w:rPr>
          <w:rFonts w:ascii="Arial" w:eastAsia="Arial" w:hAnsi="Arial" w:cs="Arial"/>
          <w:b/>
          <w:bCs/>
          <w:i/>
          <w:iCs/>
          <w:color w:val="000000" w:themeColor="text1"/>
          <w:sz w:val="20"/>
          <w:szCs w:val="20"/>
          <w:u w:val="single"/>
        </w:rPr>
        <w:t>dentro de la ejecutoria</w:t>
      </w:r>
      <w:r w:rsidRPr="00CF6D6A">
        <w:rPr>
          <w:rFonts w:ascii="Arial" w:eastAsia="Arial" w:hAnsi="Arial" w:cs="Arial"/>
          <w:i/>
          <w:iCs/>
          <w:color w:val="000000" w:themeColor="text1"/>
          <w:sz w:val="20"/>
          <w:szCs w:val="20"/>
        </w:rPr>
        <w:t>, de oficio o a solicitud de parte presentada en la misma oportunidad</w:t>
      </w:r>
      <w:r>
        <w:rPr>
          <w:rFonts w:ascii="Arial" w:eastAsia="Arial" w:hAnsi="Arial" w:cs="Arial"/>
          <w:i/>
          <w:iCs/>
          <w:color w:val="000000" w:themeColor="text1"/>
          <w:sz w:val="20"/>
          <w:szCs w:val="20"/>
        </w:rPr>
        <w:t xml:space="preserve"> (…)</w:t>
      </w:r>
      <w:r w:rsidRPr="004E32E9">
        <w:rPr>
          <w:rFonts w:ascii="Arial" w:eastAsia="Arial" w:hAnsi="Arial" w:cs="Arial"/>
          <w:i/>
          <w:iCs/>
          <w:color w:val="000000" w:themeColor="text1"/>
          <w:sz w:val="20"/>
          <w:szCs w:val="20"/>
        </w:rPr>
        <w:t>.</w:t>
      </w:r>
      <w:r w:rsidRPr="00E32B8B">
        <w:rPr>
          <w:rFonts w:ascii="Arial" w:eastAsia="Arial" w:hAnsi="Arial" w:cs="Arial"/>
          <w:i/>
          <w:iCs/>
          <w:color w:val="000000" w:themeColor="text1"/>
          <w:sz w:val="20"/>
          <w:szCs w:val="20"/>
        </w:rPr>
        <w:t xml:space="preserve"> </w:t>
      </w:r>
      <w:r w:rsidRPr="00E32B8B">
        <w:rPr>
          <w:rFonts w:ascii="Arial" w:eastAsia="Arial" w:hAnsi="Arial" w:cs="Arial"/>
          <w:color w:val="000000" w:themeColor="text1"/>
          <w:sz w:val="20"/>
          <w:szCs w:val="20"/>
        </w:rPr>
        <w:t>(</w:t>
      </w:r>
      <w:r>
        <w:rPr>
          <w:rFonts w:ascii="Arial" w:eastAsia="Arial" w:hAnsi="Arial" w:cs="Arial"/>
          <w:color w:val="000000" w:themeColor="text1"/>
          <w:sz w:val="20"/>
          <w:szCs w:val="20"/>
        </w:rPr>
        <w:t>S</w:t>
      </w:r>
      <w:r w:rsidRPr="00E32B8B">
        <w:rPr>
          <w:rFonts w:ascii="Arial" w:eastAsia="Arial" w:hAnsi="Arial" w:cs="Arial"/>
          <w:color w:val="000000" w:themeColor="text1"/>
          <w:sz w:val="20"/>
          <w:szCs w:val="20"/>
        </w:rPr>
        <w:t xml:space="preserve">ubrayado </w:t>
      </w:r>
      <w:r>
        <w:rPr>
          <w:rFonts w:ascii="Arial" w:eastAsia="Arial" w:hAnsi="Arial" w:cs="Arial"/>
          <w:color w:val="000000" w:themeColor="text1"/>
          <w:sz w:val="20"/>
          <w:szCs w:val="20"/>
        </w:rPr>
        <w:t>y n</w:t>
      </w:r>
      <w:r w:rsidRPr="00E32B8B">
        <w:rPr>
          <w:rFonts w:ascii="Arial" w:eastAsia="Arial" w:hAnsi="Arial" w:cs="Arial"/>
          <w:color w:val="000000" w:themeColor="text1"/>
          <w:sz w:val="20"/>
          <w:szCs w:val="20"/>
        </w:rPr>
        <w:t>egrilla</w:t>
      </w:r>
      <w:r>
        <w:rPr>
          <w:rFonts w:ascii="Arial" w:eastAsia="Arial" w:hAnsi="Arial" w:cs="Arial"/>
          <w:color w:val="000000" w:themeColor="text1"/>
          <w:sz w:val="20"/>
          <w:szCs w:val="20"/>
        </w:rPr>
        <w:t>s</w:t>
      </w:r>
      <w:r w:rsidRPr="00E32B8B">
        <w:rPr>
          <w:rFonts w:ascii="Arial" w:eastAsia="Arial" w:hAnsi="Arial" w:cs="Arial"/>
          <w:color w:val="000000" w:themeColor="text1"/>
          <w:sz w:val="20"/>
          <w:szCs w:val="20"/>
        </w:rPr>
        <w:t xml:space="preserve"> y fuera de texto</w:t>
      </w:r>
      <w:r>
        <w:rPr>
          <w:rFonts w:ascii="Arial" w:eastAsia="Arial" w:hAnsi="Arial" w:cs="Arial"/>
          <w:color w:val="000000" w:themeColor="text1"/>
          <w:sz w:val="20"/>
          <w:szCs w:val="20"/>
        </w:rPr>
        <w:t xml:space="preserve"> original</w:t>
      </w:r>
      <w:r w:rsidRPr="00E32B8B">
        <w:rPr>
          <w:rFonts w:ascii="Arial" w:eastAsia="Arial" w:hAnsi="Arial" w:cs="Arial"/>
          <w:color w:val="000000" w:themeColor="text1"/>
          <w:sz w:val="20"/>
          <w:szCs w:val="20"/>
        </w:rPr>
        <w:t>)</w:t>
      </w:r>
    </w:p>
    <w:p w14:paraId="07D04DB4" w14:textId="77777777" w:rsidR="00B1302E" w:rsidRPr="00E32B8B" w:rsidRDefault="00B1302E" w:rsidP="00EA5586">
      <w:pPr>
        <w:spacing w:line="312" w:lineRule="auto"/>
        <w:jc w:val="both"/>
        <w:rPr>
          <w:rFonts w:ascii="Arial" w:eastAsia="Arial" w:hAnsi="Arial" w:cs="Arial"/>
          <w:color w:val="000000" w:themeColor="text1"/>
        </w:rPr>
      </w:pPr>
    </w:p>
    <w:p w14:paraId="5D41B201" w14:textId="1016F6AD" w:rsidR="00B1302E" w:rsidRPr="00E32B8B" w:rsidRDefault="00B1302E" w:rsidP="00EA5586">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 xml:space="preserve">En el presente caso, </w:t>
      </w:r>
      <w:r>
        <w:rPr>
          <w:rFonts w:ascii="Arial" w:eastAsia="Arial" w:hAnsi="Arial" w:cs="Arial"/>
          <w:color w:val="000000" w:themeColor="text1"/>
        </w:rPr>
        <w:t>la sentencia N</w:t>
      </w:r>
      <w:r w:rsidRPr="00E32B8B">
        <w:rPr>
          <w:rFonts w:ascii="Arial" w:eastAsia="Arial" w:hAnsi="Arial" w:cs="Arial"/>
          <w:color w:val="000000" w:themeColor="text1"/>
        </w:rPr>
        <w:t>o</w:t>
      </w:r>
      <w:r>
        <w:rPr>
          <w:rFonts w:ascii="Arial" w:eastAsia="Arial" w:hAnsi="Arial" w:cs="Arial"/>
          <w:color w:val="000000" w:themeColor="text1"/>
        </w:rPr>
        <w:t xml:space="preserve">. </w:t>
      </w:r>
      <w:r w:rsidR="00941B44">
        <w:rPr>
          <w:rFonts w:ascii="Arial" w:eastAsia="Arial" w:hAnsi="Arial" w:cs="Arial"/>
          <w:color w:val="000000" w:themeColor="text1"/>
        </w:rPr>
        <w:t>126</w:t>
      </w:r>
      <w:r w:rsidRPr="00E32B8B">
        <w:rPr>
          <w:rFonts w:ascii="Arial" w:eastAsia="Arial" w:hAnsi="Arial" w:cs="Arial"/>
          <w:color w:val="000000" w:themeColor="text1"/>
        </w:rPr>
        <w:t xml:space="preserve"> del </w:t>
      </w:r>
      <w:r w:rsidR="00941B44">
        <w:rPr>
          <w:rFonts w:ascii="Arial" w:eastAsia="Arial" w:hAnsi="Arial" w:cs="Arial"/>
          <w:color w:val="000000" w:themeColor="text1"/>
        </w:rPr>
        <w:t>04</w:t>
      </w:r>
      <w:r w:rsidRPr="00E32B8B">
        <w:rPr>
          <w:rFonts w:ascii="Arial" w:eastAsia="Arial" w:hAnsi="Arial" w:cs="Arial"/>
          <w:color w:val="000000" w:themeColor="text1"/>
        </w:rPr>
        <w:t xml:space="preserve"> de </w:t>
      </w:r>
      <w:r w:rsidR="00941B44">
        <w:rPr>
          <w:rFonts w:ascii="Arial" w:eastAsia="Arial" w:hAnsi="Arial" w:cs="Arial"/>
          <w:color w:val="000000" w:themeColor="text1"/>
        </w:rPr>
        <w:t>julio</w:t>
      </w:r>
      <w:r w:rsidRPr="00E32B8B">
        <w:rPr>
          <w:rFonts w:ascii="Arial" w:eastAsia="Arial" w:hAnsi="Arial" w:cs="Arial"/>
          <w:color w:val="000000" w:themeColor="text1"/>
        </w:rPr>
        <w:t xml:space="preserve"> de 202</w:t>
      </w:r>
      <w:r>
        <w:rPr>
          <w:rFonts w:ascii="Arial" w:eastAsia="Arial" w:hAnsi="Arial" w:cs="Arial"/>
          <w:color w:val="000000" w:themeColor="text1"/>
        </w:rPr>
        <w:t>5</w:t>
      </w:r>
      <w:r w:rsidRPr="00E32B8B">
        <w:rPr>
          <w:rFonts w:ascii="Arial" w:eastAsia="Arial" w:hAnsi="Arial" w:cs="Arial"/>
          <w:color w:val="000000" w:themeColor="text1"/>
        </w:rPr>
        <w:t xml:space="preserve"> fue notificad</w:t>
      </w:r>
      <w:r>
        <w:rPr>
          <w:rFonts w:ascii="Arial" w:eastAsia="Arial" w:hAnsi="Arial" w:cs="Arial"/>
          <w:color w:val="000000" w:themeColor="text1"/>
        </w:rPr>
        <w:t>a</w:t>
      </w:r>
      <w:r w:rsidRPr="00E32B8B">
        <w:rPr>
          <w:rFonts w:ascii="Arial" w:eastAsia="Arial" w:hAnsi="Arial" w:cs="Arial"/>
          <w:color w:val="000000" w:themeColor="text1"/>
        </w:rPr>
        <w:t xml:space="preserve"> </w:t>
      </w:r>
      <w:r>
        <w:rPr>
          <w:rFonts w:ascii="Arial" w:eastAsia="Arial" w:hAnsi="Arial" w:cs="Arial"/>
          <w:color w:val="000000" w:themeColor="text1"/>
        </w:rPr>
        <w:t>personalmente</w:t>
      </w:r>
      <w:r w:rsidRPr="00E32B8B">
        <w:rPr>
          <w:rFonts w:ascii="Arial" w:eastAsia="Arial" w:hAnsi="Arial" w:cs="Arial"/>
          <w:color w:val="000000" w:themeColor="text1"/>
        </w:rPr>
        <w:t xml:space="preserve"> el </w:t>
      </w:r>
      <w:r w:rsidR="00941B44">
        <w:rPr>
          <w:rFonts w:ascii="Arial" w:eastAsia="Arial" w:hAnsi="Arial" w:cs="Arial"/>
          <w:color w:val="000000" w:themeColor="text1"/>
        </w:rPr>
        <w:t>17</w:t>
      </w:r>
      <w:r w:rsidRPr="00E32B8B">
        <w:rPr>
          <w:rFonts w:ascii="Arial" w:eastAsia="Arial" w:hAnsi="Arial" w:cs="Arial"/>
          <w:color w:val="000000" w:themeColor="text1"/>
        </w:rPr>
        <w:t xml:space="preserve"> de </w:t>
      </w:r>
      <w:r w:rsidR="00941B44">
        <w:rPr>
          <w:rFonts w:ascii="Arial" w:eastAsia="Arial" w:hAnsi="Arial" w:cs="Arial"/>
          <w:color w:val="000000" w:themeColor="text1"/>
        </w:rPr>
        <w:t>julio</w:t>
      </w:r>
      <w:r>
        <w:rPr>
          <w:rFonts w:ascii="Arial" w:eastAsia="Arial" w:hAnsi="Arial" w:cs="Arial"/>
          <w:color w:val="000000" w:themeColor="text1"/>
        </w:rPr>
        <w:t xml:space="preserve"> </w:t>
      </w:r>
      <w:r w:rsidRPr="00E32B8B">
        <w:rPr>
          <w:rFonts w:ascii="Arial" w:eastAsia="Arial" w:hAnsi="Arial" w:cs="Arial"/>
          <w:color w:val="000000" w:themeColor="text1"/>
        </w:rPr>
        <w:t>de 202</w:t>
      </w:r>
      <w:r>
        <w:rPr>
          <w:rFonts w:ascii="Arial" w:eastAsia="Arial" w:hAnsi="Arial" w:cs="Arial"/>
          <w:color w:val="000000" w:themeColor="text1"/>
        </w:rPr>
        <w:t>5</w:t>
      </w:r>
      <w:r w:rsidRPr="00E32B8B">
        <w:rPr>
          <w:rFonts w:ascii="Arial" w:eastAsia="Arial" w:hAnsi="Arial" w:cs="Arial"/>
          <w:color w:val="000000" w:themeColor="text1"/>
        </w:rPr>
        <w:t xml:space="preserve">, por lo que los tres (3) días de ejecutoria comenzaron a correr a partir del </w:t>
      </w:r>
      <w:r w:rsidR="00941B44">
        <w:rPr>
          <w:rFonts w:ascii="Arial" w:eastAsia="Arial" w:hAnsi="Arial" w:cs="Arial"/>
          <w:color w:val="000000" w:themeColor="text1"/>
        </w:rPr>
        <w:t>18</w:t>
      </w:r>
      <w:r w:rsidRPr="00E32B8B">
        <w:rPr>
          <w:rFonts w:ascii="Arial" w:eastAsia="Arial" w:hAnsi="Arial" w:cs="Arial"/>
          <w:color w:val="000000" w:themeColor="text1"/>
        </w:rPr>
        <w:t xml:space="preserve"> de </w:t>
      </w:r>
      <w:r w:rsidR="00941B44">
        <w:rPr>
          <w:rFonts w:ascii="Arial" w:eastAsia="Arial" w:hAnsi="Arial" w:cs="Arial"/>
          <w:color w:val="000000" w:themeColor="text1"/>
        </w:rPr>
        <w:t>julio de 2025</w:t>
      </w:r>
      <w:r w:rsidRPr="00E32B8B">
        <w:rPr>
          <w:rFonts w:ascii="Arial" w:eastAsia="Arial" w:hAnsi="Arial" w:cs="Arial"/>
          <w:color w:val="000000" w:themeColor="text1"/>
        </w:rPr>
        <w:t xml:space="preserve">, así: </w:t>
      </w:r>
      <w:r w:rsidR="00941B44">
        <w:rPr>
          <w:rFonts w:ascii="Arial" w:eastAsia="Arial" w:hAnsi="Arial" w:cs="Arial"/>
          <w:color w:val="000000" w:themeColor="text1"/>
        </w:rPr>
        <w:t>18</w:t>
      </w:r>
      <w:r w:rsidRPr="00E32B8B">
        <w:rPr>
          <w:rFonts w:ascii="Arial" w:eastAsia="Arial" w:hAnsi="Arial" w:cs="Arial"/>
          <w:color w:val="000000" w:themeColor="text1"/>
        </w:rPr>
        <w:t xml:space="preserve">, </w:t>
      </w:r>
      <w:r w:rsidR="00941B44">
        <w:rPr>
          <w:rFonts w:ascii="Arial" w:eastAsia="Arial" w:hAnsi="Arial" w:cs="Arial"/>
          <w:color w:val="000000" w:themeColor="text1"/>
        </w:rPr>
        <w:t>21</w:t>
      </w:r>
      <w:r w:rsidRPr="00E32B8B">
        <w:rPr>
          <w:rFonts w:ascii="Arial" w:eastAsia="Arial" w:hAnsi="Arial" w:cs="Arial"/>
          <w:color w:val="000000" w:themeColor="text1"/>
        </w:rPr>
        <w:t xml:space="preserve"> y </w:t>
      </w:r>
      <w:r w:rsidR="00941B44">
        <w:rPr>
          <w:rFonts w:ascii="Arial" w:eastAsia="Arial" w:hAnsi="Arial" w:cs="Arial"/>
          <w:b/>
          <w:bCs/>
          <w:color w:val="000000" w:themeColor="text1"/>
        </w:rPr>
        <w:t>22</w:t>
      </w:r>
      <w:r w:rsidRPr="00E32B8B">
        <w:rPr>
          <w:rFonts w:ascii="Arial" w:eastAsia="Arial" w:hAnsi="Arial" w:cs="Arial"/>
          <w:b/>
          <w:bCs/>
          <w:color w:val="000000" w:themeColor="text1"/>
        </w:rPr>
        <w:t xml:space="preserve"> de </w:t>
      </w:r>
      <w:r w:rsidR="00941B44">
        <w:rPr>
          <w:rFonts w:ascii="Arial" w:eastAsia="Arial" w:hAnsi="Arial" w:cs="Arial"/>
          <w:b/>
          <w:bCs/>
          <w:color w:val="000000" w:themeColor="text1"/>
        </w:rPr>
        <w:t>julio</w:t>
      </w:r>
      <w:r w:rsidRPr="00E32B8B">
        <w:rPr>
          <w:rFonts w:ascii="Arial" w:eastAsia="Arial" w:hAnsi="Arial" w:cs="Arial"/>
          <w:b/>
          <w:bCs/>
          <w:color w:val="000000" w:themeColor="text1"/>
        </w:rPr>
        <w:t xml:space="preserve"> de 202</w:t>
      </w:r>
      <w:r>
        <w:rPr>
          <w:rFonts w:ascii="Arial" w:eastAsia="Arial" w:hAnsi="Arial" w:cs="Arial"/>
          <w:b/>
          <w:bCs/>
          <w:color w:val="000000" w:themeColor="text1"/>
        </w:rPr>
        <w:t>5</w:t>
      </w:r>
      <w:r w:rsidRPr="00E32B8B">
        <w:rPr>
          <w:rFonts w:ascii="Arial" w:eastAsia="Arial" w:hAnsi="Arial" w:cs="Arial"/>
          <w:color w:val="000000" w:themeColor="text1"/>
        </w:rPr>
        <w:t xml:space="preserve">. Por lo tanto, la presente solicitud de </w:t>
      </w:r>
      <w:r>
        <w:rPr>
          <w:rFonts w:ascii="Arial" w:eastAsia="Arial" w:hAnsi="Arial" w:cs="Arial"/>
          <w:color w:val="000000" w:themeColor="text1"/>
        </w:rPr>
        <w:t>adi</w:t>
      </w:r>
      <w:r w:rsidRPr="00E32B8B">
        <w:rPr>
          <w:rFonts w:ascii="Arial" w:eastAsia="Arial" w:hAnsi="Arial" w:cs="Arial"/>
          <w:color w:val="000000" w:themeColor="text1"/>
        </w:rPr>
        <w:t>ción</w:t>
      </w:r>
      <w:r w:rsidR="004F26D5">
        <w:rPr>
          <w:rFonts w:ascii="Arial" w:eastAsia="Arial" w:hAnsi="Arial" w:cs="Arial"/>
          <w:color w:val="000000" w:themeColor="text1"/>
        </w:rPr>
        <w:t xml:space="preserve"> y aclaración</w:t>
      </w:r>
      <w:r w:rsidRPr="00E32B8B">
        <w:rPr>
          <w:rFonts w:ascii="Arial" w:eastAsia="Arial" w:hAnsi="Arial" w:cs="Arial"/>
          <w:color w:val="000000" w:themeColor="text1"/>
        </w:rPr>
        <w:t xml:space="preserve"> se presenta dentro de la oportunidad correspondiente. </w:t>
      </w:r>
    </w:p>
    <w:p w14:paraId="3C56B25F" w14:textId="77777777" w:rsidR="00B1302E" w:rsidRPr="00E32B8B" w:rsidRDefault="00B1302E" w:rsidP="00EA5586">
      <w:pPr>
        <w:spacing w:line="312" w:lineRule="auto"/>
        <w:jc w:val="both"/>
        <w:rPr>
          <w:rFonts w:ascii="Arial" w:eastAsia="Arial" w:hAnsi="Arial" w:cs="Arial"/>
          <w:color w:val="000000" w:themeColor="text1"/>
        </w:rPr>
      </w:pPr>
    </w:p>
    <w:p w14:paraId="6505B077" w14:textId="77777777" w:rsidR="00B1302E" w:rsidRPr="00E32B8B" w:rsidRDefault="00B1302E" w:rsidP="00EA5586">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CAPÍTULO II. FUNDAMENTOS DE LA SOLICITUD</w:t>
      </w:r>
    </w:p>
    <w:p w14:paraId="264FA9C9" w14:textId="77777777" w:rsidR="00B1302E" w:rsidRPr="00E32B8B" w:rsidRDefault="00B1302E" w:rsidP="00EA5586">
      <w:pPr>
        <w:spacing w:line="312" w:lineRule="auto"/>
        <w:jc w:val="both"/>
        <w:rPr>
          <w:rFonts w:ascii="Arial" w:eastAsia="Arial" w:hAnsi="Arial" w:cs="Arial"/>
          <w:b/>
          <w:bCs/>
          <w:color w:val="000000" w:themeColor="text1"/>
          <w:u w:val="single"/>
        </w:rPr>
      </w:pPr>
    </w:p>
    <w:p w14:paraId="593154B7" w14:textId="7E0C11A2" w:rsidR="00B1302E" w:rsidRDefault="00B1302E" w:rsidP="00EA5586">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 xml:space="preserve">PRIMERO: </w:t>
      </w:r>
      <w:r w:rsidR="00607853">
        <w:rPr>
          <w:rFonts w:ascii="Arial" w:eastAsia="Arial" w:hAnsi="Arial" w:cs="Arial"/>
          <w:color w:val="000000" w:themeColor="text1"/>
        </w:rPr>
        <w:t xml:space="preserve">Tanto en la contestación de la demanda y del llamamiento en garantía como en los alegatos, desde este extremo procesal se hizo referencia y se argumentó </w:t>
      </w:r>
      <w:r w:rsidR="00C63D22">
        <w:rPr>
          <w:rFonts w:ascii="Arial" w:eastAsia="Arial" w:hAnsi="Arial" w:cs="Arial"/>
          <w:color w:val="000000" w:themeColor="text1"/>
        </w:rPr>
        <w:t>en debida forma que:</w:t>
      </w:r>
    </w:p>
    <w:p w14:paraId="0EDF5233" w14:textId="77777777" w:rsidR="00C63D22" w:rsidRDefault="00C63D22" w:rsidP="00EA5586">
      <w:pPr>
        <w:spacing w:line="312" w:lineRule="auto"/>
        <w:jc w:val="both"/>
        <w:rPr>
          <w:rFonts w:ascii="Arial" w:eastAsia="Arial" w:hAnsi="Arial" w:cs="Arial"/>
          <w:color w:val="000000" w:themeColor="text1"/>
        </w:rPr>
      </w:pPr>
    </w:p>
    <w:p w14:paraId="61159FBC" w14:textId="765F98D2" w:rsidR="00B579B3" w:rsidRDefault="00C63D22" w:rsidP="00EA5586">
      <w:pPr>
        <w:spacing w:line="312" w:lineRule="auto"/>
        <w:jc w:val="both"/>
        <w:rPr>
          <w:rFonts w:ascii="Arial" w:eastAsia="Arial" w:hAnsi="Arial" w:cs="Arial"/>
          <w:color w:val="000000" w:themeColor="text1"/>
        </w:rPr>
      </w:pPr>
      <w:r w:rsidRPr="00C63D22">
        <w:rPr>
          <w:rFonts w:ascii="Arial" w:eastAsia="Arial" w:hAnsi="Arial" w:cs="Arial"/>
          <w:b/>
          <w:bCs/>
          <w:color w:val="000000" w:themeColor="text1"/>
        </w:rPr>
        <w:t>No existe en el plenario prueba alguna de los perjuicios relacionados al lucro cesante</w:t>
      </w:r>
      <w:r>
        <w:rPr>
          <w:rFonts w:ascii="Arial" w:eastAsia="Arial" w:hAnsi="Arial" w:cs="Arial"/>
          <w:color w:val="000000" w:themeColor="text1"/>
        </w:rPr>
        <w:t xml:space="preserve">: esto porque </w:t>
      </w:r>
      <w:r w:rsidRPr="00C63D22">
        <w:rPr>
          <w:rFonts w:ascii="Arial" w:eastAsia="Arial" w:hAnsi="Arial" w:cs="Arial"/>
          <w:color w:val="000000" w:themeColor="text1"/>
        </w:rPr>
        <w:t>de los medios probatorios allegados al dossier se pudo corroborar que la actora siguió laborando en las mismas funciones que desempeñaba antes de</w:t>
      </w:r>
      <w:r>
        <w:rPr>
          <w:rFonts w:ascii="Arial" w:eastAsia="Arial" w:hAnsi="Arial" w:cs="Arial"/>
          <w:color w:val="000000" w:themeColor="text1"/>
        </w:rPr>
        <w:t xml:space="preserve"> </w:t>
      </w:r>
      <w:r w:rsidRPr="00C63D22">
        <w:rPr>
          <w:rFonts w:ascii="Arial" w:eastAsia="Arial" w:hAnsi="Arial" w:cs="Arial"/>
          <w:color w:val="000000" w:themeColor="text1"/>
        </w:rPr>
        <w:t>l</w:t>
      </w:r>
      <w:r>
        <w:rPr>
          <w:rFonts w:ascii="Arial" w:eastAsia="Arial" w:hAnsi="Arial" w:cs="Arial"/>
          <w:color w:val="000000" w:themeColor="text1"/>
        </w:rPr>
        <w:t>os</w:t>
      </w:r>
      <w:r w:rsidRPr="00C63D22">
        <w:rPr>
          <w:rFonts w:ascii="Arial" w:eastAsia="Arial" w:hAnsi="Arial" w:cs="Arial"/>
          <w:color w:val="000000" w:themeColor="text1"/>
        </w:rPr>
        <w:t xml:space="preserve"> </w:t>
      </w:r>
      <w:r>
        <w:rPr>
          <w:rFonts w:ascii="Arial" w:eastAsia="Arial" w:hAnsi="Arial" w:cs="Arial"/>
          <w:color w:val="000000" w:themeColor="text1"/>
        </w:rPr>
        <w:t>hechos</w:t>
      </w:r>
      <w:r w:rsidRPr="00C63D22">
        <w:rPr>
          <w:rFonts w:ascii="Arial" w:eastAsia="Arial" w:hAnsi="Arial" w:cs="Arial"/>
          <w:color w:val="000000" w:themeColor="text1"/>
        </w:rPr>
        <w:t xml:space="preserve">, </w:t>
      </w:r>
      <w:r>
        <w:rPr>
          <w:rFonts w:ascii="Arial" w:eastAsia="Arial" w:hAnsi="Arial" w:cs="Arial"/>
          <w:color w:val="000000" w:themeColor="text1"/>
        </w:rPr>
        <w:t>en incluso,</w:t>
      </w:r>
      <w:r w:rsidRPr="00C63D22">
        <w:rPr>
          <w:rFonts w:ascii="Arial" w:eastAsia="Arial" w:hAnsi="Arial" w:cs="Arial"/>
          <w:color w:val="000000" w:themeColor="text1"/>
        </w:rPr>
        <w:t xml:space="preserve"> con posterioridad </w:t>
      </w:r>
      <w:r>
        <w:rPr>
          <w:rFonts w:ascii="Arial" w:eastAsia="Arial" w:hAnsi="Arial" w:cs="Arial"/>
          <w:color w:val="000000" w:themeColor="text1"/>
        </w:rPr>
        <w:t xml:space="preserve">a ellos, </w:t>
      </w:r>
      <w:r w:rsidRPr="00C63D22">
        <w:rPr>
          <w:rFonts w:ascii="Arial" w:eastAsia="Arial" w:hAnsi="Arial" w:cs="Arial"/>
          <w:color w:val="000000" w:themeColor="text1"/>
        </w:rPr>
        <w:t xml:space="preserve">ascendió de cargo, </w:t>
      </w:r>
      <w:r w:rsidR="00B579B3">
        <w:rPr>
          <w:rFonts w:ascii="Arial" w:eastAsia="Arial" w:hAnsi="Arial" w:cs="Arial"/>
          <w:color w:val="000000" w:themeColor="text1"/>
        </w:rPr>
        <w:t>escenario en el cual</w:t>
      </w:r>
      <w:r w:rsidRPr="00C63D22">
        <w:rPr>
          <w:rFonts w:ascii="Arial" w:eastAsia="Arial" w:hAnsi="Arial" w:cs="Arial"/>
          <w:color w:val="000000" w:themeColor="text1"/>
        </w:rPr>
        <w:t xml:space="preserve"> de ninguna manera </w:t>
      </w:r>
      <w:r w:rsidR="00B579B3">
        <w:rPr>
          <w:rFonts w:ascii="Arial" w:eastAsia="Arial" w:hAnsi="Arial" w:cs="Arial"/>
          <w:color w:val="000000" w:themeColor="text1"/>
        </w:rPr>
        <w:t>se puede hablar de que hubo una merma de</w:t>
      </w:r>
      <w:r w:rsidRPr="00C63D22">
        <w:rPr>
          <w:rFonts w:ascii="Arial" w:eastAsia="Arial" w:hAnsi="Arial" w:cs="Arial"/>
          <w:color w:val="000000" w:themeColor="text1"/>
        </w:rPr>
        <w:t xml:space="preserve"> sus ingresos </w:t>
      </w:r>
      <w:r w:rsidR="00B579B3">
        <w:rPr>
          <w:rFonts w:ascii="Arial" w:eastAsia="Arial" w:hAnsi="Arial" w:cs="Arial"/>
          <w:color w:val="000000" w:themeColor="text1"/>
        </w:rPr>
        <w:t xml:space="preserve">y, </w:t>
      </w:r>
      <w:r w:rsidRPr="00C63D22">
        <w:rPr>
          <w:rFonts w:ascii="Arial" w:eastAsia="Arial" w:hAnsi="Arial" w:cs="Arial"/>
          <w:color w:val="000000" w:themeColor="text1"/>
        </w:rPr>
        <w:t>en consecuencia, no podr</w:t>
      </w:r>
      <w:r w:rsidR="00B579B3">
        <w:rPr>
          <w:rFonts w:ascii="Arial" w:eastAsia="Arial" w:hAnsi="Arial" w:cs="Arial"/>
          <w:color w:val="000000" w:themeColor="text1"/>
        </w:rPr>
        <w:t>ía</w:t>
      </w:r>
      <w:r w:rsidRPr="00C63D22">
        <w:rPr>
          <w:rFonts w:ascii="Arial" w:eastAsia="Arial" w:hAnsi="Arial" w:cs="Arial"/>
          <w:color w:val="000000" w:themeColor="text1"/>
        </w:rPr>
        <w:t xml:space="preserve"> accederse a </w:t>
      </w:r>
      <w:r w:rsidR="00B579B3">
        <w:rPr>
          <w:rFonts w:ascii="Arial" w:eastAsia="Arial" w:hAnsi="Arial" w:cs="Arial"/>
          <w:color w:val="000000" w:themeColor="text1"/>
        </w:rPr>
        <w:t xml:space="preserve">una </w:t>
      </w:r>
      <w:r w:rsidRPr="00C63D22">
        <w:rPr>
          <w:rFonts w:ascii="Arial" w:eastAsia="Arial" w:hAnsi="Arial" w:cs="Arial"/>
          <w:color w:val="000000" w:themeColor="text1"/>
        </w:rPr>
        <w:t>pretensión</w:t>
      </w:r>
      <w:r w:rsidR="00B579B3">
        <w:rPr>
          <w:rFonts w:ascii="Arial" w:eastAsia="Arial" w:hAnsi="Arial" w:cs="Arial"/>
          <w:color w:val="000000" w:themeColor="text1"/>
        </w:rPr>
        <w:t xml:space="preserve"> de esa naturaleza.</w:t>
      </w:r>
    </w:p>
    <w:p w14:paraId="636A9C2B" w14:textId="77777777" w:rsidR="00B579B3" w:rsidRDefault="00B579B3" w:rsidP="00EA5586">
      <w:pPr>
        <w:spacing w:line="312" w:lineRule="auto"/>
        <w:jc w:val="both"/>
        <w:rPr>
          <w:rFonts w:ascii="Arial" w:eastAsia="Arial" w:hAnsi="Arial" w:cs="Arial"/>
          <w:color w:val="000000" w:themeColor="text1"/>
        </w:rPr>
      </w:pPr>
    </w:p>
    <w:p w14:paraId="312BB47E" w14:textId="3517B929" w:rsidR="00C63D22" w:rsidRPr="00E32B8B" w:rsidRDefault="00AF47A4" w:rsidP="00EA5586">
      <w:pPr>
        <w:spacing w:line="312" w:lineRule="auto"/>
        <w:jc w:val="both"/>
        <w:rPr>
          <w:rFonts w:ascii="Arial" w:eastAsia="Arial" w:hAnsi="Arial" w:cs="Arial"/>
          <w:color w:val="000000" w:themeColor="text1"/>
        </w:rPr>
      </w:pPr>
      <w:r w:rsidRPr="00AF47A4">
        <w:rPr>
          <w:rFonts w:ascii="Arial" w:eastAsia="Arial" w:hAnsi="Arial" w:cs="Arial"/>
          <w:b/>
          <w:bCs/>
          <w:color w:val="000000" w:themeColor="text1"/>
        </w:rPr>
        <w:t>En caso de condena, la obligación de la compañía de seguros operaría bajo reembolso</w:t>
      </w:r>
      <w:r>
        <w:rPr>
          <w:rFonts w:ascii="Arial" w:eastAsia="Arial" w:hAnsi="Arial" w:cs="Arial"/>
          <w:color w:val="000000" w:themeColor="text1"/>
        </w:rPr>
        <w:t xml:space="preserve">: esto porque </w:t>
      </w:r>
      <w:r w:rsidR="0011621F" w:rsidRPr="0011621F">
        <w:rPr>
          <w:rFonts w:ascii="Arial" w:eastAsia="Arial" w:hAnsi="Arial" w:cs="Arial"/>
          <w:color w:val="000000" w:themeColor="text1"/>
        </w:rPr>
        <w:t xml:space="preserve">es el asegurado quien debe decidir si afecta o no el </w:t>
      </w:r>
      <w:r w:rsidR="0011621F">
        <w:rPr>
          <w:rFonts w:ascii="Arial" w:eastAsia="Arial" w:hAnsi="Arial" w:cs="Arial"/>
          <w:color w:val="000000" w:themeColor="text1"/>
        </w:rPr>
        <w:t xml:space="preserve">contrato de </w:t>
      </w:r>
      <w:r w:rsidR="0011621F" w:rsidRPr="0011621F">
        <w:rPr>
          <w:rFonts w:ascii="Arial" w:eastAsia="Arial" w:hAnsi="Arial" w:cs="Arial"/>
          <w:color w:val="000000" w:themeColor="text1"/>
        </w:rPr>
        <w:t>seguro, quedándole la opción de realizar el pago directo de la condena</w:t>
      </w:r>
      <w:r w:rsidR="0011621F">
        <w:rPr>
          <w:rFonts w:ascii="Arial" w:eastAsia="Arial" w:hAnsi="Arial" w:cs="Arial"/>
          <w:color w:val="000000" w:themeColor="text1"/>
        </w:rPr>
        <w:t>.</w:t>
      </w:r>
    </w:p>
    <w:p w14:paraId="548BE25F" w14:textId="77777777" w:rsidR="00B1302E" w:rsidRPr="00E32B8B" w:rsidRDefault="00B1302E" w:rsidP="00EA5586">
      <w:pPr>
        <w:spacing w:line="312" w:lineRule="auto"/>
        <w:jc w:val="both"/>
        <w:rPr>
          <w:rFonts w:ascii="Arial" w:eastAsia="Arial" w:hAnsi="Arial" w:cs="Arial"/>
          <w:color w:val="000000" w:themeColor="text1"/>
        </w:rPr>
      </w:pPr>
    </w:p>
    <w:p w14:paraId="6F3ED04A" w14:textId="7AB0E5FF" w:rsidR="00B1302E" w:rsidRPr="00192C8F" w:rsidRDefault="00B1302E" w:rsidP="00EA5586">
      <w:pPr>
        <w:spacing w:line="312" w:lineRule="auto"/>
        <w:jc w:val="both"/>
        <w:rPr>
          <w:rFonts w:ascii="Arial" w:eastAsia="Arial" w:hAnsi="Arial" w:cs="Arial"/>
          <w:color w:val="000000" w:themeColor="text1"/>
        </w:rPr>
      </w:pPr>
      <w:r w:rsidRPr="005906E1">
        <w:rPr>
          <w:rFonts w:ascii="Arial" w:eastAsia="Arial" w:hAnsi="Arial" w:cs="Arial"/>
          <w:b/>
          <w:bCs/>
          <w:color w:val="000000" w:themeColor="text1"/>
        </w:rPr>
        <w:t>SEGUNDO</w:t>
      </w:r>
      <w:r w:rsidRPr="005906E1">
        <w:rPr>
          <w:rFonts w:ascii="Arial" w:eastAsia="Arial" w:hAnsi="Arial" w:cs="Arial"/>
          <w:color w:val="000000" w:themeColor="text1"/>
        </w:rPr>
        <w:t xml:space="preserve">: </w:t>
      </w:r>
      <w:r w:rsidR="005906E1">
        <w:rPr>
          <w:rFonts w:ascii="Arial" w:eastAsia="Arial" w:hAnsi="Arial" w:cs="Arial"/>
          <w:color w:val="000000" w:themeColor="text1"/>
        </w:rPr>
        <w:t xml:space="preserve">Respecto de estos dos conceptos no hubo pronunciamiento alguno en la decisión del </w:t>
      </w:r>
      <w:r w:rsidR="005906E1">
        <w:rPr>
          <w:rFonts w:ascii="Arial" w:eastAsia="Arial" w:hAnsi="Arial" w:cs="Arial"/>
          <w:i/>
          <w:iCs/>
          <w:color w:val="000000" w:themeColor="text1"/>
        </w:rPr>
        <w:t>a quo</w:t>
      </w:r>
      <w:r w:rsidR="005906E1">
        <w:rPr>
          <w:rFonts w:ascii="Arial" w:eastAsia="Arial" w:hAnsi="Arial" w:cs="Arial"/>
          <w:color w:val="000000" w:themeColor="text1"/>
        </w:rPr>
        <w:t xml:space="preserve">, toda vez que fue innecesario porque dicho fallador analizó los </w:t>
      </w:r>
      <w:r w:rsidR="00192C8F">
        <w:rPr>
          <w:rFonts w:ascii="Arial" w:eastAsia="Arial" w:hAnsi="Arial" w:cs="Arial"/>
          <w:color w:val="000000" w:themeColor="text1"/>
        </w:rPr>
        <w:t xml:space="preserve">pormenores del </w:t>
      </w:r>
      <w:r w:rsidR="00192C8F">
        <w:rPr>
          <w:rFonts w:ascii="Arial" w:eastAsia="Arial" w:hAnsi="Arial" w:cs="Arial"/>
          <w:i/>
          <w:iCs/>
          <w:color w:val="000000" w:themeColor="text1"/>
        </w:rPr>
        <w:t xml:space="preserve">sub-lite </w:t>
      </w:r>
      <w:r w:rsidR="00192C8F">
        <w:rPr>
          <w:rFonts w:ascii="Arial" w:eastAsia="Arial" w:hAnsi="Arial" w:cs="Arial"/>
          <w:color w:val="000000" w:themeColor="text1"/>
        </w:rPr>
        <w:t>y estimó improcedentes las pretensiones por no haberse demostrado en debida forma los elementos estructurales de la responsabilidad administrativa del estado.</w:t>
      </w:r>
    </w:p>
    <w:p w14:paraId="57C98717" w14:textId="77777777" w:rsidR="00B1302E" w:rsidRPr="0080064C" w:rsidRDefault="00B1302E" w:rsidP="00EA5586">
      <w:pPr>
        <w:spacing w:line="312" w:lineRule="auto"/>
        <w:jc w:val="both"/>
        <w:rPr>
          <w:rFonts w:ascii="Arial" w:eastAsia="Arial" w:hAnsi="Arial" w:cs="Arial"/>
          <w:color w:val="000000" w:themeColor="text1"/>
        </w:rPr>
      </w:pPr>
    </w:p>
    <w:p w14:paraId="69505FE2" w14:textId="78B817E6" w:rsidR="00B1302E" w:rsidRDefault="00B1302E" w:rsidP="00EA5586">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TERCERO</w:t>
      </w:r>
      <w:r w:rsidRPr="00E32B8B">
        <w:rPr>
          <w:rFonts w:ascii="Arial" w:eastAsia="Arial" w:hAnsi="Arial" w:cs="Arial"/>
          <w:color w:val="000000" w:themeColor="text1"/>
        </w:rPr>
        <w:t xml:space="preserve">: </w:t>
      </w:r>
      <w:r w:rsidR="00192C8F">
        <w:rPr>
          <w:rFonts w:ascii="Arial" w:eastAsia="Arial" w:hAnsi="Arial" w:cs="Arial"/>
          <w:color w:val="000000" w:themeColor="text1"/>
        </w:rPr>
        <w:t>En la sustentación del recurso de alzada, los actores no hacen especial énfasis en el error u omisión en que incurrió el juez de primera instancia frente al lucro cesante, y por supuesto, tampoco frente al pago por reembolso</w:t>
      </w:r>
      <w:r>
        <w:rPr>
          <w:rFonts w:ascii="Arial" w:eastAsia="Arial" w:hAnsi="Arial" w:cs="Arial"/>
          <w:color w:val="000000" w:themeColor="text1"/>
        </w:rPr>
        <w:t>.</w:t>
      </w:r>
    </w:p>
    <w:p w14:paraId="4B7B5BD5" w14:textId="77777777" w:rsidR="00B1302E" w:rsidRDefault="00B1302E" w:rsidP="00EA5586">
      <w:pPr>
        <w:spacing w:line="312" w:lineRule="auto"/>
        <w:jc w:val="both"/>
        <w:rPr>
          <w:rFonts w:ascii="Arial" w:eastAsia="Arial" w:hAnsi="Arial" w:cs="Arial"/>
          <w:color w:val="000000" w:themeColor="text1"/>
        </w:rPr>
      </w:pPr>
    </w:p>
    <w:p w14:paraId="25E53E0C" w14:textId="6ECB543F" w:rsidR="00B1302E" w:rsidRPr="003F28EE" w:rsidRDefault="00B1302E" w:rsidP="00EA5586">
      <w:pPr>
        <w:spacing w:line="312" w:lineRule="auto"/>
        <w:jc w:val="both"/>
        <w:rPr>
          <w:rFonts w:ascii="Arial" w:eastAsia="Arial" w:hAnsi="Arial" w:cs="Arial"/>
          <w:color w:val="000000" w:themeColor="text1"/>
        </w:rPr>
      </w:pPr>
      <w:r w:rsidRPr="00E32B8B">
        <w:rPr>
          <w:rFonts w:ascii="Arial" w:eastAsia="Arial" w:hAnsi="Arial" w:cs="Arial"/>
          <w:b/>
          <w:bCs/>
          <w:color w:val="000000" w:themeColor="text1"/>
        </w:rPr>
        <w:t>CUARTO</w:t>
      </w:r>
      <w:r w:rsidRPr="00E32B8B">
        <w:rPr>
          <w:rFonts w:ascii="Arial" w:eastAsia="Arial" w:hAnsi="Arial" w:cs="Arial"/>
          <w:color w:val="000000" w:themeColor="text1"/>
        </w:rPr>
        <w:t>:</w:t>
      </w:r>
      <w:r>
        <w:rPr>
          <w:rFonts w:ascii="Arial" w:eastAsia="Arial" w:hAnsi="Arial" w:cs="Arial"/>
          <w:color w:val="000000" w:themeColor="text1"/>
        </w:rPr>
        <w:t xml:space="preserve"> </w:t>
      </w:r>
      <w:r w:rsidR="00EF7735">
        <w:rPr>
          <w:rFonts w:ascii="Arial" w:eastAsia="Arial" w:hAnsi="Arial" w:cs="Arial"/>
          <w:color w:val="000000" w:themeColor="text1"/>
        </w:rPr>
        <w:t xml:space="preserve">En la decisión del </w:t>
      </w:r>
      <w:r w:rsidR="00EF7735">
        <w:rPr>
          <w:rFonts w:ascii="Arial" w:eastAsia="Arial" w:hAnsi="Arial" w:cs="Arial"/>
          <w:i/>
          <w:iCs/>
          <w:color w:val="000000" w:themeColor="text1"/>
        </w:rPr>
        <w:t xml:space="preserve">ad </w:t>
      </w:r>
      <w:proofErr w:type="spellStart"/>
      <w:r w:rsidR="00EF7735">
        <w:rPr>
          <w:rFonts w:ascii="Arial" w:eastAsia="Arial" w:hAnsi="Arial" w:cs="Arial"/>
          <w:i/>
          <w:iCs/>
          <w:color w:val="000000" w:themeColor="text1"/>
        </w:rPr>
        <w:t>quem</w:t>
      </w:r>
      <w:proofErr w:type="spellEnd"/>
      <w:r w:rsidR="00EF7735">
        <w:rPr>
          <w:rFonts w:ascii="Arial" w:eastAsia="Arial" w:hAnsi="Arial" w:cs="Arial"/>
          <w:color w:val="000000" w:themeColor="text1"/>
        </w:rPr>
        <w:t xml:space="preserve"> no se </w:t>
      </w:r>
      <w:r w:rsidR="005C2401">
        <w:rPr>
          <w:rFonts w:ascii="Arial" w:eastAsia="Arial" w:hAnsi="Arial" w:cs="Arial"/>
          <w:color w:val="000000" w:themeColor="text1"/>
        </w:rPr>
        <w:t>argumenta</w:t>
      </w:r>
      <w:r w:rsidR="00EF7735">
        <w:rPr>
          <w:rFonts w:ascii="Arial" w:eastAsia="Arial" w:hAnsi="Arial" w:cs="Arial"/>
          <w:color w:val="000000" w:themeColor="text1"/>
        </w:rPr>
        <w:t xml:space="preserve"> en ninguna medida </w:t>
      </w:r>
      <w:r w:rsidR="005C2401">
        <w:rPr>
          <w:rFonts w:ascii="Arial" w:eastAsia="Arial" w:hAnsi="Arial" w:cs="Arial"/>
          <w:color w:val="000000" w:themeColor="text1"/>
        </w:rPr>
        <w:t>el por qué decidió conceder el lucro cesante</w:t>
      </w:r>
      <w:r w:rsidR="00F65A79">
        <w:rPr>
          <w:rFonts w:ascii="Arial" w:eastAsia="Arial" w:hAnsi="Arial" w:cs="Arial"/>
          <w:color w:val="000000" w:themeColor="text1"/>
        </w:rPr>
        <w:t>, a pesar de que la decisión que se comenta tiene un capítulo especialmente dedicado al daño</w:t>
      </w:r>
      <w:r w:rsidR="005C2401">
        <w:rPr>
          <w:rFonts w:ascii="Arial" w:eastAsia="Arial" w:hAnsi="Arial" w:cs="Arial"/>
          <w:color w:val="000000" w:themeColor="text1"/>
        </w:rPr>
        <w:t xml:space="preserve">, y tampoco el por qué omitió pronunciarse sobre las condiciones particulares de la relación contractual existente entre la llamada en garantía que represento y el ente territorial condenado, así se advierte tanto en la tesis como en el desarrollo </w:t>
      </w:r>
      <w:r w:rsidR="00440301">
        <w:rPr>
          <w:rFonts w:ascii="Arial" w:eastAsia="Arial" w:hAnsi="Arial" w:cs="Arial"/>
          <w:color w:val="000000" w:themeColor="text1"/>
        </w:rPr>
        <w:t>conceptual que llevó a la modificación de la decisión de primera instancia</w:t>
      </w:r>
      <w:r>
        <w:rPr>
          <w:rFonts w:ascii="Arial" w:eastAsia="Arial" w:hAnsi="Arial" w:cs="Arial"/>
          <w:color w:val="000000" w:themeColor="text1"/>
        </w:rPr>
        <w:t>.</w:t>
      </w:r>
    </w:p>
    <w:p w14:paraId="668A1D96" w14:textId="77777777" w:rsidR="00B1302E" w:rsidRDefault="00B1302E" w:rsidP="00EA5586">
      <w:pPr>
        <w:spacing w:line="312" w:lineRule="auto"/>
        <w:jc w:val="both"/>
        <w:rPr>
          <w:rFonts w:ascii="Arial" w:eastAsia="Arial" w:hAnsi="Arial" w:cs="Arial"/>
          <w:color w:val="000000" w:themeColor="text1"/>
        </w:rPr>
      </w:pPr>
    </w:p>
    <w:p w14:paraId="5B9DEB6B" w14:textId="5ACCEDAB" w:rsidR="00B1302E" w:rsidRDefault="00B1302E" w:rsidP="00EA5586">
      <w:pPr>
        <w:spacing w:line="312" w:lineRule="auto"/>
        <w:jc w:val="both"/>
        <w:rPr>
          <w:rFonts w:ascii="Arial" w:eastAsia="Arial" w:hAnsi="Arial" w:cs="Arial"/>
          <w:color w:val="000000" w:themeColor="text1"/>
        </w:rPr>
      </w:pPr>
      <w:r>
        <w:rPr>
          <w:rFonts w:ascii="Arial" w:eastAsia="Arial" w:hAnsi="Arial" w:cs="Arial"/>
          <w:b/>
          <w:bCs/>
          <w:color w:val="000000" w:themeColor="text1"/>
        </w:rPr>
        <w:t>QUINTO</w:t>
      </w:r>
      <w:r w:rsidRPr="003F28EE">
        <w:rPr>
          <w:rFonts w:ascii="Arial" w:eastAsia="Arial" w:hAnsi="Arial" w:cs="Arial"/>
          <w:color w:val="000000" w:themeColor="text1"/>
        </w:rPr>
        <w:t>:</w:t>
      </w:r>
      <w:r w:rsidR="00C61DEB">
        <w:rPr>
          <w:rFonts w:ascii="Arial" w:eastAsia="Arial" w:hAnsi="Arial" w:cs="Arial"/>
          <w:color w:val="000000" w:themeColor="text1"/>
        </w:rPr>
        <w:t xml:space="preserve"> En línea con lo anterior, decide el despacho lo siguiente:</w:t>
      </w:r>
    </w:p>
    <w:p w14:paraId="19B579E0" w14:textId="77777777" w:rsidR="00C61DEB" w:rsidRDefault="00C61DEB" w:rsidP="00EA5586">
      <w:pPr>
        <w:spacing w:line="312" w:lineRule="auto"/>
        <w:jc w:val="both"/>
        <w:rPr>
          <w:rFonts w:ascii="Arial" w:eastAsia="Arial" w:hAnsi="Arial" w:cs="Arial"/>
          <w:color w:val="000000" w:themeColor="text1"/>
        </w:rPr>
      </w:pPr>
    </w:p>
    <w:p w14:paraId="4A77E246" w14:textId="202FC85D" w:rsidR="00C61DEB" w:rsidRPr="00C61DEB" w:rsidRDefault="00C61DEB" w:rsidP="00EA5586">
      <w:pPr>
        <w:spacing w:line="312" w:lineRule="auto"/>
        <w:ind w:left="567" w:right="567"/>
        <w:jc w:val="both"/>
        <w:rPr>
          <w:rFonts w:ascii="Arial" w:eastAsia="Arial" w:hAnsi="Arial" w:cs="Arial"/>
          <w:i/>
          <w:iCs/>
          <w:color w:val="000000" w:themeColor="text1"/>
          <w:sz w:val="20"/>
          <w:szCs w:val="20"/>
        </w:rPr>
      </w:pPr>
      <w:r w:rsidRPr="00C61DEB">
        <w:rPr>
          <w:rFonts w:ascii="Arial" w:eastAsia="Arial" w:hAnsi="Arial" w:cs="Arial"/>
          <w:i/>
          <w:iCs/>
          <w:color w:val="000000" w:themeColor="text1"/>
          <w:sz w:val="20"/>
          <w:szCs w:val="20"/>
        </w:rPr>
        <w:t xml:space="preserve">“Por último, en cuanto al lucro cesante se refiere, se tiene que la demandante aportó una certificación laboral (Archivo No. 01, </w:t>
      </w:r>
      <w:proofErr w:type="spellStart"/>
      <w:r w:rsidRPr="00C61DEB">
        <w:rPr>
          <w:rFonts w:ascii="Arial" w:eastAsia="Arial" w:hAnsi="Arial" w:cs="Arial"/>
          <w:i/>
          <w:iCs/>
          <w:color w:val="000000" w:themeColor="text1"/>
          <w:sz w:val="20"/>
          <w:szCs w:val="20"/>
        </w:rPr>
        <w:t>exp</w:t>
      </w:r>
      <w:proofErr w:type="spellEnd"/>
      <w:r w:rsidRPr="00C61DEB">
        <w:rPr>
          <w:rFonts w:ascii="Arial" w:eastAsia="Arial" w:hAnsi="Arial" w:cs="Arial"/>
          <w:i/>
          <w:iCs/>
          <w:color w:val="000000" w:themeColor="text1"/>
          <w:sz w:val="20"/>
          <w:szCs w:val="20"/>
        </w:rPr>
        <w:t xml:space="preserve">. Primera instancia, </w:t>
      </w:r>
      <w:proofErr w:type="spellStart"/>
      <w:r w:rsidRPr="00C61DEB">
        <w:rPr>
          <w:rFonts w:ascii="Arial" w:eastAsia="Arial" w:hAnsi="Arial" w:cs="Arial"/>
          <w:i/>
          <w:iCs/>
          <w:color w:val="000000" w:themeColor="text1"/>
          <w:sz w:val="20"/>
          <w:szCs w:val="20"/>
        </w:rPr>
        <w:t>fl</w:t>
      </w:r>
      <w:proofErr w:type="spellEnd"/>
      <w:r w:rsidRPr="00C61DEB">
        <w:rPr>
          <w:rFonts w:ascii="Arial" w:eastAsia="Arial" w:hAnsi="Arial" w:cs="Arial"/>
          <w:i/>
          <w:iCs/>
          <w:color w:val="000000" w:themeColor="text1"/>
          <w:sz w:val="20"/>
          <w:szCs w:val="20"/>
        </w:rPr>
        <w:t>. 66) expedida por la empresa GENTES S.A., en la cual consta que tuvo una vinculación laboral con dicha empresa desde el 12 de agosto de 2015 hasta el 06 de mayo de 2016. Sin embargo, al ser esta vinculación posterior a la fecha del accidente (29 de abril de 2015) no puede tenerse como el ingreso correspondiente al lucro cesante el salario descrito en esa certificación, por lo que deberá asumirse lo que jurisprudencialmente se ha establecido, y es que la demandante ganaba para la fecha de los hechos 1 SMLMV. Sin embargo, de conformidad con el artículo 193 del CPACA, esta condena se realizará en abstracto”.</w:t>
      </w:r>
    </w:p>
    <w:p w14:paraId="310A427F" w14:textId="77777777" w:rsidR="00C61DEB" w:rsidRDefault="00C61DEB" w:rsidP="00EA5586">
      <w:pPr>
        <w:spacing w:line="312" w:lineRule="auto"/>
        <w:jc w:val="both"/>
        <w:rPr>
          <w:rFonts w:ascii="Arial" w:eastAsia="Arial" w:hAnsi="Arial" w:cs="Arial"/>
          <w:color w:val="000000" w:themeColor="text1"/>
        </w:rPr>
      </w:pPr>
    </w:p>
    <w:p w14:paraId="0336F486" w14:textId="01B8BC01" w:rsidR="00C61DEB" w:rsidRDefault="00C61DEB" w:rsidP="00EA5586">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Dicha determinación </w:t>
      </w:r>
      <w:r w:rsidR="00215CEA">
        <w:rPr>
          <w:rFonts w:ascii="Arial" w:eastAsia="Arial" w:hAnsi="Arial" w:cs="Arial"/>
          <w:color w:val="000000" w:themeColor="text1"/>
        </w:rPr>
        <w:t xml:space="preserve">deja en evidencia que </w:t>
      </w:r>
      <w:r w:rsidR="005B27C4">
        <w:rPr>
          <w:rFonts w:ascii="Arial" w:eastAsia="Arial" w:hAnsi="Arial" w:cs="Arial"/>
          <w:color w:val="000000" w:themeColor="text1"/>
        </w:rPr>
        <w:t xml:space="preserve">se toman aspectos hipotéticos para la determinación de la existencia del </w:t>
      </w:r>
      <w:r w:rsidR="005607A9">
        <w:rPr>
          <w:rFonts w:ascii="Arial" w:eastAsia="Arial" w:hAnsi="Arial" w:cs="Arial"/>
          <w:color w:val="000000" w:themeColor="text1"/>
        </w:rPr>
        <w:t>perjuicio</w:t>
      </w:r>
      <w:r w:rsidR="005B27C4">
        <w:rPr>
          <w:rFonts w:ascii="Arial" w:eastAsia="Arial" w:hAnsi="Arial" w:cs="Arial"/>
          <w:color w:val="000000" w:themeColor="text1"/>
        </w:rPr>
        <w:t>,</w:t>
      </w:r>
      <w:r w:rsidR="005607A9">
        <w:rPr>
          <w:rFonts w:ascii="Arial" w:eastAsia="Arial" w:hAnsi="Arial" w:cs="Arial"/>
          <w:color w:val="000000" w:themeColor="text1"/>
        </w:rPr>
        <w:t xml:space="preserve"> pues se reconoce abiertamente que los medios probatorios existentes aluden a </w:t>
      </w:r>
      <w:r w:rsidR="00C644E9">
        <w:rPr>
          <w:rFonts w:ascii="Arial" w:eastAsia="Arial" w:hAnsi="Arial" w:cs="Arial"/>
          <w:color w:val="000000" w:themeColor="text1"/>
        </w:rPr>
        <w:t xml:space="preserve">una vinculación contractual y por tanto ingreso laboral, previo a los hechos, por lo que sólo puede entenderse que el fallador de instancia suple la obligación frente a la carga de la prueba de los demandantes, y </w:t>
      </w:r>
      <w:r w:rsidR="002B4368">
        <w:rPr>
          <w:rFonts w:ascii="Arial" w:eastAsia="Arial" w:hAnsi="Arial" w:cs="Arial"/>
          <w:color w:val="000000" w:themeColor="text1"/>
        </w:rPr>
        <w:t>aplica un criterio injustificado, pues aunque refiere que “</w:t>
      </w:r>
      <w:r w:rsidR="002B4368" w:rsidRPr="002B4368">
        <w:rPr>
          <w:rFonts w:ascii="Arial" w:eastAsia="Arial" w:hAnsi="Arial" w:cs="Arial"/>
          <w:i/>
          <w:iCs/>
          <w:color w:val="000000" w:themeColor="text1"/>
        </w:rPr>
        <w:t>deberá asumirse lo que jurisprudencialmente se ha establecido</w:t>
      </w:r>
      <w:r w:rsidR="002B4368">
        <w:rPr>
          <w:rFonts w:ascii="Arial" w:eastAsia="Arial" w:hAnsi="Arial" w:cs="Arial"/>
          <w:color w:val="000000" w:themeColor="text1"/>
        </w:rPr>
        <w:t xml:space="preserve">”, lo cierto es que no menciona el o los precedentes que han establecido ese derrotero, situación que claramente contravía lo preceptuado en Sentencia de Unificación </w:t>
      </w:r>
      <w:r w:rsidR="002B4368" w:rsidRPr="002B4368">
        <w:rPr>
          <w:rFonts w:ascii="Arial" w:eastAsia="Arial" w:hAnsi="Arial" w:cs="Arial"/>
          <w:color w:val="000000" w:themeColor="text1"/>
        </w:rPr>
        <w:t>del 18 de julio de 2019</w:t>
      </w:r>
      <w:r w:rsidR="002B4368">
        <w:rPr>
          <w:rFonts w:ascii="Arial" w:eastAsia="Arial" w:hAnsi="Arial" w:cs="Arial"/>
          <w:color w:val="000000" w:themeColor="text1"/>
        </w:rPr>
        <w:t xml:space="preserve"> proferida por el</w:t>
      </w:r>
      <w:r w:rsidR="002B4368" w:rsidRPr="002B4368">
        <w:rPr>
          <w:rFonts w:ascii="Arial" w:eastAsia="Arial" w:hAnsi="Arial" w:cs="Arial"/>
          <w:color w:val="000000" w:themeColor="text1"/>
        </w:rPr>
        <w:t xml:space="preserve"> Consejo de Estado, Sala de lo Contencioso Administrativo, Sección Tercera, Sala Plena. </w:t>
      </w:r>
      <w:r w:rsidR="002B4368">
        <w:rPr>
          <w:rFonts w:ascii="Arial" w:eastAsia="Arial" w:hAnsi="Arial" w:cs="Arial"/>
          <w:color w:val="000000" w:themeColor="text1"/>
        </w:rPr>
        <w:t>Con ponencia del Dr.</w:t>
      </w:r>
      <w:r w:rsidR="002B4368" w:rsidRPr="002B4368">
        <w:rPr>
          <w:rFonts w:ascii="Arial" w:eastAsia="Arial" w:hAnsi="Arial" w:cs="Arial"/>
          <w:color w:val="000000" w:themeColor="text1"/>
        </w:rPr>
        <w:t xml:space="preserve"> Carlos Alberto Zambrano Barrera</w:t>
      </w:r>
      <w:r w:rsidR="002B4368">
        <w:rPr>
          <w:rFonts w:ascii="Arial" w:eastAsia="Arial" w:hAnsi="Arial" w:cs="Arial"/>
          <w:color w:val="000000" w:themeColor="text1"/>
        </w:rPr>
        <w:t xml:space="preserve"> y</w:t>
      </w:r>
      <w:r w:rsidR="002B4368" w:rsidRPr="002B4368">
        <w:rPr>
          <w:rFonts w:ascii="Arial" w:eastAsia="Arial" w:hAnsi="Arial" w:cs="Arial"/>
          <w:color w:val="000000" w:themeColor="text1"/>
        </w:rPr>
        <w:t xml:space="preserve"> Radicación No. 73001-23-31-000-2009-00133-01(44572)</w:t>
      </w:r>
      <w:r w:rsidR="002B4368">
        <w:rPr>
          <w:rFonts w:ascii="Arial" w:eastAsia="Arial" w:hAnsi="Arial" w:cs="Arial"/>
          <w:color w:val="000000" w:themeColor="text1"/>
        </w:rPr>
        <w:t>, en la cual se limitó toda posibilidad de presumir ingresos para una persona en edad productiva.</w:t>
      </w:r>
    </w:p>
    <w:p w14:paraId="6FD25702" w14:textId="77777777" w:rsidR="009A754B" w:rsidRDefault="009A754B" w:rsidP="00EA5586">
      <w:pPr>
        <w:spacing w:line="312" w:lineRule="auto"/>
        <w:jc w:val="both"/>
        <w:rPr>
          <w:rFonts w:ascii="Arial" w:eastAsia="Arial" w:hAnsi="Arial" w:cs="Arial"/>
          <w:color w:val="000000" w:themeColor="text1"/>
        </w:rPr>
      </w:pPr>
    </w:p>
    <w:p w14:paraId="654A22D4" w14:textId="78F44DCC" w:rsidR="009A754B" w:rsidRDefault="009A754B" w:rsidP="00EA5586">
      <w:pPr>
        <w:spacing w:line="312" w:lineRule="auto"/>
        <w:jc w:val="both"/>
        <w:rPr>
          <w:rFonts w:ascii="Arial" w:eastAsia="Arial" w:hAnsi="Arial" w:cs="Arial"/>
          <w:color w:val="000000" w:themeColor="text1"/>
        </w:rPr>
      </w:pPr>
      <w:r>
        <w:rPr>
          <w:rFonts w:ascii="Arial" w:eastAsia="Arial" w:hAnsi="Arial" w:cs="Arial"/>
          <w:b/>
          <w:bCs/>
          <w:color w:val="000000" w:themeColor="text1"/>
        </w:rPr>
        <w:t>SEXTO</w:t>
      </w:r>
      <w:r>
        <w:rPr>
          <w:rFonts w:ascii="Arial" w:eastAsia="Arial" w:hAnsi="Arial" w:cs="Arial"/>
          <w:color w:val="000000" w:themeColor="text1"/>
        </w:rPr>
        <w:t>: Finalmente frente al llamamiento en garantía, argumentó el tribunal lo siguiente:</w:t>
      </w:r>
    </w:p>
    <w:p w14:paraId="37C6DEE2" w14:textId="77777777" w:rsidR="009A754B" w:rsidRDefault="009A754B" w:rsidP="00EA5586">
      <w:pPr>
        <w:spacing w:line="312" w:lineRule="auto"/>
        <w:jc w:val="both"/>
        <w:rPr>
          <w:rFonts w:ascii="Arial" w:eastAsia="Arial" w:hAnsi="Arial" w:cs="Arial"/>
          <w:color w:val="000000" w:themeColor="text1"/>
        </w:rPr>
      </w:pPr>
    </w:p>
    <w:p w14:paraId="25A0834A" w14:textId="780C7F74" w:rsidR="009A754B" w:rsidRPr="009925B8" w:rsidRDefault="007F5C2C" w:rsidP="00EA5586">
      <w:pPr>
        <w:spacing w:line="312" w:lineRule="auto"/>
        <w:ind w:left="567" w:right="567"/>
        <w:jc w:val="both"/>
        <w:rPr>
          <w:rFonts w:ascii="Arial" w:eastAsia="Arial" w:hAnsi="Arial" w:cs="Arial"/>
          <w:i/>
          <w:iCs/>
          <w:color w:val="000000" w:themeColor="text1"/>
          <w:sz w:val="20"/>
          <w:szCs w:val="20"/>
        </w:rPr>
      </w:pPr>
      <w:r>
        <w:rPr>
          <w:rFonts w:ascii="Arial" w:eastAsia="Arial" w:hAnsi="Arial" w:cs="Arial"/>
          <w:i/>
          <w:iCs/>
          <w:color w:val="000000" w:themeColor="text1"/>
          <w:sz w:val="20"/>
          <w:szCs w:val="20"/>
        </w:rPr>
        <w:t>“</w:t>
      </w:r>
      <w:r w:rsidR="009A754B" w:rsidRPr="009925B8">
        <w:rPr>
          <w:rFonts w:ascii="Arial" w:eastAsia="Arial" w:hAnsi="Arial" w:cs="Arial"/>
          <w:i/>
          <w:iCs/>
          <w:color w:val="000000" w:themeColor="text1"/>
          <w:sz w:val="20"/>
          <w:szCs w:val="20"/>
        </w:rPr>
        <w:t xml:space="preserve">Frente a ello, dado que en el expediente obran pruebas suficientes de las relaciones comerciales de </w:t>
      </w:r>
      <w:r w:rsidR="009A754B" w:rsidRPr="009925B8">
        <w:rPr>
          <w:rFonts w:ascii="Arial" w:eastAsia="Arial" w:hAnsi="Arial" w:cs="Arial"/>
          <w:i/>
          <w:iCs/>
          <w:color w:val="000000" w:themeColor="text1"/>
          <w:sz w:val="20"/>
          <w:szCs w:val="20"/>
        </w:rPr>
        <w:lastRenderedPageBreak/>
        <w:t>aseguramiento existentes entre la entidad demandad, su aseguradora, y las demás aseguradoras que asumieron el riesgo en virtud del coaseguro, se condenará a las entidades llamadas en garantía a responder en los términos del artículo 64 del CGP por las condenas impuestas en esta providencia y hasta el monto asegurado, según la relación contractual y el clausulado consignados en la póliza No. 1501215001154 expedida el 10 de abril de 2015</w:t>
      </w:r>
      <w:r>
        <w:rPr>
          <w:rFonts w:ascii="Arial" w:eastAsia="Arial" w:hAnsi="Arial" w:cs="Arial"/>
          <w:i/>
          <w:iCs/>
          <w:color w:val="000000" w:themeColor="text1"/>
          <w:sz w:val="20"/>
          <w:szCs w:val="20"/>
        </w:rPr>
        <w:t>”</w:t>
      </w:r>
      <w:r w:rsidR="009A754B" w:rsidRPr="009925B8">
        <w:rPr>
          <w:rFonts w:ascii="Arial" w:eastAsia="Arial" w:hAnsi="Arial" w:cs="Arial"/>
          <w:i/>
          <w:iCs/>
          <w:color w:val="000000" w:themeColor="text1"/>
          <w:sz w:val="20"/>
          <w:szCs w:val="20"/>
        </w:rPr>
        <w:t>.</w:t>
      </w:r>
    </w:p>
    <w:p w14:paraId="2DE6130C" w14:textId="77777777" w:rsidR="009A754B" w:rsidRDefault="009A754B" w:rsidP="00EA5586">
      <w:pPr>
        <w:spacing w:line="312" w:lineRule="auto"/>
        <w:jc w:val="both"/>
        <w:rPr>
          <w:rFonts w:ascii="Arial" w:eastAsia="Arial" w:hAnsi="Arial" w:cs="Arial"/>
          <w:color w:val="000000" w:themeColor="text1"/>
        </w:rPr>
      </w:pPr>
    </w:p>
    <w:p w14:paraId="2EF8CC3A" w14:textId="74B0359F" w:rsidR="009A754B" w:rsidRPr="009A754B" w:rsidRDefault="009A754B" w:rsidP="00EA5586">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De esta manifestación salta a la vista que se omitió hacer referencia a </w:t>
      </w:r>
      <w:r w:rsidR="007A1D89">
        <w:rPr>
          <w:rFonts w:ascii="Arial" w:eastAsia="Arial" w:hAnsi="Arial" w:cs="Arial"/>
          <w:color w:val="000000" w:themeColor="text1"/>
        </w:rPr>
        <w:t>alg</w:t>
      </w:r>
      <w:r>
        <w:rPr>
          <w:rFonts w:ascii="Arial" w:eastAsia="Arial" w:hAnsi="Arial" w:cs="Arial"/>
          <w:color w:val="000000" w:themeColor="text1"/>
        </w:rPr>
        <w:t>uno</w:t>
      </w:r>
      <w:r w:rsidR="007A1D89">
        <w:rPr>
          <w:rFonts w:ascii="Arial" w:eastAsia="Arial" w:hAnsi="Arial" w:cs="Arial"/>
          <w:color w:val="000000" w:themeColor="text1"/>
        </w:rPr>
        <w:t>s</w:t>
      </w:r>
      <w:r>
        <w:rPr>
          <w:rFonts w:ascii="Arial" w:eastAsia="Arial" w:hAnsi="Arial" w:cs="Arial"/>
          <w:color w:val="000000" w:themeColor="text1"/>
        </w:rPr>
        <w:t xml:space="preserve"> de los elementos sustanciales de la relación contractual, como es el pago por reembolso</w:t>
      </w:r>
      <w:r w:rsidR="007A1D89">
        <w:rPr>
          <w:rFonts w:ascii="Arial" w:eastAsia="Arial" w:hAnsi="Arial" w:cs="Arial"/>
          <w:color w:val="000000" w:themeColor="text1"/>
        </w:rPr>
        <w:t xml:space="preserve"> y</w:t>
      </w:r>
      <w:r w:rsidR="007A1D89">
        <w:rPr>
          <w:rFonts w:ascii="Arial" w:eastAsia="Arial" w:hAnsi="Arial" w:cs="Arial"/>
          <w:color w:val="000000" w:themeColor="text1"/>
        </w:rPr>
        <w:t xml:space="preserve"> el deducible</w:t>
      </w:r>
      <w:r w:rsidR="007A1D89">
        <w:rPr>
          <w:rFonts w:ascii="Arial" w:eastAsia="Arial" w:hAnsi="Arial" w:cs="Arial"/>
          <w:color w:val="000000" w:themeColor="text1"/>
        </w:rPr>
        <w:t>, el cual no se tuvo en cuenta, pues</w:t>
      </w:r>
      <w:r w:rsidR="007A1D89">
        <w:rPr>
          <w:rFonts w:ascii="Arial" w:eastAsia="Arial" w:hAnsi="Arial" w:cs="Arial"/>
          <w:color w:val="000000" w:themeColor="text1"/>
        </w:rPr>
        <w:t xml:space="preserve"> no se calculó ni determinó que la condena opera una vez efectuado el descuento </w:t>
      </w:r>
      <w:proofErr w:type="gramStart"/>
      <w:r w:rsidR="007A1D89">
        <w:rPr>
          <w:rFonts w:ascii="Arial" w:eastAsia="Arial" w:hAnsi="Arial" w:cs="Arial"/>
          <w:color w:val="000000" w:themeColor="text1"/>
        </w:rPr>
        <w:t xml:space="preserve">del </w:t>
      </w:r>
      <w:r w:rsidR="00E12351">
        <w:rPr>
          <w:rFonts w:ascii="Arial" w:eastAsia="Arial" w:hAnsi="Arial" w:cs="Arial"/>
          <w:color w:val="000000" w:themeColor="text1"/>
        </w:rPr>
        <w:t>mismo</w:t>
      </w:r>
      <w:proofErr w:type="gramEnd"/>
      <w:r>
        <w:rPr>
          <w:rFonts w:ascii="Arial" w:eastAsia="Arial" w:hAnsi="Arial" w:cs="Arial"/>
          <w:color w:val="000000" w:themeColor="text1"/>
        </w:rPr>
        <w:t>.</w:t>
      </w:r>
    </w:p>
    <w:p w14:paraId="545D3F3D" w14:textId="77777777" w:rsidR="00B1302E" w:rsidRPr="00E32B8B" w:rsidRDefault="00B1302E" w:rsidP="00EA5586">
      <w:pPr>
        <w:spacing w:line="312" w:lineRule="auto"/>
        <w:jc w:val="both"/>
        <w:rPr>
          <w:rFonts w:ascii="Arial" w:eastAsia="Arial" w:hAnsi="Arial" w:cs="Arial"/>
          <w:color w:val="000000" w:themeColor="text1"/>
        </w:rPr>
      </w:pPr>
    </w:p>
    <w:p w14:paraId="184FD90F" w14:textId="77777777" w:rsidR="00B1302E" w:rsidRPr="00E32B8B" w:rsidRDefault="00B1302E" w:rsidP="00EA5586">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 xml:space="preserve">CAPÍTULO III. FUNDAMENTOS JURÍDICOS </w:t>
      </w:r>
    </w:p>
    <w:p w14:paraId="4A46DC61" w14:textId="77777777" w:rsidR="00B1302E" w:rsidRPr="00E32B8B" w:rsidRDefault="00B1302E" w:rsidP="00EA5586">
      <w:pPr>
        <w:spacing w:line="312" w:lineRule="auto"/>
        <w:jc w:val="both"/>
        <w:rPr>
          <w:rFonts w:ascii="Arial" w:eastAsia="Arial" w:hAnsi="Arial" w:cs="Arial"/>
          <w:color w:val="000000" w:themeColor="text1"/>
        </w:rPr>
      </w:pPr>
    </w:p>
    <w:p w14:paraId="72F2DDAF" w14:textId="316FAF01" w:rsidR="009925B8" w:rsidRPr="00EE7BAA" w:rsidRDefault="009925B8" w:rsidP="00EA5586">
      <w:pPr>
        <w:pStyle w:val="Prrafodelista"/>
        <w:numPr>
          <w:ilvl w:val="0"/>
          <w:numId w:val="3"/>
        </w:numPr>
        <w:spacing w:after="0" w:line="312" w:lineRule="auto"/>
        <w:jc w:val="both"/>
        <w:rPr>
          <w:rFonts w:ascii="Arial" w:eastAsia="Arial" w:hAnsi="Arial" w:cs="Arial"/>
          <w:b/>
          <w:bCs/>
          <w:color w:val="000000" w:themeColor="text1"/>
        </w:rPr>
      </w:pPr>
      <w:r w:rsidRPr="00EE7BAA">
        <w:rPr>
          <w:rFonts w:ascii="Arial" w:eastAsia="Arial" w:hAnsi="Arial" w:cs="Arial"/>
          <w:b/>
          <w:bCs/>
          <w:color w:val="000000" w:themeColor="text1"/>
        </w:rPr>
        <w:t>FRENTE A LA PROCEDENCIA DE LA SOLICITUD</w:t>
      </w:r>
    </w:p>
    <w:p w14:paraId="0BAEE3A1" w14:textId="77777777" w:rsidR="000029FC" w:rsidRDefault="000029FC" w:rsidP="00EA5586">
      <w:pPr>
        <w:spacing w:line="312" w:lineRule="auto"/>
        <w:jc w:val="both"/>
        <w:rPr>
          <w:rFonts w:ascii="Arial" w:eastAsia="Arial" w:hAnsi="Arial" w:cs="Arial"/>
          <w:color w:val="000000" w:themeColor="text1"/>
        </w:rPr>
      </w:pPr>
    </w:p>
    <w:p w14:paraId="1B815D77" w14:textId="725039E6" w:rsidR="00B1302E" w:rsidRDefault="00B1302E" w:rsidP="00EA5586">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 xml:space="preserve">El Código General del Proceso concedió a las partes la facultad de elevar la solicitud de </w:t>
      </w:r>
      <w:r w:rsidR="007F5C2C">
        <w:rPr>
          <w:rFonts w:ascii="Arial" w:eastAsia="Arial" w:hAnsi="Arial" w:cs="Arial"/>
          <w:color w:val="000000" w:themeColor="text1"/>
        </w:rPr>
        <w:t xml:space="preserve">aclaración y </w:t>
      </w:r>
      <w:r w:rsidRPr="00E32B8B">
        <w:rPr>
          <w:rFonts w:ascii="Arial" w:eastAsia="Arial" w:hAnsi="Arial" w:cs="Arial"/>
          <w:color w:val="000000" w:themeColor="text1"/>
        </w:rPr>
        <w:t>a</w:t>
      </w:r>
      <w:r>
        <w:rPr>
          <w:rFonts w:ascii="Arial" w:eastAsia="Arial" w:hAnsi="Arial" w:cs="Arial"/>
          <w:color w:val="000000" w:themeColor="text1"/>
        </w:rPr>
        <w:t>di</w:t>
      </w:r>
      <w:r w:rsidRPr="00E32B8B">
        <w:rPr>
          <w:rFonts w:ascii="Arial" w:eastAsia="Arial" w:hAnsi="Arial" w:cs="Arial"/>
          <w:color w:val="000000" w:themeColor="text1"/>
        </w:rPr>
        <w:t xml:space="preserve">ción, ante las providencias proferidas por los operadores jurídicos. Así las cosas, </w:t>
      </w:r>
      <w:r w:rsidR="007F5C2C">
        <w:rPr>
          <w:rFonts w:ascii="Arial" w:eastAsia="Arial" w:hAnsi="Arial" w:cs="Arial"/>
          <w:color w:val="000000" w:themeColor="text1"/>
        </w:rPr>
        <w:t>los</w:t>
      </w:r>
      <w:r w:rsidRPr="00E32B8B">
        <w:rPr>
          <w:rFonts w:ascii="Arial" w:eastAsia="Arial" w:hAnsi="Arial" w:cs="Arial"/>
          <w:color w:val="000000" w:themeColor="text1"/>
        </w:rPr>
        <w:t xml:space="preserve"> artículo</w:t>
      </w:r>
      <w:r w:rsidR="007F5C2C">
        <w:rPr>
          <w:rFonts w:ascii="Arial" w:eastAsia="Arial" w:hAnsi="Arial" w:cs="Arial"/>
          <w:color w:val="000000" w:themeColor="text1"/>
        </w:rPr>
        <w:t>s</w:t>
      </w:r>
      <w:r w:rsidRPr="00E32B8B">
        <w:rPr>
          <w:rFonts w:ascii="Arial" w:eastAsia="Arial" w:hAnsi="Arial" w:cs="Arial"/>
          <w:color w:val="000000" w:themeColor="text1"/>
        </w:rPr>
        <w:t xml:space="preserve"> </w:t>
      </w:r>
      <w:r w:rsidR="007F5C2C">
        <w:rPr>
          <w:rFonts w:ascii="Arial" w:eastAsia="Arial" w:hAnsi="Arial" w:cs="Arial"/>
          <w:color w:val="000000" w:themeColor="text1"/>
        </w:rPr>
        <w:t xml:space="preserve">285 y </w:t>
      </w:r>
      <w:r w:rsidRPr="00E32B8B">
        <w:rPr>
          <w:rFonts w:ascii="Arial" w:eastAsia="Arial" w:hAnsi="Arial" w:cs="Arial"/>
          <w:color w:val="000000" w:themeColor="text1"/>
        </w:rPr>
        <w:t>28</w:t>
      </w:r>
      <w:r>
        <w:rPr>
          <w:rFonts w:ascii="Arial" w:eastAsia="Arial" w:hAnsi="Arial" w:cs="Arial"/>
          <w:color w:val="000000" w:themeColor="text1"/>
        </w:rPr>
        <w:t>7</w:t>
      </w:r>
      <w:r w:rsidRPr="00E32B8B">
        <w:rPr>
          <w:rFonts w:ascii="Arial" w:eastAsia="Arial" w:hAnsi="Arial" w:cs="Arial"/>
          <w:color w:val="000000" w:themeColor="text1"/>
        </w:rPr>
        <w:t xml:space="preserve"> del Estatuto Procesal, aplicable</w:t>
      </w:r>
      <w:r w:rsidR="007F5C2C">
        <w:rPr>
          <w:rFonts w:ascii="Arial" w:eastAsia="Arial" w:hAnsi="Arial" w:cs="Arial"/>
          <w:color w:val="000000" w:themeColor="text1"/>
        </w:rPr>
        <w:t>s</w:t>
      </w:r>
      <w:r w:rsidRPr="00E32B8B">
        <w:rPr>
          <w:rFonts w:ascii="Arial" w:eastAsia="Arial" w:hAnsi="Arial" w:cs="Arial"/>
          <w:color w:val="000000" w:themeColor="text1"/>
        </w:rPr>
        <w:t xml:space="preserve"> por remisión expresa del artículo 211 de la Ley 1437 de 2011, regula</w:t>
      </w:r>
      <w:r w:rsidR="00EC7C70">
        <w:rPr>
          <w:rFonts w:ascii="Arial" w:eastAsia="Arial" w:hAnsi="Arial" w:cs="Arial"/>
          <w:color w:val="000000" w:themeColor="text1"/>
        </w:rPr>
        <w:t>n</w:t>
      </w:r>
      <w:r w:rsidRPr="00E32B8B">
        <w:rPr>
          <w:rFonts w:ascii="Arial" w:eastAsia="Arial" w:hAnsi="Arial" w:cs="Arial"/>
          <w:color w:val="000000" w:themeColor="text1"/>
        </w:rPr>
        <w:t xml:space="preserve"> la </w:t>
      </w:r>
      <w:r w:rsidR="007F5C2C">
        <w:rPr>
          <w:rFonts w:ascii="Arial" w:eastAsia="Arial" w:hAnsi="Arial" w:cs="Arial"/>
          <w:color w:val="000000" w:themeColor="text1"/>
        </w:rPr>
        <w:t xml:space="preserve">aclaración y la </w:t>
      </w:r>
      <w:r>
        <w:rPr>
          <w:rFonts w:ascii="Arial" w:eastAsia="Arial" w:hAnsi="Arial" w:cs="Arial"/>
          <w:color w:val="000000" w:themeColor="text1"/>
        </w:rPr>
        <w:t>adición</w:t>
      </w:r>
      <w:r w:rsidRPr="00E32B8B">
        <w:rPr>
          <w:rFonts w:ascii="Arial" w:eastAsia="Arial" w:hAnsi="Arial" w:cs="Arial"/>
          <w:color w:val="000000" w:themeColor="text1"/>
        </w:rPr>
        <w:t xml:space="preserve"> precisando</w:t>
      </w:r>
      <w:r w:rsidR="007F5C2C">
        <w:rPr>
          <w:rFonts w:ascii="Arial" w:eastAsia="Arial" w:hAnsi="Arial" w:cs="Arial"/>
          <w:color w:val="000000" w:themeColor="text1"/>
        </w:rPr>
        <w:t xml:space="preserve"> frente a la aclaración lo siguiente</w:t>
      </w:r>
      <w:r w:rsidRPr="00E32B8B">
        <w:rPr>
          <w:rFonts w:ascii="Arial" w:eastAsia="Arial" w:hAnsi="Arial" w:cs="Arial"/>
          <w:color w:val="000000" w:themeColor="text1"/>
        </w:rPr>
        <w:t>:</w:t>
      </w:r>
    </w:p>
    <w:p w14:paraId="09271A91" w14:textId="77777777" w:rsidR="007F5C2C" w:rsidRDefault="007F5C2C" w:rsidP="00EA5586">
      <w:pPr>
        <w:spacing w:line="312" w:lineRule="auto"/>
        <w:jc w:val="both"/>
        <w:rPr>
          <w:rFonts w:ascii="Arial" w:eastAsia="Arial" w:hAnsi="Arial" w:cs="Arial"/>
          <w:color w:val="000000" w:themeColor="text1"/>
        </w:rPr>
      </w:pPr>
    </w:p>
    <w:p w14:paraId="413FD17C" w14:textId="5C50046D" w:rsidR="007F5C2C" w:rsidRPr="007F5C2C" w:rsidRDefault="007F5C2C" w:rsidP="00EA5586">
      <w:pPr>
        <w:spacing w:line="312" w:lineRule="auto"/>
        <w:ind w:left="567" w:right="567"/>
        <w:jc w:val="both"/>
        <w:rPr>
          <w:rFonts w:ascii="Arial" w:eastAsia="Arial" w:hAnsi="Arial" w:cs="Arial"/>
          <w:i/>
          <w:iCs/>
          <w:color w:val="000000" w:themeColor="text1"/>
          <w:sz w:val="20"/>
          <w:szCs w:val="20"/>
        </w:rPr>
      </w:pPr>
      <w:r>
        <w:rPr>
          <w:rFonts w:ascii="Arial" w:eastAsia="Arial" w:hAnsi="Arial" w:cs="Arial"/>
          <w:i/>
          <w:iCs/>
          <w:color w:val="000000" w:themeColor="text1"/>
          <w:sz w:val="20"/>
          <w:szCs w:val="20"/>
        </w:rPr>
        <w:t>“</w:t>
      </w:r>
      <w:r w:rsidRPr="007F5C2C">
        <w:rPr>
          <w:rFonts w:ascii="Arial" w:eastAsia="Arial" w:hAnsi="Arial" w:cs="Arial"/>
          <w:i/>
          <w:iCs/>
          <w:color w:val="000000" w:themeColor="text1"/>
          <w:sz w:val="20"/>
          <w:szCs w:val="20"/>
        </w:rPr>
        <w:t xml:space="preserve">ACLARACIÓN. La sentencia no es revocable ni reformable por el juez que la pronunció. Sin embargo, </w:t>
      </w:r>
      <w:r w:rsidRPr="007F5C2C">
        <w:rPr>
          <w:rFonts w:ascii="Arial" w:eastAsia="Arial" w:hAnsi="Arial" w:cs="Arial"/>
          <w:b/>
          <w:bCs/>
          <w:i/>
          <w:iCs/>
          <w:color w:val="000000" w:themeColor="text1"/>
          <w:sz w:val="20"/>
          <w:szCs w:val="20"/>
          <w:u w:val="single"/>
        </w:rPr>
        <w:t>podrá ser aclarada, de oficio o a solicitud de parte, cuando contenga conceptos o frases que ofrezcan verdadero motivo de duda, siempre que estén contenidas en la parte resolutiva de la sentencia o influyan en ella</w:t>
      </w:r>
      <w:r w:rsidRPr="007F5C2C">
        <w:rPr>
          <w:rFonts w:ascii="Arial" w:eastAsia="Arial" w:hAnsi="Arial" w:cs="Arial"/>
          <w:i/>
          <w:iCs/>
          <w:color w:val="000000" w:themeColor="text1"/>
          <w:sz w:val="20"/>
          <w:szCs w:val="20"/>
        </w:rPr>
        <w:t>.</w:t>
      </w:r>
    </w:p>
    <w:p w14:paraId="48544C9A" w14:textId="77777777" w:rsidR="007F5C2C" w:rsidRPr="007F5C2C" w:rsidRDefault="007F5C2C" w:rsidP="00EA5586">
      <w:pPr>
        <w:spacing w:line="312" w:lineRule="auto"/>
        <w:ind w:left="567" w:right="567"/>
        <w:jc w:val="both"/>
        <w:rPr>
          <w:rFonts w:ascii="Arial" w:eastAsia="Arial" w:hAnsi="Arial" w:cs="Arial"/>
          <w:i/>
          <w:iCs/>
          <w:color w:val="000000" w:themeColor="text1"/>
          <w:sz w:val="20"/>
          <w:szCs w:val="20"/>
        </w:rPr>
      </w:pPr>
    </w:p>
    <w:p w14:paraId="650B7F84" w14:textId="77777777" w:rsidR="007F5C2C" w:rsidRPr="007F5C2C" w:rsidRDefault="007F5C2C" w:rsidP="00EA5586">
      <w:pPr>
        <w:spacing w:line="312" w:lineRule="auto"/>
        <w:ind w:left="567" w:right="567"/>
        <w:jc w:val="both"/>
        <w:rPr>
          <w:rFonts w:ascii="Arial" w:eastAsia="Arial" w:hAnsi="Arial" w:cs="Arial"/>
          <w:i/>
          <w:iCs/>
          <w:color w:val="000000" w:themeColor="text1"/>
          <w:sz w:val="20"/>
          <w:szCs w:val="20"/>
        </w:rPr>
      </w:pPr>
      <w:r w:rsidRPr="007F5C2C">
        <w:rPr>
          <w:rFonts w:ascii="Arial" w:eastAsia="Arial" w:hAnsi="Arial" w:cs="Arial"/>
          <w:i/>
          <w:iCs/>
          <w:color w:val="000000" w:themeColor="text1"/>
          <w:sz w:val="20"/>
          <w:szCs w:val="20"/>
        </w:rPr>
        <w:t>En las mismas circunstancias procederá la aclaración de auto. La aclaración procederá de oficio o a petición de parte formulada dentro del término de ejecutoria de la providencia.</w:t>
      </w:r>
    </w:p>
    <w:p w14:paraId="0527E76A" w14:textId="77777777" w:rsidR="007F5C2C" w:rsidRPr="007F5C2C" w:rsidRDefault="007F5C2C" w:rsidP="00EA5586">
      <w:pPr>
        <w:spacing w:line="312" w:lineRule="auto"/>
        <w:ind w:left="567" w:right="567"/>
        <w:jc w:val="both"/>
        <w:rPr>
          <w:rFonts w:ascii="Arial" w:eastAsia="Arial" w:hAnsi="Arial" w:cs="Arial"/>
          <w:i/>
          <w:iCs/>
          <w:color w:val="000000" w:themeColor="text1"/>
          <w:sz w:val="20"/>
          <w:szCs w:val="20"/>
        </w:rPr>
      </w:pPr>
    </w:p>
    <w:p w14:paraId="08AE143F" w14:textId="0BC1F74F" w:rsidR="007F5C2C" w:rsidRPr="007F5C2C" w:rsidRDefault="007F5C2C" w:rsidP="00EA5586">
      <w:pPr>
        <w:spacing w:line="312" w:lineRule="auto"/>
        <w:ind w:left="567" w:right="567"/>
        <w:jc w:val="both"/>
        <w:rPr>
          <w:rFonts w:ascii="Arial" w:eastAsia="Arial" w:hAnsi="Arial" w:cs="Arial"/>
          <w:i/>
          <w:iCs/>
          <w:color w:val="000000" w:themeColor="text1"/>
          <w:sz w:val="20"/>
          <w:szCs w:val="20"/>
        </w:rPr>
      </w:pPr>
      <w:r w:rsidRPr="007F5C2C">
        <w:rPr>
          <w:rFonts w:ascii="Arial" w:eastAsia="Arial" w:hAnsi="Arial" w:cs="Arial"/>
          <w:i/>
          <w:iCs/>
          <w:color w:val="000000" w:themeColor="text1"/>
          <w:sz w:val="20"/>
          <w:szCs w:val="20"/>
        </w:rPr>
        <w:t>La providencia que resuelva sobre la aclaración no admite recursos, pero dentro de su ejecutoria podrán interponerse los que procedan contra la providencia objeto de aclaración</w:t>
      </w:r>
      <w:r>
        <w:rPr>
          <w:rFonts w:ascii="Arial" w:eastAsia="Arial" w:hAnsi="Arial" w:cs="Arial"/>
          <w:i/>
          <w:iCs/>
          <w:color w:val="000000" w:themeColor="text1"/>
          <w:sz w:val="20"/>
          <w:szCs w:val="20"/>
        </w:rPr>
        <w:t>”</w:t>
      </w:r>
      <w:r w:rsidRPr="007F5C2C">
        <w:rPr>
          <w:rFonts w:ascii="Arial" w:eastAsia="Arial" w:hAnsi="Arial" w:cs="Arial"/>
          <w:i/>
          <w:iCs/>
          <w:color w:val="000000" w:themeColor="text1"/>
          <w:sz w:val="20"/>
          <w:szCs w:val="20"/>
        </w:rPr>
        <w:t>.</w:t>
      </w:r>
      <w:r>
        <w:rPr>
          <w:rFonts w:ascii="Arial" w:eastAsia="Arial" w:hAnsi="Arial" w:cs="Arial"/>
          <w:i/>
          <w:iCs/>
          <w:color w:val="000000" w:themeColor="text1"/>
          <w:sz w:val="20"/>
          <w:szCs w:val="20"/>
        </w:rPr>
        <w:t xml:space="preserve"> </w:t>
      </w:r>
      <w:r w:rsidRPr="00E32B8B">
        <w:rPr>
          <w:rFonts w:ascii="Arial" w:eastAsia="Arial" w:hAnsi="Arial" w:cs="Arial"/>
          <w:color w:val="000000" w:themeColor="text1"/>
          <w:sz w:val="20"/>
          <w:szCs w:val="20"/>
        </w:rPr>
        <w:t>(Subrayado y negrilla fuera de texto original)</w:t>
      </w:r>
    </w:p>
    <w:p w14:paraId="4CEB6B1B" w14:textId="77777777" w:rsidR="00B1302E" w:rsidRDefault="00B1302E" w:rsidP="00EA5586">
      <w:pPr>
        <w:spacing w:line="312" w:lineRule="auto"/>
        <w:jc w:val="both"/>
        <w:rPr>
          <w:rFonts w:ascii="Arial" w:eastAsia="Arial" w:hAnsi="Arial" w:cs="Arial"/>
          <w:color w:val="000000" w:themeColor="text1"/>
        </w:rPr>
      </w:pPr>
    </w:p>
    <w:p w14:paraId="15249223" w14:textId="2631C2A0" w:rsidR="007F5C2C" w:rsidRDefault="007F5C2C" w:rsidP="00EA5586">
      <w:pPr>
        <w:spacing w:line="312" w:lineRule="auto"/>
        <w:jc w:val="both"/>
        <w:rPr>
          <w:rFonts w:ascii="Arial" w:eastAsia="Arial" w:hAnsi="Arial" w:cs="Arial"/>
          <w:color w:val="000000" w:themeColor="text1"/>
        </w:rPr>
      </w:pPr>
      <w:r>
        <w:rPr>
          <w:rFonts w:ascii="Arial" w:eastAsia="Arial" w:hAnsi="Arial" w:cs="Arial"/>
          <w:color w:val="000000" w:themeColor="text1"/>
        </w:rPr>
        <w:t>Por su parte frente a la adición:</w:t>
      </w:r>
    </w:p>
    <w:p w14:paraId="528CEB5D" w14:textId="77777777" w:rsidR="007F5C2C" w:rsidRPr="00E32B8B" w:rsidRDefault="007F5C2C" w:rsidP="00EA5586">
      <w:pPr>
        <w:spacing w:line="312" w:lineRule="auto"/>
        <w:jc w:val="both"/>
        <w:rPr>
          <w:rFonts w:ascii="Arial" w:eastAsia="Arial" w:hAnsi="Arial" w:cs="Arial"/>
          <w:color w:val="000000" w:themeColor="text1"/>
        </w:rPr>
      </w:pPr>
    </w:p>
    <w:p w14:paraId="7E78D295" w14:textId="77777777" w:rsidR="00B1302E" w:rsidRPr="006D2481" w:rsidRDefault="00B1302E" w:rsidP="00EA5586">
      <w:pPr>
        <w:spacing w:line="312" w:lineRule="auto"/>
        <w:ind w:left="567" w:right="567"/>
        <w:jc w:val="both"/>
        <w:rPr>
          <w:rFonts w:ascii="Arial" w:eastAsia="Arial" w:hAnsi="Arial" w:cs="Arial"/>
          <w:i/>
          <w:iCs/>
          <w:color w:val="000000" w:themeColor="text1"/>
          <w:sz w:val="20"/>
          <w:szCs w:val="20"/>
        </w:rPr>
      </w:pPr>
      <w:r w:rsidRPr="00E32B8B">
        <w:rPr>
          <w:rFonts w:ascii="Arial" w:eastAsia="Arial" w:hAnsi="Arial" w:cs="Arial"/>
          <w:i/>
          <w:iCs/>
          <w:color w:val="000000" w:themeColor="text1"/>
          <w:sz w:val="20"/>
          <w:szCs w:val="20"/>
        </w:rPr>
        <w:t>“</w:t>
      </w:r>
      <w:r w:rsidRPr="006D2481">
        <w:rPr>
          <w:rFonts w:ascii="Arial" w:eastAsia="Arial" w:hAnsi="Arial" w:cs="Arial"/>
          <w:i/>
          <w:iCs/>
          <w:color w:val="000000" w:themeColor="text1"/>
          <w:sz w:val="20"/>
          <w:szCs w:val="20"/>
        </w:rPr>
        <w:t xml:space="preserve">ADICIÓN. </w:t>
      </w:r>
      <w:r w:rsidRPr="00AC7FD5">
        <w:rPr>
          <w:rFonts w:ascii="Arial" w:eastAsia="Arial" w:hAnsi="Arial" w:cs="Arial"/>
          <w:b/>
          <w:bCs/>
          <w:i/>
          <w:iCs/>
          <w:color w:val="000000" w:themeColor="text1"/>
          <w:sz w:val="20"/>
          <w:szCs w:val="20"/>
          <w:u w:val="single"/>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r w:rsidRPr="006D2481">
        <w:rPr>
          <w:rFonts w:ascii="Arial" w:eastAsia="Arial" w:hAnsi="Arial" w:cs="Arial"/>
          <w:i/>
          <w:iCs/>
          <w:color w:val="000000" w:themeColor="text1"/>
          <w:sz w:val="20"/>
          <w:szCs w:val="20"/>
        </w:rPr>
        <w:t>.</w:t>
      </w:r>
    </w:p>
    <w:p w14:paraId="7C338DEB" w14:textId="77777777" w:rsidR="00B1302E" w:rsidRPr="006D2481" w:rsidRDefault="00B1302E" w:rsidP="00EA5586">
      <w:pPr>
        <w:spacing w:line="312" w:lineRule="auto"/>
        <w:ind w:left="567" w:right="567"/>
        <w:jc w:val="both"/>
        <w:rPr>
          <w:rFonts w:ascii="Arial" w:eastAsia="Arial" w:hAnsi="Arial" w:cs="Arial"/>
          <w:i/>
          <w:iCs/>
          <w:color w:val="000000" w:themeColor="text1"/>
          <w:sz w:val="20"/>
          <w:szCs w:val="20"/>
        </w:rPr>
      </w:pPr>
    </w:p>
    <w:p w14:paraId="60D870DF" w14:textId="50488BDC" w:rsidR="00B1302E" w:rsidRPr="007F5C2C" w:rsidRDefault="00B1302E" w:rsidP="00EA5586">
      <w:pPr>
        <w:spacing w:line="312" w:lineRule="auto"/>
        <w:ind w:left="567" w:right="567"/>
        <w:jc w:val="both"/>
        <w:rPr>
          <w:rFonts w:ascii="Arial" w:eastAsia="Arial" w:hAnsi="Arial" w:cs="Arial"/>
          <w:color w:val="000000" w:themeColor="text1"/>
          <w:sz w:val="20"/>
          <w:szCs w:val="20"/>
        </w:rPr>
      </w:pPr>
      <w:r w:rsidRPr="006D2481">
        <w:rPr>
          <w:rFonts w:ascii="Arial" w:eastAsia="Arial" w:hAnsi="Arial" w:cs="Arial"/>
          <w:i/>
          <w:iCs/>
          <w:color w:val="000000" w:themeColor="text1"/>
          <w:sz w:val="20"/>
          <w:szCs w:val="20"/>
        </w:rPr>
        <w:t xml:space="preserve">El juez de segunda instancia deberá complementar la sentencia del inferior siempre que la parte perjudicada con la omisión haya apelado; pero </w:t>
      </w:r>
      <w:proofErr w:type="spellStart"/>
      <w:r w:rsidRPr="006D2481">
        <w:rPr>
          <w:rFonts w:ascii="Arial" w:eastAsia="Arial" w:hAnsi="Arial" w:cs="Arial"/>
          <w:i/>
          <w:iCs/>
          <w:color w:val="000000" w:themeColor="text1"/>
          <w:sz w:val="20"/>
          <w:szCs w:val="20"/>
        </w:rPr>
        <w:t>si</w:t>
      </w:r>
      <w:proofErr w:type="spellEnd"/>
      <w:r w:rsidRPr="006D2481">
        <w:rPr>
          <w:rFonts w:ascii="Arial" w:eastAsia="Arial" w:hAnsi="Arial" w:cs="Arial"/>
          <w:i/>
          <w:iCs/>
          <w:color w:val="000000" w:themeColor="text1"/>
          <w:sz w:val="20"/>
          <w:szCs w:val="20"/>
        </w:rPr>
        <w:t xml:space="preserve"> dejó de resolver la demanda de reconvención o la de un proceso acumulado, le devolverá el expediente para que dicte sentencia complementaria</w:t>
      </w:r>
      <w:r w:rsidRPr="00E32B8B">
        <w:rPr>
          <w:rFonts w:ascii="Arial" w:eastAsia="Arial" w:hAnsi="Arial" w:cs="Arial"/>
          <w:i/>
          <w:iCs/>
          <w:color w:val="000000" w:themeColor="text1"/>
          <w:sz w:val="20"/>
          <w:szCs w:val="20"/>
        </w:rPr>
        <w:t xml:space="preserve"> (…)” </w:t>
      </w:r>
      <w:r w:rsidRPr="00E32B8B">
        <w:rPr>
          <w:rFonts w:ascii="Arial" w:eastAsia="Arial" w:hAnsi="Arial" w:cs="Arial"/>
          <w:color w:val="000000" w:themeColor="text1"/>
          <w:sz w:val="20"/>
          <w:szCs w:val="20"/>
        </w:rPr>
        <w:t>(Subrayado y negrilla fuera de texto original)</w:t>
      </w:r>
    </w:p>
    <w:p w14:paraId="6A6F08A1" w14:textId="77777777" w:rsidR="00B1302E" w:rsidRPr="00E32B8B" w:rsidRDefault="00B1302E" w:rsidP="00EA5586">
      <w:pPr>
        <w:spacing w:line="312" w:lineRule="auto"/>
        <w:rPr>
          <w:rFonts w:ascii="Arial" w:eastAsia="Arial" w:hAnsi="Arial" w:cs="Arial"/>
          <w:b/>
          <w:bCs/>
          <w:color w:val="000000" w:themeColor="text1"/>
          <w:u w:val="single"/>
        </w:rPr>
      </w:pPr>
    </w:p>
    <w:p w14:paraId="3B3757CB" w14:textId="1D73F215" w:rsidR="004F7771" w:rsidRDefault="00B1302E" w:rsidP="00EA5586">
      <w:pPr>
        <w:spacing w:line="312" w:lineRule="auto"/>
        <w:jc w:val="both"/>
        <w:rPr>
          <w:rFonts w:ascii="Arial" w:eastAsia="Arial" w:hAnsi="Arial" w:cs="Arial"/>
          <w:color w:val="000000" w:themeColor="text1"/>
        </w:rPr>
      </w:pPr>
      <w:r w:rsidRPr="00E32B8B">
        <w:rPr>
          <w:rFonts w:ascii="Arial" w:eastAsia="Arial" w:hAnsi="Arial" w:cs="Arial"/>
          <w:color w:val="000000" w:themeColor="text1"/>
        </w:rPr>
        <w:t xml:space="preserve">Descendiendo lo expuesto al caso objeto de estudio, es procedente la solicitud de </w:t>
      </w:r>
      <w:r w:rsidR="004F7771">
        <w:rPr>
          <w:rFonts w:ascii="Arial" w:eastAsia="Arial" w:hAnsi="Arial" w:cs="Arial"/>
          <w:color w:val="000000" w:themeColor="text1"/>
        </w:rPr>
        <w:t xml:space="preserve">aclaración por cuanto la sentencia No. 126 del 04 de julio de 2025, ofrece una clara duda frente a los argumentos utilizados para </w:t>
      </w:r>
      <w:r w:rsidR="00006F90">
        <w:rPr>
          <w:rFonts w:ascii="Arial" w:eastAsia="Arial" w:hAnsi="Arial" w:cs="Arial"/>
          <w:color w:val="000000" w:themeColor="text1"/>
        </w:rPr>
        <w:t>considerar que era procedente la declaratoria de responsabilidad frente al lucro cesante, en un caso en el que resultó claro que este no fue probado, y que incluso el despacho considera que los elementos tendientes a hacerlo, no eran aplicables porque referían a una vinculación laboral posterior a los hechos, situación a</w:t>
      </w:r>
      <w:r w:rsidR="00EC7C70">
        <w:rPr>
          <w:rFonts w:ascii="Arial" w:eastAsia="Arial" w:hAnsi="Arial" w:cs="Arial"/>
          <w:color w:val="000000" w:themeColor="text1"/>
        </w:rPr>
        <w:t xml:space="preserve"> la</w:t>
      </w:r>
      <w:r w:rsidR="00006F90">
        <w:rPr>
          <w:rFonts w:ascii="Arial" w:eastAsia="Arial" w:hAnsi="Arial" w:cs="Arial"/>
          <w:color w:val="000000" w:themeColor="text1"/>
        </w:rPr>
        <w:t xml:space="preserve"> que hay que sumar que, si la demandante tuvo vinculación laboral posterior, y contin</w:t>
      </w:r>
      <w:r w:rsidR="00EC7C70">
        <w:rPr>
          <w:rFonts w:ascii="Arial" w:eastAsia="Arial" w:hAnsi="Arial" w:cs="Arial"/>
          <w:color w:val="000000" w:themeColor="text1"/>
        </w:rPr>
        <w:t>uó</w:t>
      </w:r>
      <w:r w:rsidR="00006F90">
        <w:rPr>
          <w:rFonts w:ascii="Arial" w:eastAsia="Arial" w:hAnsi="Arial" w:cs="Arial"/>
          <w:color w:val="000000" w:themeColor="text1"/>
        </w:rPr>
        <w:t xml:space="preserve"> con una vida laboral normal, resulta incoherente manifestar que hubo lucro cesante, pues realmente nunca “</w:t>
      </w:r>
      <w:r w:rsidR="00006F90" w:rsidRPr="00006F90">
        <w:rPr>
          <w:rFonts w:ascii="Arial" w:eastAsia="Arial" w:hAnsi="Arial" w:cs="Arial"/>
          <w:i/>
          <w:iCs/>
          <w:color w:val="000000" w:themeColor="text1"/>
        </w:rPr>
        <w:t>cesaron</w:t>
      </w:r>
      <w:r w:rsidR="00006F90">
        <w:rPr>
          <w:rFonts w:ascii="Arial" w:eastAsia="Arial" w:hAnsi="Arial" w:cs="Arial"/>
          <w:color w:val="000000" w:themeColor="text1"/>
        </w:rPr>
        <w:t xml:space="preserve">” sus ingresos por la pérdida de capacidad laboral aludida, lo que hace axiomáticamente incorrecta y por demás confusa, la decisión de </w:t>
      </w:r>
      <w:r w:rsidR="00A50267">
        <w:rPr>
          <w:rFonts w:ascii="Arial" w:eastAsia="Arial" w:hAnsi="Arial" w:cs="Arial"/>
          <w:color w:val="000000" w:themeColor="text1"/>
        </w:rPr>
        <w:t xml:space="preserve">suponer o presumir un ingreso y con base en él, declarar la obligación </w:t>
      </w:r>
      <w:r w:rsidR="00A50267">
        <w:rPr>
          <w:rFonts w:ascii="Arial" w:eastAsia="Arial" w:hAnsi="Arial" w:cs="Arial"/>
          <w:color w:val="000000" w:themeColor="text1"/>
        </w:rPr>
        <w:lastRenderedPageBreak/>
        <w:t xml:space="preserve">de reparar un perjuicio que no existió.  </w:t>
      </w:r>
    </w:p>
    <w:p w14:paraId="28C7AC2A" w14:textId="77777777" w:rsidR="004F7771" w:rsidRDefault="004F7771" w:rsidP="00EA5586">
      <w:pPr>
        <w:spacing w:line="312" w:lineRule="auto"/>
        <w:jc w:val="both"/>
        <w:rPr>
          <w:rFonts w:ascii="Arial" w:eastAsia="Arial" w:hAnsi="Arial" w:cs="Arial"/>
          <w:color w:val="000000" w:themeColor="text1"/>
        </w:rPr>
      </w:pPr>
    </w:p>
    <w:p w14:paraId="40AAFEBA" w14:textId="58BE11CB" w:rsidR="00B1302E" w:rsidRDefault="00484B8F" w:rsidP="00EA5586">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Frente a la adición, resulta aplicable </w:t>
      </w:r>
      <w:r w:rsidR="00B1302E" w:rsidRPr="00E32B8B">
        <w:rPr>
          <w:rFonts w:ascii="Arial" w:eastAsia="Arial" w:hAnsi="Arial" w:cs="Arial"/>
          <w:color w:val="000000" w:themeColor="text1"/>
        </w:rPr>
        <w:t xml:space="preserve">por cuanto </w:t>
      </w:r>
      <w:r w:rsidR="00B1302E">
        <w:rPr>
          <w:rFonts w:ascii="Arial" w:eastAsia="Arial" w:hAnsi="Arial" w:cs="Arial"/>
          <w:color w:val="000000" w:themeColor="text1"/>
        </w:rPr>
        <w:t xml:space="preserve">la Sentencia </w:t>
      </w:r>
      <w:r>
        <w:rPr>
          <w:rFonts w:ascii="Arial" w:eastAsia="Arial" w:hAnsi="Arial" w:cs="Arial"/>
          <w:color w:val="000000" w:themeColor="text1"/>
        </w:rPr>
        <w:t>de la referencia</w:t>
      </w:r>
      <w:r w:rsidR="00B1302E">
        <w:rPr>
          <w:rFonts w:ascii="Arial" w:eastAsia="Arial" w:hAnsi="Arial" w:cs="Arial"/>
          <w:color w:val="000000" w:themeColor="text1"/>
        </w:rPr>
        <w:t>,</w:t>
      </w:r>
      <w:r w:rsidR="00B1302E" w:rsidRPr="00E32B8B">
        <w:rPr>
          <w:rFonts w:ascii="Arial" w:eastAsia="Arial" w:hAnsi="Arial" w:cs="Arial"/>
          <w:color w:val="000000" w:themeColor="text1"/>
        </w:rPr>
        <w:t xml:space="preserve"> </w:t>
      </w:r>
      <w:r w:rsidR="00B1302E">
        <w:rPr>
          <w:rFonts w:ascii="Arial" w:eastAsia="Arial" w:hAnsi="Arial" w:cs="Arial"/>
          <w:color w:val="000000" w:themeColor="text1"/>
        </w:rPr>
        <w:t xml:space="preserve">omitió pronunciarse frente a </w:t>
      </w:r>
      <w:r>
        <w:rPr>
          <w:rFonts w:ascii="Arial" w:eastAsia="Arial" w:hAnsi="Arial" w:cs="Arial"/>
          <w:color w:val="000000" w:themeColor="text1"/>
        </w:rPr>
        <w:t>que la obligación de las llamadas en garantía debe ser mediante reembolso</w:t>
      </w:r>
      <w:r w:rsidR="00B23ED4">
        <w:rPr>
          <w:rFonts w:ascii="Arial" w:eastAsia="Arial" w:hAnsi="Arial" w:cs="Arial"/>
          <w:color w:val="000000" w:themeColor="text1"/>
        </w:rPr>
        <w:t xml:space="preserve"> y aunado a ello debe calcularse el deducible y aplicarse antes de determinar la obligación de cada compañía</w:t>
      </w:r>
      <w:r>
        <w:rPr>
          <w:rFonts w:ascii="Arial" w:eastAsia="Arial" w:hAnsi="Arial" w:cs="Arial"/>
          <w:color w:val="000000" w:themeColor="text1"/>
        </w:rPr>
        <w:t xml:space="preserve">, </w:t>
      </w:r>
      <w:r w:rsidR="00B23ED4">
        <w:rPr>
          <w:rFonts w:ascii="Arial" w:eastAsia="Arial" w:hAnsi="Arial" w:cs="Arial"/>
          <w:color w:val="000000" w:themeColor="text1"/>
        </w:rPr>
        <w:t>ello en virtud de la</w:t>
      </w:r>
      <w:r>
        <w:rPr>
          <w:rFonts w:ascii="Arial" w:eastAsia="Arial" w:hAnsi="Arial" w:cs="Arial"/>
          <w:color w:val="000000" w:themeColor="text1"/>
        </w:rPr>
        <w:t xml:space="preserve"> facultad que tiene el asegurado de elegir la posibilidad de afectar o no el vínculo aseguraticio</w:t>
      </w:r>
      <w:r w:rsidR="00B1302E">
        <w:rPr>
          <w:rFonts w:ascii="Arial" w:eastAsia="Arial" w:hAnsi="Arial" w:cs="Arial"/>
          <w:color w:val="000000" w:themeColor="text1"/>
        </w:rPr>
        <w:t xml:space="preserve">, </w:t>
      </w:r>
      <w:r>
        <w:rPr>
          <w:rFonts w:ascii="Arial" w:eastAsia="Arial" w:hAnsi="Arial" w:cs="Arial"/>
          <w:color w:val="000000" w:themeColor="text1"/>
        </w:rPr>
        <w:t xml:space="preserve">todo ello </w:t>
      </w:r>
      <w:r w:rsidR="00B1302E">
        <w:rPr>
          <w:rFonts w:ascii="Arial" w:eastAsia="Arial" w:hAnsi="Arial" w:cs="Arial"/>
          <w:color w:val="000000" w:themeColor="text1"/>
        </w:rPr>
        <w:t xml:space="preserve">a pesar de haberse planteado </w:t>
      </w:r>
      <w:r>
        <w:rPr>
          <w:rFonts w:ascii="Arial" w:eastAsia="Arial" w:hAnsi="Arial" w:cs="Arial"/>
          <w:color w:val="000000" w:themeColor="text1"/>
        </w:rPr>
        <w:t xml:space="preserve">esta situación </w:t>
      </w:r>
      <w:r w:rsidR="00B1302E">
        <w:rPr>
          <w:rFonts w:ascii="Arial" w:eastAsia="Arial" w:hAnsi="Arial" w:cs="Arial"/>
          <w:color w:val="000000" w:themeColor="text1"/>
        </w:rPr>
        <w:t>en las oportunidades procesales procedentes, generando con ello una situación de incertidumbre frente a la condena</w:t>
      </w:r>
      <w:r>
        <w:rPr>
          <w:rFonts w:ascii="Arial" w:eastAsia="Arial" w:hAnsi="Arial" w:cs="Arial"/>
          <w:color w:val="000000" w:themeColor="text1"/>
        </w:rPr>
        <w:t>,</w:t>
      </w:r>
      <w:r w:rsidR="00B1302E">
        <w:rPr>
          <w:rFonts w:ascii="Arial" w:eastAsia="Arial" w:hAnsi="Arial" w:cs="Arial"/>
          <w:color w:val="000000" w:themeColor="text1"/>
        </w:rPr>
        <w:t xml:space="preserve"> tanto de mi representada como de las demás coaseguradoras.</w:t>
      </w:r>
    </w:p>
    <w:p w14:paraId="749FCE47" w14:textId="77777777" w:rsidR="00175B27" w:rsidRDefault="00175B27" w:rsidP="00EA5586">
      <w:pPr>
        <w:spacing w:line="312" w:lineRule="auto"/>
        <w:jc w:val="both"/>
        <w:rPr>
          <w:rFonts w:ascii="Arial" w:eastAsia="Arial" w:hAnsi="Arial" w:cs="Arial"/>
          <w:color w:val="000000" w:themeColor="text1"/>
        </w:rPr>
      </w:pPr>
    </w:p>
    <w:p w14:paraId="6186EEF0" w14:textId="77777777" w:rsidR="00175B27" w:rsidRPr="00EE7BAA" w:rsidRDefault="00175B27" w:rsidP="00384554">
      <w:pPr>
        <w:pStyle w:val="Prrafodelista"/>
        <w:numPr>
          <w:ilvl w:val="0"/>
          <w:numId w:val="3"/>
        </w:numPr>
        <w:spacing w:after="0" w:line="312" w:lineRule="auto"/>
        <w:jc w:val="both"/>
        <w:rPr>
          <w:rFonts w:ascii="Arial" w:eastAsia="Arial" w:hAnsi="Arial" w:cs="Arial"/>
          <w:b/>
          <w:bCs/>
          <w:color w:val="000000" w:themeColor="text1"/>
        </w:rPr>
      </w:pPr>
      <w:r w:rsidRPr="00EE7BAA">
        <w:rPr>
          <w:rFonts w:ascii="Arial" w:eastAsia="Arial" w:hAnsi="Arial" w:cs="Arial"/>
          <w:b/>
          <w:bCs/>
          <w:color w:val="000000" w:themeColor="text1"/>
        </w:rPr>
        <w:t>FRENTE A LA PROCEDENCIA DE LA SOLICITUD</w:t>
      </w:r>
    </w:p>
    <w:p w14:paraId="33871D97" w14:textId="77777777" w:rsidR="00175B27" w:rsidRDefault="00175B27" w:rsidP="00EA5586">
      <w:pPr>
        <w:spacing w:line="312" w:lineRule="auto"/>
        <w:jc w:val="both"/>
        <w:rPr>
          <w:rFonts w:ascii="Arial" w:eastAsia="Arial" w:hAnsi="Arial" w:cs="Arial"/>
          <w:color w:val="000000" w:themeColor="text1"/>
        </w:rPr>
      </w:pPr>
    </w:p>
    <w:p w14:paraId="188F27EB" w14:textId="1B1BB692" w:rsidR="00EA5586" w:rsidRPr="00997CDD" w:rsidRDefault="00EA5586" w:rsidP="00EA5586">
      <w:pPr>
        <w:spacing w:line="312" w:lineRule="auto"/>
        <w:jc w:val="both"/>
        <w:rPr>
          <w:rFonts w:ascii="Arial" w:eastAsia="Arial" w:hAnsi="Arial" w:cs="Arial"/>
        </w:rPr>
      </w:pPr>
      <w:r w:rsidRPr="00997CDD">
        <w:rPr>
          <w:rFonts w:ascii="Arial" w:eastAsia="Arial" w:hAnsi="Arial" w:cs="Arial"/>
        </w:rPr>
        <w:t xml:space="preserve">En este sentido, es necesario recordar que el perjuicio del lucro cesante ha sido entendido como uno de naturaleza material, económico, de contenido pecuniario y que consiste en la afectación de un derecho patrimonial reflejado en la ganancia o ingreso que se ha dejado de percibir a causa del </w:t>
      </w:r>
      <w:r w:rsidR="004E2BE8">
        <w:rPr>
          <w:rFonts w:ascii="Arial" w:eastAsia="Arial" w:hAnsi="Arial" w:cs="Arial"/>
        </w:rPr>
        <w:t>perjuicio</w:t>
      </w:r>
      <w:r w:rsidRPr="00997CDD">
        <w:rPr>
          <w:rFonts w:ascii="Arial" w:eastAsia="Arial" w:hAnsi="Arial" w:cs="Arial"/>
        </w:rPr>
        <w:t xml:space="preserve"> padecido. </w:t>
      </w:r>
    </w:p>
    <w:p w14:paraId="46FB213C" w14:textId="77777777" w:rsidR="00EA5586" w:rsidRPr="00997CDD" w:rsidRDefault="00EA5586" w:rsidP="00EA5586">
      <w:pPr>
        <w:spacing w:line="312" w:lineRule="auto"/>
        <w:jc w:val="both"/>
        <w:rPr>
          <w:rFonts w:ascii="Arial" w:eastAsia="Arial" w:hAnsi="Arial" w:cs="Arial"/>
        </w:rPr>
      </w:pPr>
    </w:p>
    <w:p w14:paraId="2B36E3D9" w14:textId="4043DE6B" w:rsidR="00EA5586" w:rsidRDefault="00EA5586" w:rsidP="00EA5586">
      <w:pPr>
        <w:spacing w:line="312" w:lineRule="auto"/>
        <w:jc w:val="both"/>
        <w:rPr>
          <w:rFonts w:ascii="Arial" w:eastAsia="Arial" w:hAnsi="Arial" w:cs="Arial"/>
        </w:rPr>
      </w:pPr>
      <w:r w:rsidRPr="00997CDD">
        <w:rPr>
          <w:rFonts w:ascii="Arial" w:eastAsia="Arial" w:hAnsi="Arial" w:cs="Arial"/>
        </w:rPr>
        <w:t>Por lo anterior, para que sea posible el reconocimiento del perjuicio de naturaleza económica, es necesario que se acredite su existencia cierta, actual o futura mediante elementos de convicción que permitan determinar el valor dejado de percibir. Al respecto,</w:t>
      </w:r>
      <w:r w:rsidR="004E2BE8">
        <w:rPr>
          <w:rFonts w:ascii="Arial" w:eastAsia="Arial" w:hAnsi="Arial" w:cs="Arial"/>
        </w:rPr>
        <w:t xml:space="preserve"> existe una serie de pronunciamientos jurisprudenciales que sustentan esta posición, y por ello resulta confuso que el H. Tribunal aluda que se basó en preceptos de este tipo, para tomar una decisión que contraría esta línea de consideraciones. Al respecto se puede iniciar trayendo a colación</w:t>
      </w:r>
      <w:r w:rsidRPr="00997CDD">
        <w:rPr>
          <w:rFonts w:ascii="Arial" w:eastAsia="Arial" w:hAnsi="Arial" w:cs="Arial"/>
        </w:rPr>
        <w:t xml:space="preserve"> la </w:t>
      </w:r>
      <w:r w:rsidR="004E2BE8">
        <w:rPr>
          <w:rFonts w:ascii="Arial" w:eastAsia="Arial" w:hAnsi="Arial" w:cs="Arial"/>
        </w:rPr>
        <w:t xml:space="preserve">decisión de la </w:t>
      </w:r>
      <w:r w:rsidRPr="00997CDD">
        <w:rPr>
          <w:rFonts w:ascii="Arial" w:eastAsia="Arial" w:hAnsi="Arial" w:cs="Arial"/>
        </w:rPr>
        <w:t xml:space="preserve">Corte Suprema de Justicia </w:t>
      </w:r>
      <w:r w:rsidR="004E2BE8">
        <w:rPr>
          <w:rFonts w:ascii="Arial" w:eastAsia="Arial" w:hAnsi="Arial" w:cs="Arial"/>
        </w:rPr>
        <w:t xml:space="preserve">en la que se </w:t>
      </w:r>
      <w:r w:rsidRPr="00997CDD">
        <w:rPr>
          <w:rFonts w:ascii="Arial" w:eastAsia="Arial" w:hAnsi="Arial" w:cs="Arial"/>
        </w:rPr>
        <w:t>ha sostenido lo siguiente:</w:t>
      </w:r>
    </w:p>
    <w:p w14:paraId="29883F12" w14:textId="77777777" w:rsidR="00EA5586" w:rsidRPr="00997CDD" w:rsidRDefault="00EA5586" w:rsidP="00EA5586">
      <w:pPr>
        <w:spacing w:line="312" w:lineRule="auto"/>
        <w:jc w:val="both"/>
        <w:rPr>
          <w:rFonts w:ascii="Arial" w:eastAsia="Arial" w:hAnsi="Arial" w:cs="Arial"/>
        </w:rPr>
      </w:pPr>
    </w:p>
    <w:p w14:paraId="73CFC8A1" w14:textId="77777777" w:rsidR="00EA5586" w:rsidRPr="00997CDD" w:rsidRDefault="00EA5586" w:rsidP="00EA5586">
      <w:pPr>
        <w:spacing w:line="312" w:lineRule="auto"/>
        <w:ind w:left="567" w:right="567"/>
        <w:jc w:val="both"/>
        <w:rPr>
          <w:rFonts w:ascii="Arial" w:eastAsia="Arial" w:hAnsi="Arial" w:cs="Arial"/>
          <w:sz w:val="20"/>
          <w:szCs w:val="20"/>
        </w:rPr>
      </w:pPr>
      <w:r w:rsidRPr="00997CDD">
        <w:rPr>
          <w:rFonts w:ascii="Arial" w:eastAsia="Arial" w:hAnsi="Arial" w:cs="Arial"/>
          <w:i/>
          <w:iCs/>
          <w:sz w:val="20"/>
          <w:szCs w:val="20"/>
        </w:rPr>
        <w:t xml:space="preserve">El perjuicio es la consecuencia que se deriva del daño para la víctima </w:t>
      </w:r>
      <w:proofErr w:type="gramStart"/>
      <w:r w:rsidRPr="00997CDD">
        <w:rPr>
          <w:rFonts w:ascii="Arial" w:eastAsia="Arial" w:hAnsi="Arial" w:cs="Arial"/>
          <w:i/>
          <w:iCs/>
          <w:sz w:val="20"/>
          <w:szCs w:val="20"/>
        </w:rPr>
        <w:t>del mismo</w:t>
      </w:r>
      <w:proofErr w:type="gramEnd"/>
      <w:r w:rsidRPr="00997CDD">
        <w:rPr>
          <w:rFonts w:ascii="Arial" w:eastAsia="Arial" w:hAnsi="Arial" w:cs="Arial"/>
          <w:i/>
          <w:iCs/>
          <w:sz w:val="20"/>
          <w:szCs w:val="20"/>
        </w:rPr>
        <w:t xml:space="preserve">, y la indemnización corresponde al resarcimiento o pago del “(…) perjuicio que el daño ocasionó (…). </w:t>
      </w:r>
      <w:r w:rsidRPr="00997CDD">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997CDD">
        <w:rPr>
          <w:rFonts w:ascii="Arial" w:eastAsia="Arial" w:hAnsi="Arial" w:cs="Arial"/>
          <w:i/>
          <w:iCs/>
          <w:sz w:val="20"/>
          <w:szCs w:val="20"/>
        </w:rPr>
        <w:t xml:space="preserve"> (...).</w:t>
      </w:r>
      <w:r w:rsidRPr="00997CDD">
        <w:rPr>
          <w:rStyle w:val="Refdenotaalpie"/>
          <w:rFonts w:ascii="Arial" w:eastAsia="Arial" w:hAnsi="Arial" w:cs="Arial"/>
          <w:sz w:val="20"/>
          <w:szCs w:val="20"/>
        </w:rPr>
        <w:footnoteReference w:id="1"/>
      </w:r>
      <w:r w:rsidRPr="00997CDD">
        <w:rPr>
          <w:rFonts w:ascii="Arial" w:eastAsia="Arial" w:hAnsi="Arial" w:cs="Arial"/>
          <w:i/>
          <w:iCs/>
          <w:sz w:val="20"/>
          <w:szCs w:val="20"/>
        </w:rPr>
        <w:t xml:space="preserve"> </w:t>
      </w:r>
      <w:r w:rsidRPr="00DF2514">
        <w:rPr>
          <w:rFonts w:ascii="Arial" w:eastAsia="Arial" w:hAnsi="Arial" w:cs="Arial"/>
        </w:rPr>
        <w:t>(Subrayado y negrillas fuera del texto original)</w:t>
      </w:r>
    </w:p>
    <w:p w14:paraId="0550CFAA" w14:textId="77777777" w:rsidR="00EA5586" w:rsidRPr="00997CDD" w:rsidRDefault="00EA5586" w:rsidP="00EA5586">
      <w:pPr>
        <w:spacing w:line="312" w:lineRule="auto"/>
        <w:ind w:left="708"/>
        <w:jc w:val="both"/>
        <w:rPr>
          <w:rFonts w:ascii="Arial" w:eastAsia="Arial" w:hAnsi="Arial" w:cs="Arial"/>
          <w:sz w:val="20"/>
          <w:szCs w:val="20"/>
        </w:rPr>
      </w:pPr>
    </w:p>
    <w:p w14:paraId="083B53F3" w14:textId="77777777" w:rsidR="00EA5586" w:rsidRPr="00997CDD" w:rsidRDefault="00EA5586" w:rsidP="00EA5586">
      <w:pPr>
        <w:spacing w:line="312" w:lineRule="auto"/>
        <w:jc w:val="both"/>
        <w:rPr>
          <w:rFonts w:ascii="Arial" w:eastAsia="Arial" w:hAnsi="Arial" w:cs="Arial"/>
        </w:rPr>
      </w:pPr>
      <w:r w:rsidRPr="00997CDD">
        <w:rPr>
          <w:rFonts w:ascii="Arial" w:eastAsia="Arial" w:hAnsi="Arial" w:cs="Arial"/>
        </w:rPr>
        <w:t xml:space="preserve">En igual sentido, la misma corporación afirmó en sentencia del 24 de junio de 2008 lo siguiente: </w:t>
      </w:r>
    </w:p>
    <w:p w14:paraId="671044AD" w14:textId="77777777" w:rsidR="00EA5586" w:rsidRPr="00997CDD" w:rsidRDefault="00EA5586" w:rsidP="00EA5586">
      <w:pPr>
        <w:spacing w:line="312" w:lineRule="auto"/>
        <w:jc w:val="both"/>
        <w:rPr>
          <w:rFonts w:ascii="Arial" w:eastAsia="Arial" w:hAnsi="Arial" w:cs="Arial"/>
        </w:rPr>
      </w:pPr>
    </w:p>
    <w:p w14:paraId="762791E9" w14:textId="77777777" w:rsidR="00EA5586" w:rsidRPr="00EA5586" w:rsidRDefault="00EA5586" w:rsidP="00EA5586">
      <w:pPr>
        <w:spacing w:line="312" w:lineRule="auto"/>
        <w:ind w:left="567" w:right="567"/>
        <w:jc w:val="both"/>
        <w:rPr>
          <w:rFonts w:ascii="Arial" w:eastAsia="Arial" w:hAnsi="Arial" w:cs="Arial"/>
          <w:i/>
          <w:iCs/>
          <w:sz w:val="20"/>
          <w:szCs w:val="20"/>
        </w:rPr>
      </w:pPr>
      <w:r w:rsidRPr="00EA5586">
        <w:rPr>
          <w:rFonts w:ascii="Arial" w:eastAsia="Arial" w:hAnsi="Arial" w:cs="Arial"/>
          <w:i/>
          <w:iCs/>
          <w:sz w:val="20"/>
          <w:szCs w:val="20"/>
        </w:rPr>
        <w:t xml:space="preserve">(…) </w:t>
      </w:r>
      <w:r w:rsidRPr="00EA5586">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EA5586">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67159B84" w14:textId="77777777" w:rsidR="00EA5586" w:rsidRPr="00EA5586" w:rsidRDefault="00EA5586" w:rsidP="00EA5586">
      <w:pPr>
        <w:spacing w:line="312" w:lineRule="auto"/>
        <w:ind w:left="567" w:right="567"/>
        <w:jc w:val="both"/>
        <w:rPr>
          <w:rFonts w:ascii="Arial" w:hAnsi="Arial" w:cs="Arial"/>
          <w:i/>
          <w:iCs/>
          <w:sz w:val="20"/>
          <w:szCs w:val="20"/>
        </w:rPr>
      </w:pPr>
    </w:p>
    <w:p w14:paraId="42FC0B2B" w14:textId="77777777" w:rsidR="00EA5586" w:rsidRPr="00EA5586" w:rsidRDefault="00EA5586" w:rsidP="00EA5586">
      <w:pPr>
        <w:spacing w:line="312" w:lineRule="auto"/>
        <w:ind w:left="567" w:right="567"/>
        <w:jc w:val="both"/>
        <w:rPr>
          <w:rFonts w:ascii="Arial" w:eastAsia="Arial" w:hAnsi="Arial" w:cs="Arial"/>
          <w:i/>
          <w:iCs/>
          <w:sz w:val="20"/>
          <w:szCs w:val="20"/>
        </w:rPr>
      </w:pPr>
      <w:r w:rsidRPr="00EA5586">
        <w:rPr>
          <w:rFonts w:ascii="Arial" w:eastAsia="Arial" w:hAnsi="Arial" w:cs="Arial"/>
          <w:i/>
          <w:iCs/>
          <w:sz w:val="20"/>
          <w:szCs w:val="20"/>
        </w:rPr>
        <w:t xml:space="preserve">Vale decir que </w:t>
      </w:r>
      <w:r w:rsidRPr="00EA5586">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EA5586">
        <w:rPr>
          <w:rFonts w:ascii="Arial" w:eastAsia="Arial" w:hAnsi="Arial" w:cs="Arial"/>
          <w:i/>
          <w:iCs/>
          <w:sz w:val="20"/>
          <w:szCs w:val="20"/>
        </w:rPr>
        <w:t xml:space="preserve"> (…) </w:t>
      </w:r>
    </w:p>
    <w:p w14:paraId="5A453FE5" w14:textId="77777777" w:rsidR="00EA5586" w:rsidRPr="00EA5586" w:rsidRDefault="00EA5586" w:rsidP="00EA5586">
      <w:pPr>
        <w:spacing w:line="312" w:lineRule="auto"/>
        <w:ind w:left="567" w:right="567"/>
        <w:jc w:val="both"/>
        <w:rPr>
          <w:rFonts w:ascii="Arial" w:eastAsia="Arial" w:hAnsi="Arial" w:cs="Arial"/>
          <w:i/>
          <w:iCs/>
          <w:sz w:val="20"/>
          <w:szCs w:val="20"/>
        </w:rPr>
      </w:pPr>
    </w:p>
    <w:p w14:paraId="2DB114C7" w14:textId="77777777" w:rsidR="00EA5586" w:rsidRPr="00EA5586" w:rsidRDefault="00EA5586" w:rsidP="00EA5586">
      <w:pPr>
        <w:spacing w:line="312" w:lineRule="auto"/>
        <w:ind w:left="567" w:right="567"/>
        <w:jc w:val="both"/>
        <w:rPr>
          <w:rFonts w:ascii="Arial" w:eastAsia="Arial" w:hAnsi="Arial" w:cs="Arial"/>
          <w:sz w:val="20"/>
          <w:szCs w:val="20"/>
        </w:rPr>
      </w:pPr>
      <w:r w:rsidRPr="00EA5586">
        <w:rPr>
          <w:rFonts w:ascii="Arial" w:eastAsia="Arial" w:hAnsi="Arial" w:cs="Arial"/>
          <w:i/>
          <w:iCs/>
          <w:sz w:val="20"/>
          <w:szCs w:val="20"/>
        </w:rPr>
        <w:t xml:space="preserve">Por último, están </w:t>
      </w:r>
      <w:r w:rsidRPr="00EA5586">
        <w:rPr>
          <w:rFonts w:ascii="Arial" w:eastAsia="Arial" w:hAnsi="Arial" w:cs="Arial"/>
          <w:b/>
          <w:bCs/>
          <w:i/>
          <w:iCs/>
          <w:sz w:val="20"/>
          <w:szCs w:val="20"/>
          <w:u w:val="single"/>
        </w:rPr>
        <w:t>todos aquellos “sueños de ganancia”, como suele calificarlos la doctrina especializada, que no son más que conjeturas o eventuales perjuicios que tienen como apoyatura meras hipótesis, sin anclaje en la realidad que rodea la causación del daño, los cuales, por obvias razones, no son indemnizables</w:t>
      </w:r>
      <w:r w:rsidRPr="00EA5586">
        <w:rPr>
          <w:rFonts w:ascii="Arial" w:eastAsia="Arial" w:hAnsi="Arial" w:cs="Arial"/>
          <w:i/>
          <w:iCs/>
          <w:sz w:val="20"/>
          <w:szCs w:val="20"/>
        </w:rPr>
        <w:t>”.</w:t>
      </w:r>
      <w:r w:rsidRPr="00EA5586">
        <w:rPr>
          <w:rStyle w:val="Refdenotaalpie"/>
          <w:rFonts w:ascii="Arial" w:eastAsia="Arial" w:hAnsi="Arial" w:cs="Arial"/>
          <w:sz w:val="20"/>
          <w:szCs w:val="20"/>
        </w:rPr>
        <w:footnoteReference w:id="2"/>
      </w:r>
      <w:r w:rsidRPr="00EA5586">
        <w:rPr>
          <w:rFonts w:ascii="Arial" w:eastAsia="Arial" w:hAnsi="Arial" w:cs="Arial"/>
          <w:i/>
          <w:iCs/>
          <w:sz w:val="20"/>
          <w:szCs w:val="20"/>
        </w:rPr>
        <w:t xml:space="preserve"> </w:t>
      </w:r>
      <w:r w:rsidRPr="00EA5586">
        <w:rPr>
          <w:rFonts w:ascii="Arial" w:eastAsia="Arial" w:hAnsi="Arial" w:cs="Arial"/>
          <w:sz w:val="20"/>
          <w:szCs w:val="20"/>
        </w:rPr>
        <w:t>(Subrayado y negrillas fuera del texto original)</w:t>
      </w:r>
    </w:p>
    <w:p w14:paraId="7D76CEEF" w14:textId="77777777" w:rsidR="00EA5586" w:rsidRPr="00997CDD" w:rsidRDefault="00EA5586" w:rsidP="00EA5586">
      <w:pPr>
        <w:spacing w:line="312" w:lineRule="auto"/>
        <w:ind w:left="708"/>
        <w:jc w:val="both"/>
        <w:rPr>
          <w:rFonts w:ascii="Arial" w:eastAsia="Arial" w:hAnsi="Arial" w:cs="Arial"/>
          <w:sz w:val="20"/>
          <w:szCs w:val="20"/>
        </w:rPr>
      </w:pPr>
    </w:p>
    <w:p w14:paraId="51EDB350" w14:textId="0BD85EDD" w:rsidR="00EA5586" w:rsidRPr="00997CDD" w:rsidRDefault="00EA5586" w:rsidP="00EA5586">
      <w:pPr>
        <w:spacing w:line="312" w:lineRule="auto"/>
        <w:jc w:val="both"/>
        <w:rPr>
          <w:rFonts w:ascii="Arial" w:eastAsia="Arial" w:hAnsi="Arial" w:cs="Arial"/>
        </w:rPr>
      </w:pPr>
      <w:r w:rsidRPr="00997CDD">
        <w:rPr>
          <w:rFonts w:ascii="Arial" w:eastAsia="Arial" w:hAnsi="Arial" w:cs="Arial"/>
        </w:rPr>
        <w:lastRenderedPageBreak/>
        <w:t>En consecuencia,</w:t>
      </w:r>
      <w:r w:rsidR="004261AC">
        <w:rPr>
          <w:rFonts w:ascii="Arial" w:eastAsia="Arial" w:hAnsi="Arial" w:cs="Arial"/>
        </w:rPr>
        <w:t xml:space="preserve"> es dable asegurar que</w:t>
      </w:r>
      <w:r w:rsidRPr="00997CDD">
        <w:rPr>
          <w:rFonts w:ascii="Arial" w:eastAsia="Arial" w:hAnsi="Arial" w:cs="Arial"/>
        </w:rPr>
        <w:t xml:space="preserve"> el lucro cesante no puede constituirse sobre conceptos hipotéticos o simples conjeturas que no están justificadas en posibilidad ciertas y objetivas. De manera que </w:t>
      </w:r>
      <w:r>
        <w:rPr>
          <w:rFonts w:ascii="Arial" w:eastAsia="Arial" w:hAnsi="Arial" w:cs="Arial"/>
        </w:rPr>
        <w:t>resulta como</w:t>
      </w:r>
      <w:r w:rsidRPr="00997CDD">
        <w:rPr>
          <w:rFonts w:ascii="Arial" w:eastAsia="Arial" w:hAnsi="Arial" w:cs="Arial"/>
        </w:rPr>
        <w:t xml:space="preserve"> deber </w:t>
      </w:r>
      <w:r>
        <w:rPr>
          <w:rFonts w:ascii="Arial" w:eastAsia="Arial" w:hAnsi="Arial" w:cs="Arial"/>
        </w:rPr>
        <w:t xml:space="preserve">indispensable </w:t>
      </w:r>
      <w:r w:rsidRPr="00997CDD">
        <w:rPr>
          <w:rFonts w:ascii="Arial" w:eastAsia="Arial" w:hAnsi="Arial" w:cs="Arial"/>
        </w:rPr>
        <w:t>de la parte demandante acreditar el ingreso que dejó de percibir al momento de la ocurrencia del daño, la actividad productiva que desarrollaba al momento del accidente, pero todo esto basado en medios de convicción ciertos y no meramente especulativos</w:t>
      </w:r>
      <w:r w:rsidR="004261AC">
        <w:rPr>
          <w:rFonts w:ascii="Arial" w:eastAsia="Arial" w:hAnsi="Arial" w:cs="Arial"/>
        </w:rPr>
        <w:t>, y esta responsabilidad probatoria es la que debe verse reflejada en la decisión de instancia, a efectos de no transgredir el principio de congruencia de la sentencia</w:t>
      </w:r>
      <w:r w:rsidRPr="00997CDD">
        <w:rPr>
          <w:rFonts w:ascii="Arial" w:eastAsia="Arial" w:hAnsi="Arial" w:cs="Arial"/>
        </w:rPr>
        <w:t xml:space="preserve">. </w:t>
      </w:r>
    </w:p>
    <w:p w14:paraId="2704F415" w14:textId="77777777" w:rsidR="00EA5586" w:rsidRPr="00997CDD" w:rsidRDefault="00EA5586" w:rsidP="00EA5586">
      <w:pPr>
        <w:spacing w:line="312" w:lineRule="auto"/>
        <w:jc w:val="both"/>
        <w:rPr>
          <w:rFonts w:ascii="Arial" w:eastAsia="Arial" w:hAnsi="Arial" w:cs="Arial"/>
        </w:rPr>
      </w:pPr>
    </w:p>
    <w:p w14:paraId="04149250" w14:textId="616A7366" w:rsidR="00EA5586" w:rsidRPr="00997CDD" w:rsidRDefault="00FD0A40" w:rsidP="00EA5586">
      <w:pPr>
        <w:spacing w:line="312" w:lineRule="auto"/>
        <w:jc w:val="both"/>
        <w:rPr>
          <w:rFonts w:ascii="Arial" w:eastAsia="Arial" w:hAnsi="Arial" w:cs="Arial"/>
        </w:rPr>
      </w:pPr>
      <w:r>
        <w:rPr>
          <w:rFonts w:ascii="Arial" w:eastAsia="Arial" w:hAnsi="Arial" w:cs="Arial"/>
        </w:rPr>
        <w:t>En igual sentido, e</w:t>
      </w:r>
      <w:r w:rsidR="00EA5586" w:rsidRPr="00997CDD">
        <w:rPr>
          <w:rFonts w:ascii="Arial" w:eastAsia="Arial" w:hAnsi="Arial" w:cs="Arial"/>
        </w:rPr>
        <w:t xml:space="preserve">l Consejo de Estado en sentencia </w:t>
      </w:r>
      <w:r w:rsidR="00EA5586">
        <w:rPr>
          <w:rFonts w:ascii="Arial" w:eastAsia="Arial" w:hAnsi="Arial" w:cs="Arial"/>
        </w:rPr>
        <w:t xml:space="preserve">reciente </w:t>
      </w:r>
      <w:r w:rsidR="00EA5586" w:rsidRPr="00997CDD">
        <w:rPr>
          <w:rFonts w:ascii="Arial" w:eastAsia="Arial" w:hAnsi="Arial" w:cs="Arial"/>
        </w:rPr>
        <w:t>de unificación del 10 de julio de 2019, limitó todas las posibles discusiones que se pudieran derivar de este perjuicio y eliminó la presunción de que toda persona en edad productiva devenga al menos un salario mínimo, en cuanto contrariaba con</w:t>
      </w:r>
      <w:r w:rsidR="00EA5586">
        <w:rPr>
          <w:rFonts w:ascii="Arial" w:eastAsia="Arial" w:hAnsi="Arial" w:cs="Arial"/>
        </w:rPr>
        <w:t xml:space="preserve"> uno de los elementos, esto es,</w:t>
      </w:r>
      <w:r w:rsidR="00EA5586" w:rsidRPr="00997CDD">
        <w:rPr>
          <w:rFonts w:ascii="Arial" w:eastAsia="Arial" w:hAnsi="Arial" w:cs="Arial"/>
        </w:rPr>
        <w:t xml:space="preserve"> la certeza exigida para conceder dicha indemnización, de manera que estableció que el lucro cesante solo sería reconocido cuando obren las pruebas suficientes que lo acrediten</w:t>
      </w:r>
      <w:r w:rsidR="00937526">
        <w:rPr>
          <w:rFonts w:ascii="Arial" w:eastAsia="Arial" w:hAnsi="Arial" w:cs="Arial"/>
        </w:rPr>
        <w:t>, y en consecuencia dijo</w:t>
      </w:r>
      <w:r w:rsidR="00EA5586" w:rsidRPr="00997CDD">
        <w:rPr>
          <w:rFonts w:ascii="Arial" w:eastAsia="Arial" w:hAnsi="Arial" w:cs="Arial"/>
        </w:rPr>
        <w:t xml:space="preserve">: </w:t>
      </w:r>
    </w:p>
    <w:p w14:paraId="243DC1E2" w14:textId="77777777" w:rsidR="00EA5586" w:rsidRPr="00997CDD" w:rsidRDefault="00EA5586" w:rsidP="00EA5586">
      <w:pPr>
        <w:spacing w:line="312" w:lineRule="auto"/>
        <w:jc w:val="both"/>
        <w:rPr>
          <w:rFonts w:ascii="Arial" w:eastAsia="Arial" w:hAnsi="Arial" w:cs="Arial"/>
        </w:rPr>
      </w:pPr>
    </w:p>
    <w:p w14:paraId="7043C521" w14:textId="77777777" w:rsidR="00EA5586" w:rsidRPr="00997CDD" w:rsidRDefault="00EA5586" w:rsidP="00EA5586">
      <w:pPr>
        <w:spacing w:line="312" w:lineRule="auto"/>
        <w:ind w:left="567" w:right="567"/>
        <w:jc w:val="both"/>
        <w:rPr>
          <w:rFonts w:ascii="Arial" w:eastAsia="Arial" w:hAnsi="Arial" w:cs="Arial"/>
          <w:i/>
          <w:iCs/>
          <w:sz w:val="20"/>
          <w:szCs w:val="20"/>
        </w:rPr>
      </w:pPr>
      <w:r w:rsidRPr="00997CDD">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997CDD">
        <w:rPr>
          <w:rFonts w:ascii="Arial" w:eastAsia="Arial" w:hAnsi="Arial" w:cs="Arial"/>
          <w:i/>
          <w:iCs/>
          <w:sz w:val="20"/>
          <w:szCs w:val="20"/>
        </w:rPr>
        <w:t xml:space="preserve"> (…) </w:t>
      </w:r>
    </w:p>
    <w:p w14:paraId="72EE6E82" w14:textId="77777777" w:rsidR="00EA5586" w:rsidRPr="00997CDD" w:rsidRDefault="00EA5586" w:rsidP="00EA5586">
      <w:pPr>
        <w:spacing w:line="312" w:lineRule="auto"/>
        <w:ind w:left="567" w:right="567"/>
        <w:jc w:val="both"/>
        <w:rPr>
          <w:rFonts w:ascii="Arial" w:eastAsia="Arial" w:hAnsi="Arial" w:cs="Arial"/>
          <w:i/>
          <w:iCs/>
          <w:sz w:val="20"/>
          <w:szCs w:val="20"/>
        </w:rPr>
      </w:pPr>
    </w:p>
    <w:p w14:paraId="4012643E" w14:textId="77777777" w:rsidR="00EA5586" w:rsidRPr="00997CDD" w:rsidRDefault="00EA5586" w:rsidP="00EA5586">
      <w:pPr>
        <w:spacing w:line="312" w:lineRule="auto"/>
        <w:ind w:left="567" w:right="567"/>
        <w:jc w:val="both"/>
        <w:rPr>
          <w:rFonts w:ascii="Arial" w:eastAsia="Arial" w:hAnsi="Arial" w:cs="Arial"/>
          <w:b/>
          <w:bCs/>
          <w:i/>
          <w:iCs/>
          <w:sz w:val="20"/>
          <w:szCs w:val="20"/>
          <w:u w:val="single"/>
        </w:rPr>
      </w:pPr>
      <w:r w:rsidRPr="00997CDD">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w:t>
      </w:r>
      <w:r w:rsidRPr="00997CDD">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1C9C7179" w14:textId="77777777" w:rsidR="00EA5586" w:rsidRPr="00997CDD" w:rsidRDefault="00EA5586" w:rsidP="00EA5586">
      <w:pPr>
        <w:spacing w:line="312" w:lineRule="auto"/>
        <w:ind w:left="567" w:right="567"/>
        <w:jc w:val="both"/>
        <w:rPr>
          <w:rFonts w:ascii="Arial" w:eastAsia="Arial" w:hAnsi="Arial" w:cs="Arial"/>
          <w:i/>
          <w:iCs/>
          <w:sz w:val="20"/>
          <w:szCs w:val="20"/>
        </w:rPr>
      </w:pPr>
    </w:p>
    <w:p w14:paraId="38B9E55B" w14:textId="77777777" w:rsidR="00EA5586" w:rsidRPr="00997CDD" w:rsidRDefault="00EA5586" w:rsidP="00EA5586">
      <w:pPr>
        <w:spacing w:line="312" w:lineRule="auto"/>
        <w:ind w:left="567" w:right="567"/>
        <w:jc w:val="both"/>
        <w:rPr>
          <w:rFonts w:ascii="Arial" w:eastAsia="Arial" w:hAnsi="Arial" w:cs="Arial"/>
          <w:i/>
          <w:iCs/>
          <w:sz w:val="20"/>
          <w:szCs w:val="20"/>
        </w:rPr>
      </w:pPr>
      <w:r w:rsidRPr="00997CDD">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997CDD">
        <w:rPr>
          <w:rFonts w:ascii="Arial" w:eastAsia="Arial" w:hAnsi="Arial" w:cs="Arial"/>
          <w:i/>
          <w:iCs/>
          <w:sz w:val="20"/>
          <w:szCs w:val="20"/>
        </w:rPr>
        <w:t>ii</w:t>
      </w:r>
      <w:proofErr w:type="spellEnd"/>
      <w:r w:rsidRPr="00997CDD">
        <w:rPr>
          <w:rFonts w:ascii="Arial" w:eastAsia="Arial" w:hAnsi="Arial" w:cs="Arial"/>
          <w:i/>
          <w:iCs/>
          <w:sz w:val="20"/>
          <w:szCs w:val="20"/>
        </w:rPr>
        <w:t xml:space="preserve">) proceder a su liquidación. </w:t>
      </w:r>
    </w:p>
    <w:p w14:paraId="4EA0A8F4" w14:textId="77777777" w:rsidR="00EA5586" w:rsidRPr="00997CDD" w:rsidRDefault="00EA5586" w:rsidP="00EA5586">
      <w:pPr>
        <w:spacing w:line="312" w:lineRule="auto"/>
        <w:ind w:left="567" w:right="567"/>
        <w:jc w:val="both"/>
        <w:rPr>
          <w:rFonts w:ascii="Arial" w:eastAsia="Arial" w:hAnsi="Arial" w:cs="Arial"/>
          <w:i/>
          <w:iCs/>
          <w:sz w:val="20"/>
          <w:szCs w:val="20"/>
        </w:rPr>
      </w:pPr>
    </w:p>
    <w:p w14:paraId="047E6AC4" w14:textId="498AEFC5" w:rsidR="00EA5586" w:rsidRPr="00997CDD" w:rsidRDefault="00EA5586" w:rsidP="00EA5586">
      <w:pPr>
        <w:spacing w:line="312" w:lineRule="auto"/>
        <w:ind w:left="567" w:right="567"/>
        <w:jc w:val="both"/>
        <w:rPr>
          <w:rFonts w:ascii="Arial" w:eastAsia="Arial" w:hAnsi="Arial" w:cs="Arial"/>
          <w:b/>
          <w:bCs/>
          <w:i/>
          <w:iCs/>
          <w:sz w:val="20"/>
          <w:szCs w:val="20"/>
          <w:u w:val="single"/>
        </w:rPr>
      </w:pPr>
      <w:r w:rsidRPr="00997CDD">
        <w:rPr>
          <w:rFonts w:ascii="Arial" w:eastAsia="Arial" w:hAnsi="Arial" w:cs="Arial"/>
          <w:b/>
          <w:bCs/>
          <w:i/>
          <w:iCs/>
          <w:sz w:val="20"/>
          <w:szCs w:val="20"/>
          <w:u w:val="single"/>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997CDD">
        <w:rPr>
          <w:rFonts w:ascii="Arial" w:eastAsia="Arial" w:hAnsi="Arial" w:cs="Arial"/>
          <w:b/>
          <w:bCs/>
          <w:i/>
          <w:iCs/>
          <w:sz w:val="20"/>
          <w:szCs w:val="20"/>
          <w:u w:val="single"/>
        </w:rPr>
        <w:t>ii</w:t>
      </w:r>
      <w:proofErr w:type="spellEnd"/>
      <w:r w:rsidRPr="00997CDD">
        <w:rPr>
          <w:rFonts w:ascii="Arial" w:eastAsia="Arial" w:hAnsi="Arial" w:cs="Arial"/>
          <w:b/>
          <w:bCs/>
          <w:i/>
          <w:iCs/>
          <w:sz w:val="20"/>
          <w:szCs w:val="20"/>
          <w:u w:val="single"/>
        </w:rPr>
        <w:t>) a partir de la existencia de una actividad productiva lícita previa no derivada de una relación laboral, pero de la cual emane la existencia del lucro cesante.</w:t>
      </w:r>
      <w:r w:rsidRPr="00997CDD">
        <w:rPr>
          <w:rStyle w:val="Refdenotaalpie"/>
          <w:rFonts w:ascii="Arial" w:eastAsia="Arial" w:hAnsi="Arial" w:cs="Arial"/>
          <w:b/>
          <w:bCs/>
          <w:i/>
          <w:iCs/>
          <w:sz w:val="20"/>
          <w:szCs w:val="20"/>
        </w:rPr>
        <w:footnoteReference w:id="3"/>
      </w:r>
      <w:r w:rsidRPr="00E50253">
        <w:rPr>
          <w:rFonts w:ascii="Arial" w:eastAsia="Arial" w:hAnsi="Arial" w:cs="Arial"/>
          <w:b/>
          <w:bCs/>
          <w:i/>
          <w:iCs/>
          <w:sz w:val="20"/>
          <w:szCs w:val="20"/>
        </w:rPr>
        <w:t xml:space="preserve"> </w:t>
      </w:r>
      <w:r w:rsidRPr="00997CDD">
        <w:rPr>
          <w:rFonts w:ascii="Arial" w:eastAsia="Arial" w:hAnsi="Arial" w:cs="Arial"/>
        </w:rPr>
        <w:t>(</w:t>
      </w:r>
      <w:r w:rsidR="00E50253">
        <w:rPr>
          <w:rFonts w:ascii="Arial" w:eastAsia="Arial" w:hAnsi="Arial" w:cs="Arial"/>
        </w:rPr>
        <w:t>S</w:t>
      </w:r>
      <w:r w:rsidRPr="00997CDD">
        <w:rPr>
          <w:rFonts w:ascii="Arial" w:eastAsia="Arial" w:hAnsi="Arial" w:cs="Arial"/>
        </w:rPr>
        <w:t xml:space="preserve">ubrayado </w:t>
      </w:r>
      <w:r w:rsidR="00E50253">
        <w:rPr>
          <w:rFonts w:ascii="Arial" w:eastAsia="Arial" w:hAnsi="Arial" w:cs="Arial"/>
        </w:rPr>
        <w:t xml:space="preserve">y negrillas </w:t>
      </w:r>
      <w:r w:rsidRPr="00997CDD">
        <w:rPr>
          <w:rFonts w:ascii="Arial" w:eastAsia="Arial" w:hAnsi="Arial" w:cs="Arial"/>
        </w:rPr>
        <w:t>fuera del texto</w:t>
      </w:r>
      <w:r w:rsidR="00E50253">
        <w:rPr>
          <w:rFonts w:ascii="Arial" w:eastAsia="Arial" w:hAnsi="Arial" w:cs="Arial"/>
        </w:rPr>
        <w:t xml:space="preserve"> original</w:t>
      </w:r>
      <w:r w:rsidRPr="00997CDD">
        <w:rPr>
          <w:rFonts w:ascii="Arial" w:eastAsia="Arial" w:hAnsi="Arial" w:cs="Arial"/>
        </w:rPr>
        <w:t>)</w:t>
      </w:r>
    </w:p>
    <w:p w14:paraId="00D297AE" w14:textId="77777777" w:rsidR="00EA5586" w:rsidRPr="00997CDD" w:rsidRDefault="00EA5586" w:rsidP="00EA5586">
      <w:pPr>
        <w:spacing w:line="312" w:lineRule="auto"/>
        <w:ind w:left="708"/>
        <w:jc w:val="both"/>
        <w:rPr>
          <w:rFonts w:ascii="Arial" w:eastAsia="Arial" w:hAnsi="Arial" w:cs="Arial"/>
          <w:b/>
          <w:bCs/>
          <w:sz w:val="20"/>
          <w:szCs w:val="20"/>
          <w:u w:val="single"/>
        </w:rPr>
      </w:pPr>
    </w:p>
    <w:p w14:paraId="2459CE2A" w14:textId="20B9915B" w:rsidR="007A4A9E" w:rsidRPr="0094615E" w:rsidRDefault="005E2859" w:rsidP="00EA5586">
      <w:pPr>
        <w:spacing w:line="312" w:lineRule="auto"/>
        <w:jc w:val="both"/>
        <w:rPr>
          <w:rFonts w:ascii="Arial" w:eastAsia="Arial" w:hAnsi="Arial" w:cs="Arial"/>
        </w:rPr>
      </w:pPr>
      <w:r>
        <w:rPr>
          <w:rFonts w:ascii="Arial" w:eastAsia="Arial" w:hAnsi="Arial" w:cs="Arial"/>
        </w:rPr>
        <w:t>Teniendo en cuenta todo lo anterior</w:t>
      </w:r>
      <w:r w:rsidR="00EA5586" w:rsidRPr="00997CDD">
        <w:rPr>
          <w:rFonts w:ascii="Arial" w:eastAsia="Arial" w:hAnsi="Arial" w:cs="Arial"/>
        </w:rPr>
        <w:t xml:space="preserve">, </w:t>
      </w:r>
      <w:r>
        <w:rPr>
          <w:rFonts w:ascii="Arial" w:eastAsia="Arial" w:hAnsi="Arial" w:cs="Arial"/>
        </w:rPr>
        <w:t xml:space="preserve">es claro que existe una línea de argumentos sólida y encaminada a considerar que </w:t>
      </w:r>
      <w:r w:rsidR="00EA5586" w:rsidRPr="00997CDD">
        <w:rPr>
          <w:rFonts w:ascii="Arial" w:eastAsia="Arial" w:hAnsi="Arial" w:cs="Arial"/>
        </w:rPr>
        <w:t>no es posible reconocer ningún perjuicio a título de lucro cesante</w:t>
      </w:r>
      <w:r w:rsidR="00EA5586">
        <w:rPr>
          <w:rFonts w:ascii="Arial" w:eastAsia="Arial" w:hAnsi="Arial" w:cs="Arial"/>
        </w:rPr>
        <w:t xml:space="preserve"> (consolidado o futuro)</w:t>
      </w:r>
      <w:r w:rsidR="00EA5586" w:rsidRPr="00997CDD">
        <w:rPr>
          <w:rFonts w:ascii="Arial" w:eastAsia="Arial" w:hAnsi="Arial" w:cs="Arial"/>
        </w:rPr>
        <w:t xml:space="preserve">, en </w:t>
      </w:r>
      <w:r>
        <w:rPr>
          <w:rFonts w:ascii="Arial" w:eastAsia="Arial" w:hAnsi="Arial" w:cs="Arial"/>
        </w:rPr>
        <w:t>los eventos en que</w:t>
      </w:r>
      <w:r w:rsidR="00EA5586" w:rsidRPr="00997CDD">
        <w:rPr>
          <w:rFonts w:ascii="Arial" w:eastAsia="Arial" w:hAnsi="Arial" w:cs="Arial"/>
        </w:rPr>
        <w:t xml:space="preserve"> </w:t>
      </w:r>
      <w:r w:rsidR="00EA5586">
        <w:rPr>
          <w:rFonts w:ascii="Arial" w:eastAsia="Arial" w:hAnsi="Arial" w:cs="Arial"/>
        </w:rPr>
        <w:t>l</w:t>
      </w:r>
      <w:r>
        <w:rPr>
          <w:rFonts w:ascii="Arial" w:eastAsia="Arial" w:hAnsi="Arial" w:cs="Arial"/>
        </w:rPr>
        <w:t>os</w:t>
      </w:r>
      <w:r w:rsidR="00EA5586" w:rsidRPr="00997CDD">
        <w:rPr>
          <w:rFonts w:ascii="Arial" w:eastAsia="Arial" w:hAnsi="Arial" w:cs="Arial"/>
        </w:rPr>
        <w:t xml:space="preserve"> demandante</w:t>
      </w:r>
      <w:r>
        <w:rPr>
          <w:rFonts w:ascii="Arial" w:eastAsia="Arial" w:hAnsi="Arial" w:cs="Arial"/>
        </w:rPr>
        <w:t>s</w:t>
      </w:r>
      <w:r w:rsidR="00EA5586" w:rsidRPr="00997CDD">
        <w:rPr>
          <w:rFonts w:ascii="Arial" w:eastAsia="Arial" w:hAnsi="Arial" w:cs="Arial"/>
        </w:rPr>
        <w:t xml:space="preserve"> sustent</w:t>
      </w:r>
      <w:r>
        <w:rPr>
          <w:rFonts w:ascii="Arial" w:eastAsia="Arial" w:hAnsi="Arial" w:cs="Arial"/>
        </w:rPr>
        <w:t>en</w:t>
      </w:r>
      <w:r w:rsidR="00EA5586" w:rsidRPr="00997CDD">
        <w:rPr>
          <w:rFonts w:ascii="Arial" w:eastAsia="Arial" w:hAnsi="Arial" w:cs="Arial"/>
        </w:rPr>
        <w:t xml:space="preserve"> sus pretensiones en meras suposiciones y no alleg</w:t>
      </w:r>
      <w:r>
        <w:rPr>
          <w:rFonts w:ascii="Arial" w:eastAsia="Arial" w:hAnsi="Arial" w:cs="Arial"/>
        </w:rPr>
        <w:t>uen</w:t>
      </w:r>
      <w:r w:rsidR="00EA5586" w:rsidRPr="00997CDD">
        <w:rPr>
          <w:rFonts w:ascii="Arial" w:eastAsia="Arial" w:hAnsi="Arial" w:cs="Arial"/>
        </w:rPr>
        <w:t xml:space="preserve"> ningún medio probatorio que permit</w:t>
      </w:r>
      <w:r>
        <w:rPr>
          <w:rFonts w:ascii="Arial" w:eastAsia="Arial" w:hAnsi="Arial" w:cs="Arial"/>
        </w:rPr>
        <w:t>a</w:t>
      </w:r>
      <w:r w:rsidR="00EA5586" w:rsidRPr="00997CDD">
        <w:rPr>
          <w:rFonts w:ascii="Arial" w:eastAsia="Arial" w:hAnsi="Arial" w:cs="Arial"/>
        </w:rPr>
        <w:t xml:space="preserve"> demostrar que </w:t>
      </w:r>
      <w:r>
        <w:rPr>
          <w:rFonts w:ascii="Arial" w:eastAsia="Arial" w:hAnsi="Arial" w:cs="Arial"/>
        </w:rPr>
        <w:t xml:space="preserve">efectivamente se </w:t>
      </w:r>
      <w:r w:rsidR="00EA5586" w:rsidRPr="00997CDD">
        <w:rPr>
          <w:rFonts w:ascii="Arial" w:eastAsia="Arial" w:hAnsi="Arial" w:cs="Arial"/>
        </w:rPr>
        <w:t>ejercía una actividad productiva al momento de los hechos</w:t>
      </w:r>
      <w:r w:rsidR="00EA5586">
        <w:rPr>
          <w:rFonts w:ascii="Arial" w:eastAsia="Arial" w:hAnsi="Arial" w:cs="Arial"/>
        </w:rPr>
        <w:t>, que como</w:t>
      </w:r>
      <w:r w:rsidR="00EA5586" w:rsidRPr="00997CDD">
        <w:rPr>
          <w:rFonts w:ascii="Arial" w:eastAsia="Arial" w:hAnsi="Arial" w:cs="Arial"/>
        </w:rPr>
        <w:t xml:space="preserve"> consecuencia de ella recibía una remuneración</w:t>
      </w:r>
      <w:r w:rsidR="00EA5586">
        <w:rPr>
          <w:rFonts w:ascii="Arial" w:eastAsia="Arial" w:hAnsi="Arial" w:cs="Arial"/>
        </w:rPr>
        <w:t xml:space="preserve"> y </w:t>
      </w:r>
      <w:r>
        <w:rPr>
          <w:rFonts w:ascii="Arial" w:eastAsia="Arial" w:hAnsi="Arial" w:cs="Arial"/>
        </w:rPr>
        <w:t>que existía una</w:t>
      </w:r>
      <w:r w:rsidR="00EA5586">
        <w:rPr>
          <w:rFonts w:ascii="Arial" w:eastAsia="Arial" w:hAnsi="Arial" w:cs="Arial"/>
        </w:rPr>
        <w:t xml:space="preserve"> suma cierta y determinada de esa remuneración</w:t>
      </w:r>
      <w:r w:rsidR="00EA5586" w:rsidRPr="00997CDD">
        <w:rPr>
          <w:rFonts w:ascii="Arial" w:eastAsia="Arial" w:hAnsi="Arial" w:cs="Arial"/>
        </w:rPr>
        <w:t>, por lo que,</w:t>
      </w:r>
      <w:r>
        <w:rPr>
          <w:rFonts w:ascii="Arial" w:eastAsia="Arial" w:hAnsi="Arial" w:cs="Arial"/>
        </w:rPr>
        <w:t xml:space="preserve"> en el caso de autos,</w:t>
      </w:r>
      <w:r w:rsidR="00EA5586" w:rsidRPr="00997CDD">
        <w:rPr>
          <w:rFonts w:ascii="Arial" w:eastAsia="Arial" w:hAnsi="Arial" w:cs="Arial"/>
        </w:rPr>
        <w:t xml:space="preserve"> cualquier indemnización de este perjuicio resultaría </w:t>
      </w:r>
      <w:r>
        <w:rPr>
          <w:rFonts w:ascii="Arial" w:eastAsia="Arial" w:hAnsi="Arial" w:cs="Arial"/>
        </w:rPr>
        <w:t>injustificado</w:t>
      </w:r>
      <w:r w:rsidR="008E0813">
        <w:rPr>
          <w:rFonts w:ascii="Arial" w:eastAsia="Arial" w:hAnsi="Arial" w:cs="Arial"/>
        </w:rPr>
        <w:t xml:space="preserve"> y por </w:t>
      </w:r>
      <w:r w:rsidR="00636D88">
        <w:rPr>
          <w:rFonts w:ascii="Arial" w:eastAsia="Arial" w:hAnsi="Arial" w:cs="Arial"/>
        </w:rPr>
        <w:t>tanto,</w:t>
      </w:r>
      <w:r w:rsidR="008E0813">
        <w:rPr>
          <w:rFonts w:ascii="Arial" w:eastAsia="Arial" w:hAnsi="Arial" w:cs="Arial"/>
        </w:rPr>
        <w:t xml:space="preserve"> confuso que se haya concedido</w:t>
      </w:r>
      <w:r w:rsidR="00EA5586" w:rsidRPr="00997CDD">
        <w:rPr>
          <w:rFonts w:ascii="Arial" w:eastAsia="Arial" w:hAnsi="Arial" w:cs="Arial"/>
        </w:rPr>
        <w:t>.</w:t>
      </w:r>
    </w:p>
    <w:p w14:paraId="7AFAF12B" w14:textId="77777777" w:rsidR="00B1302E" w:rsidRPr="00E32B8B" w:rsidRDefault="00B1302E" w:rsidP="00EA5586">
      <w:pPr>
        <w:spacing w:line="312" w:lineRule="auto"/>
        <w:jc w:val="both"/>
        <w:rPr>
          <w:rFonts w:ascii="Arial" w:eastAsia="Arial" w:hAnsi="Arial" w:cs="Arial"/>
          <w:color w:val="000000" w:themeColor="text1"/>
        </w:rPr>
      </w:pPr>
    </w:p>
    <w:p w14:paraId="08030964" w14:textId="77777777" w:rsidR="00B1302E" w:rsidRPr="00E32B8B" w:rsidRDefault="00B1302E" w:rsidP="00EA5586">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CAPÍTULO IV. SOLICITUD</w:t>
      </w:r>
    </w:p>
    <w:p w14:paraId="778C0416" w14:textId="77777777" w:rsidR="00B1302E" w:rsidRPr="00E32B8B" w:rsidRDefault="00B1302E" w:rsidP="00EA5586">
      <w:pPr>
        <w:spacing w:line="312" w:lineRule="auto"/>
        <w:rPr>
          <w:rFonts w:ascii="Arial" w:eastAsia="Arial" w:hAnsi="Arial" w:cs="Arial"/>
          <w:b/>
          <w:bCs/>
          <w:color w:val="000000" w:themeColor="text1"/>
          <w:u w:val="single"/>
        </w:rPr>
      </w:pPr>
    </w:p>
    <w:p w14:paraId="5185BA20" w14:textId="2B6E29B9" w:rsidR="00B1302E" w:rsidRDefault="00B1302E" w:rsidP="00EA5586">
      <w:pPr>
        <w:spacing w:line="312" w:lineRule="auto"/>
        <w:jc w:val="both"/>
        <w:rPr>
          <w:rFonts w:ascii="Arial" w:eastAsia="Arial" w:hAnsi="Arial" w:cs="Arial"/>
          <w:color w:val="000000" w:themeColor="text1"/>
        </w:rPr>
      </w:pPr>
      <w:r w:rsidRPr="00E32B8B">
        <w:rPr>
          <w:rFonts w:ascii="Arial" w:eastAsia="Arial" w:hAnsi="Arial" w:cs="Arial"/>
          <w:color w:val="000000" w:themeColor="text1"/>
        </w:rPr>
        <w:lastRenderedPageBreak/>
        <w:t>En mérito de lo expuesto, respetuosamente solicito, se acceda a la</w:t>
      </w:r>
      <w:r w:rsidR="0094615E">
        <w:rPr>
          <w:rFonts w:ascii="Arial" w:eastAsia="Arial" w:hAnsi="Arial" w:cs="Arial"/>
          <w:color w:val="000000" w:themeColor="text1"/>
        </w:rPr>
        <w:t>s</w:t>
      </w:r>
      <w:r w:rsidRPr="00E32B8B">
        <w:rPr>
          <w:rFonts w:ascii="Arial" w:eastAsia="Arial" w:hAnsi="Arial" w:cs="Arial"/>
          <w:color w:val="000000" w:themeColor="text1"/>
        </w:rPr>
        <w:t xml:space="preserve"> petici</w:t>
      </w:r>
      <w:r w:rsidR="0094615E">
        <w:rPr>
          <w:rFonts w:ascii="Arial" w:eastAsia="Arial" w:hAnsi="Arial" w:cs="Arial"/>
          <w:color w:val="000000" w:themeColor="text1"/>
        </w:rPr>
        <w:t>ones</w:t>
      </w:r>
      <w:r w:rsidRPr="00E32B8B">
        <w:rPr>
          <w:rFonts w:ascii="Arial" w:eastAsia="Arial" w:hAnsi="Arial" w:cs="Arial"/>
          <w:color w:val="000000" w:themeColor="text1"/>
        </w:rPr>
        <w:t xml:space="preserve"> que se procede</w:t>
      </w:r>
      <w:r w:rsidR="00CB1984">
        <w:rPr>
          <w:rFonts w:ascii="Arial" w:eastAsia="Arial" w:hAnsi="Arial" w:cs="Arial"/>
          <w:color w:val="000000" w:themeColor="text1"/>
        </w:rPr>
        <w:t>n</w:t>
      </w:r>
      <w:r w:rsidRPr="00E32B8B">
        <w:rPr>
          <w:rFonts w:ascii="Arial" w:eastAsia="Arial" w:hAnsi="Arial" w:cs="Arial"/>
          <w:color w:val="000000" w:themeColor="text1"/>
        </w:rPr>
        <w:t xml:space="preserve"> a enunciar: </w:t>
      </w:r>
    </w:p>
    <w:p w14:paraId="12423A77" w14:textId="77777777" w:rsidR="00B1302E" w:rsidRPr="00E32B8B" w:rsidRDefault="00B1302E" w:rsidP="00EA5586">
      <w:pPr>
        <w:spacing w:line="312" w:lineRule="auto"/>
        <w:jc w:val="both"/>
        <w:rPr>
          <w:rFonts w:ascii="Arial" w:eastAsia="Arial" w:hAnsi="Arial" w:cs="Arial"/>
          <w:color w:val="000000" w:themeColor="text1"/>
        </w:rPr>
      </w:pPr>
    </w:p>
    <w:p w14:paraId="6BB2CF0C" w14:textId="3C660E03" w:rsidR="00CB1984" w:rsidRDefault="00CB1984" w:rsidP="00EA5586">
      <w:pPr>
        <w:pStyle w:val="Prrafodelista"/>
        <w:numPr>
          <w:ilvl w:val="0"/>
          <w:numId w:val="2"/>
        </w:numPr>
        <w:spacing w:after="0" w:line="312" w:lineRule="auto"/>
        <w:ind w:left="720"/>
        <w:jc w:val="both"/>
        <w:rPr>
          <w:rFonts w:ascii="Arial" w:eastAsia="Arial" w:hAnsi="Arial" w:cs="Arial"/>
          <w:color w:val="000000" w:themeColor="text1"/>
        </w:rPr>
      </w:pPr>
      <w:r>
        <w:rPr>
          <w:rFonts w:ascii="Arial" w:eastAsia="Arial" w:hAnsi="Arial" w:cs="Arial"/>
          <w:color w:val="000000" w:themeColor="text1"/>
        </w:rPr>
        <w:t>SE ACLARE la Sentencia</w:t>
      </w:r>
      <w:r w:rsidRPr="00E32B8B">
        <w:rPr>
          <w:rFonts w:ascii="Arial" w:eastAsia="Arial" w:hAnsi="Arial" w:cs="Arial"/>
          <w:color w:val="000000" w:themeColor="text1"/>
        </w:rPr>
        <w:t xml:space="preserve"> </w:t>
      </w:r>
      <w:r w:rsidRPr="00EC4BA5">
        <w:rPr>
          <w:rFonts w:ascii="Arial" w:eastAsia="Arial" w:hAnsi="Arial" w:cs="Arial"/>
          <w:color w:val="000000" w:themeColor="text1"/>
        </w:rPr>
        <w:t xml:space="preserve">No. </w:t>
      </w:r>
      <w:r>
        <w:rPr>
          <w:rFonts w:ascii="Arial" w:eastAsia="Arial" w:hAnsi="Arial" w:cs="Arial"/>
          <w:color w:val="000000" w:themeColor="text1"/>
        </w:rPr>
        <w:t>126</w:t>
      </w:r>
      <w:r w:rsidRPr="00EC4BA5">
        <w:rPr>
          <w:rFonts w:ascii="Arial" w:eastAsia="Arial" w:hAnsi="Arial" w:cs="Arial"/>
          <w:color w:val="000000" w:themeColor="text1"/>
        </w:rPr>
        <w:t xml:space="preserve"> de</w:t>
      </w:r>
      <w:r>
        <w:rPr>
          <w:rFonts w:ascii="Arial" w:eastAsia="Arial" w:hAnsi="Arial" w:cs="Arial"/>
          <w:color w:val="000000" w:themeColor="text1"/>
        </w:rPr>
        <w:t>l</w:t>
      </w:r>
      <w:r w:rsidRPr="00EC4BA5">
        <w:rPr>
          <w:rFonts w:ascii="Arial" w:eastAsia="Arial" w:hAnsi="Arial" w:cs="Arial"/>
          <w:color w:val="000000" w:themeColor="text1"/>
        </w:rPr>
        <w:t xml:space="preserve"> </w:t>
      </w:r>
      <w:r>
        <w:rPr>
          <w:rFonts w:ascii="Arial" w:eastAsia="Arial" w:hAnsi="Arial" w:cs="Arial"/>
          <w:color w:val="000000" w:themeColor="text1"/>
        </w:rPr>
        <w:t>04</w:t>
      </w:r>
      <w:r w:rsidRPr="00EC4BA5">
        <w:rPr>
          <w:rFonts w:ascii="Arial" w:eastAsia="Arial" w:hAnsi="Arial" w:cs="Arial"/>
          <w:color w:val="000000" w:themeColor="text1"/>
        </w:rPr>
        <w:t xml:space="preserve"> de </w:t>
      </w:r>
      <w:r>
        <w:rPr>
          <w:rFonts w:ascii="Arial" w:eastAsia="Arial" w:hAnsi="Arial" w:cs="Arial"/>
          <w:color w:val="000000" w:themeColor="text1"/>
        </w:rPr>
        <w:t>julio</w:t>
      </w:r>
      <w:r w:rsidRPr="00EC4BA5">
        <w:rPr>
          <w:rFonts w:ascii="Arial" w:eastAsia="Arial" w:hAnsi="Arial" w:cs="Arial"/>
          <w:color w:val="000000" w:themeColor="text1"/>
        </w:rPr>
        <w:t xml:space="preserve"> de 2025 </w:t>
      </w:r>
      <w:r w:rsidRPr="00E32B8B">
        <w:rPr>
          <w:rFonts w:ascii="Arial" w:eastAsia="Arial" w:hAnsi="Arial" w:cs="Arial"/>
          <w:color w:val="000000" w:themeColor="text1"/>
        </w:rPr>
        <w:t>en el sentido de</w:t>
      </w:r>
      <w:r>
        <w:rPr>
          <w:rFonts w:ascii="Arial" w:eastAsia="Arial" w:hAnsi="Arial" w:cs="Arial"/>
          <w:color w:val="000000" w:themeColor="text1"/>
        </w:rPr>
        <w:t xml:space="preserve"> exponer cuáles fueron los argumentos probatorios, normativos y/o jurisprudenciales en los cuales se basó el despacho para conceder el perjuicio de</w:t>
      </w:r>
      <w:r w:rsidR="00130713">
        <w:rPr>
          <w:rFonts w:ascii="Arial" w:eastAsia="Arial" w:hAnsi="Arial" w:cs="Arial"/>
          <w:color w:val="000000" w:themeColor="text1"/>
        </w:rPr>
        <w:t>l</w:t>
      </w:r>
      <w:r>
        <w:rPr>
          <w:rFonts w:ascii="Arial" w:eastAsia="Arial" w:hAnsi="Arial" w:cs="Arial"/>
          <w:color w:val="000000" w:themeColor="text1"/>
        </w:rPr>
        <w:t xml:space="preserve"> lucro cesante, aun cuando del escrito de decisión se concluye que los elementos arrimados no representaban una</w:t>
      </w:r>
      <w:r w:rsidR="00730712">
        <w:rPr>
          <w:rFonts w:ascii="Arial" w:eastAsia="Arial" w:hAnsi="Arial" w:cs="Arial"/>
          <w:color w:val="000000" w:themeColor="text1"/>
        </w:rPr>
        <w:t xml:space="preserve"> prueba del ingreso, y cuando de lo actuado en las instancias se advierte que nunca existió la cesación de ingresos a causa de los hechos que convocaron el presente caso.</w:t>
      </w:r>
    </w:p>
    <w:p w14:paraId="6DAB4BF0" w14:textId="77777777" w:rsidR="00536DDE" w:rsidRDefault="00536DDE" w:rsidP="00536DDE">
      <w:pPr>
        <w:pStyle w:val="Prrafodelista"/>
        <w:spacing w:after="0" w:line="312" w:lineRule="auto"/>
        <w:jc w:val="both"/>
        <w:rPr>
          <w:rFonts w:ascii="Arial" w:eastAsia="Arial" w:hAnsi="Arial" w:cs="Arial"/>
          <w:color w:val="000000" w:themeColor="text1"/>
        </w:rPr>
      </w:pPr>
    </w:p>
    <w:p w14:paraId="11C99CBB" w14:textId="30156129" w:rsidR="00B1302E" w:rsidRPr="00E32B8B" w:rsidRDefault="00B1302E" w:rsidP="00EA5586">
      <w:pPr>
        <w:pStyle w:val="Prrafodelista"/>
        <w:numPr>
          <w:ilvl w:val="0"/>
          <w:numId w:val="2"/>
        </w:numPr>
        <w:spacing w:after="0" w:line="312" w:lineRule="auto"/>
        <w:ind w:left="720"/>
        <w:jc w:val="both"/>
        <w:rPr>
          <w:rFonts w:ascii="Arial" w:eastAsia="Arial" w:hAnsi="Arial" w:cs="Arial"/>
          <w:color w:val="000000" w:themeColor="text1"/>
        </w:rPr>
      </w:pPr>
      <w:r w:rsidRPr="00E32B8B">
        <w:rPr>
          <w:rFonts w:ascii="Arial" w:eastAsia="Arial" w:hAnsi="Arial" w:cs="Arial"/>
          <w:color w:val="000000" w:themeColor="text1"/>
        </w:rPr>
        <w:t xml:space="preserve">SE ADICIONE </w:t>
      </w:r>
      <w:r>
        <w:rPr>
          <w:rFonts w:ascii="Arial" w:eastAsia="Arial" w:hAnsi="Arial" w:cs="Arial"/>
          <w:color w:val="000000" w:themeColor="text1"/>
        </w:rPr>
        <w:t>Y/O COMPLEMENTE la Sentencia</w:t>
      </w:r>
      <w:r w:rsidRPr="00E32B8B">
        <w:rPr>
          <w:rFonts w:ascii="Arial" w:eastAsia="Arial" w:hAnsi="Arial" w:cs="Arial"/>
          <w:color w:val="000000" w:themeColor="text1"/>
        </w:rPr>
        <w:t xml:space="preserve"> </w:t>
      </w:r>
      <w:r w:rsidRPr="00EC4BA5">
        <w:rPr>
          <w:rFonts w:ascii="Arial" w:eastAsia="Arial" w:hAnsi="Arial" w:cs="Arial"/>
          <w:color w:val="000000" w:themeColor="text1"/>
        </w:rPr>
        <w:t xml:space="preserve">No. </w:t>
      </w:r>
      <w:r w:rsidR="00CB1984">
        <w:rPr>
          <w:rFonts w:ascii="Arial" w:eastAsia="Arial" w:hAnsi="Arial" w:cs="Arial"/>
          <w:color w:val="000000" w:themeColor="text1"/>
        </w:rPr>
        <w:t>126</w:t>
      </w:r>
      <w:r w:rsidRPr="00EC4BA5">
        <w:rPr>
          <w:rFonts w:ascii="Arial" w:eastAsia="Arial" w:hAnsi="Arial" w:cs="Arial"/>
          <w:color w:val="000000" w:themeColor="text1"/>
        </w:rPr>
        <w:t xml:space="preserve"> de</w:t>
      </w:r>
      <w:r>
        <w:rPr>
          <w:rFonts w:ascii="Arial" w:eastAsia="Arial" w:hAnsi="Arial" w:cs="Arial"/>
          <w:color w:val="000000" w:themeColor="text1"/>
        </w:rPr>
        <w:t>l</w:t>
      </w:r>
      <w:r w:rsidRPr="00EC4BA5">
        <w:rPr>
          <w:rFonts w:ascii="Arial" w:eastAsia="Arial" w:hAnsi="Arial" w:cs="Arial"/>
          <w:color w:val="000000" w:themeColor="text1"/>
        </w:rPr>
        <w:t xml:space="preserve"> </w:t>
      </w:r>
      <w:r w:rsidR="00CB1984">
        <w:rPr>
          <w:rFonts w:ascii="Arial" w:eastAsia="Arial" w:hAnsi="Arial" w:cs="Arial"/>
          <w:color w:val="000000" w:themeColor="text1"/>
        </w:rPr>
        <w:t>04</w:t>
      </w:r>
      <w:r w:rsidRPr="00EC4BA5">
        <w:rPr>
          <w:rFonts w:ascii="Arial" w:eastAsia="Arial" w:hAnsi="Arial" w:cs="Arial"/>
          <w:color w:val="000000" w:themeColor="text1"/>
        </w:rPr>
        <w:t xml:space="preserve"> de </w:t>
      </w:r>
      <w:r w:rsidR="00CB1984">
        <w:rPr>
          <w:rFonts w:ascii="Arial" w:eastAsia="Arial" w:hAnsi="Arial" w:cs="Arial"/>
          <w:color w:val="000000" w:themeColor="text1"/>
        </w:rPr>
        <w:t>julio</w:t>
      </w:r>
      <w:r w:rsidRPr="00EC4BA5">
        <w:rPr>
          <w:rFonts w:ascii="Arial" w:eastAsia="Arial" w:hAnsi="Arial" w:cs="Arial"/>
          <w:color w:val="000000" w:themeColor="text1"/>
        </w:rPr>
        <w:t xml:space="preserve"> de 2025 </w:t>
      </w:r>
      <w:r w:rsidRPr="00E32B8B">
        <w:rPr>
          <w:rFonts w:ascii="Arial" w:eastAsia="Arial" w:hAnsi="Arial" w:cs="Arial"/>
          <w:color w:val="000000" w:themeColor="text1"/>
        </w:rPr>
        <w:t xml:space="preserve">en el sentido de pronunciarse </w:t>
      </w:r>
      <w:r>
        <w:rPr>
          <w:rFonts w:ascii="Arial" w:eastAsia="Arial" w:hAnsi="Arial" w:cs="Arial"/>
          <w:color w:val="000000" w:themeColor="text1"/>
        </w:rPr>
        <w:t>respecto de</w:t>
      </w:r>
      <w:r w:rsidR="00F37C23">
        <w:rPr>
          <w:rFonts w:ascii="Arial" w:eastAsia="Arial" w:hAnsi="Arial" w:cs="Arial"/>
          <w:color w:val="000000" w:themeColor="text1"/>
        </w:rPr>
        <w:t xml:space="preserve"> que el pago a cargo a de mi representada,</w:t>
      </w:r>
      <w:r>
        <w:rPr>
          <w:rFonts w:ascii="Arial" w:eastAsia="Arial" w:hAnsi="Arial" w:cs="Arial"/>
          <w:color w:val="000000" w:themeColor="text1"/>
        </w:rPr>
        <w:t xml:space="preserve"> </w:t>
      </w:r>
      <w:r w:rsidR="00F37C23">
        <w:rPr>
          <w:rFonts w:ascii="Arial" w:eastAsia="Arial" w:hAnsi="Arial" w:cs="Arial"/>
          <w:color w:val="000000" w:themeColor="text1"/>
        </w:rPr>
        <w:t>debe darse mediante la figura de reembolso</w:t>
      </w:r>
      <w:r w:rsidR="00536DDE">
        <w:rPr>
          <w:rFonts w:ascii="Arial" w:eastAsia="Arial" w:hAnsi="Arial" w:cs="Arial"/>
          <w:color w:val="000000" w:themeColor="text1"/>
        </w:rPr>
        <w:t xml:space="preserve"> y teniendo en cuenta todas las condiciones de la póliza, entre ellas, el límite del valor asegurado y el deducible</w:t>
      </w:r>
      <w:r w:rsidR="00F37C23">
        <w:rPr>
          <w:rFonts w:ascii="Arial" w:eastAsia="Arial" w:hAnsi="Arial" w:cs="Arial"/>
          <w:color w:val="000000" w:themeColor="text1"/>
        </w:rPr>
        <w:t>, por haber sido este el acuerdo bilateral obrante en el contrato de seguro y porque dicha opción faculta al tomador elegir si afecta a o no el acuerdo aseguraticio</w:t>
      </w:r>
      <w:r w:rsidRPr="00E32B8B">
        <w:rPr>
          <w:rFonts w:ascii="Arial" w:eastAsia="Arial" w:hAnsi="Arial" w:cs="Arial"/>
          <w:color w:val="000000" w:themeColor="text1"/>
        </w:rPr>
        <w:t>.</w:t>
      </w:r>
    </w:p>
    <w:p w14:paraId="7E8E7FEE" w14:textId="77777777" w:rsidR="00B1302E" w:rsidRPr="00E32B8B" w:rsidRDefault="00B1302E" w:rsidP="00EA5586">
      <w:pPr>
        <w:spacing w:line="312" w:lineRule="auto"/>
        <w:jc w:val="both"/>
        <w:rPr>
          <w:rFonts w:ascii="Arial" w:eastAsia="Arial" w:hAnsi="Arial" w:cs="Arial"/>
          <w:color w:val="000000" w:themeColor="text1"/>
        </w:rPr>
      </w:pPr>
    </w:p>
    <w:p w14:paraId="3BCED109" w14:textId="77777777" w:rsidR="00B1302E" w:rsidRPr="00E32B8B" w:rsidRDefault="00B1302E" w:rsidP="00EA5586">
      <w:pPr>
        <w:spacing w:line="312" w:lineRule="auto"/>
        <w:jc w:val="center"/>
        <w:rPr>
          <w:rFonts w:ascii="Arial" w:eastAsia="Arial" w:hAnsi="Arial" w:cs="Arial"/>
          <w:b/>
          <w:bCs/>
          <w:color w:val="000000" w:themeColor="text1"/>
          <w:u w:val="single"/>
        </w:rPr>
      </w:pPr>
      <w:r w:rsidRPr="00E32B8B">
        <w:rPr>
          <w:rFonts w:ascii="Arial" w:eastAsia="Arial" w:hAnsi="Arial" w:cs="Arial"/>
          <w:b/>
          <w:bCs/>
          <w:color w:val="000000" w:themeColor="text1"/>
          <w:u w:val="single"/>
        </w:rPr>
        <w:t>CAPÍTULO V. NOTIFICACIONES</w:t>
      </w:r>
    </w:p>
    <w:p w14:paraId="08361E9D" w14:textId="77777777" w:rsidR="00B1302E" w:rsidRPr="00E32B8B" w:rsidRDefault="00B1302E" w:rsidP="00EA5586">
      <w:pPr>
        <w:spacing w:line="312" w:lineRule="auto"/>
        <w:jc w:val="both"/>
        <w:rPr>
          <w:rFonts w:ascii="Arial" w:hAnsi="Arial" w:cs="Arial"/>
        </w:rPr>
      </w:pPr>
    </w:p>
    <w:p w14:paraId="1F41266F" w14:textId="77777777" w:rsidR="00B1302E" w:rsidRPr="00E32B8B" w:rsidRDefault="00B1302E" w:rsidP="00EA5586">
      <w:pPr>
        <w:spacing w:line="312" w:lineRule="auto"/>
        <w:jc w:val="both"/>
        <w:rPr>
          <w:rFonts w:ascii="Arial" w:hAnsi="Arial" w:cs="Arial"/>
        </w:rPr>
      </w:pPr>
      <w:r w:rsidRPr="00E32B8B">
        <w:rPr>
          <w:rFonts w:ascii="Arial" w:eastAsia="Calibri" w:hAnsi="Arial" w:cs="Arial"/>
        </w:rPr>
        <w:t xml:space="preserve">El suscrito recibirá notificaciones en la Avenida 6A Bis No. 35N-100, Centro Empresarial Chipichape, Oficina 212, de la ciudad de Cali, o en la dirección electrónica: </w:t>
      </w:r>
      <w:hyperlink r:id="rId9" w:history="1">
        <w:r w:rsidRPr="00E32B8B">
          <w:rPr>
            <w:rFonts w:ascii="Arial" w:eastAsia="Calibri" w:hAnsi="Arial" w:cs="Arial"/>
            <w:color w:val="4472C4" w:themeColor="accent1"/>
            <w:u w:val="single"/>
          </w:rPr>
          <w:t>notificaciones@gha.com.co</w:t>
        </w:r>
      </w:hyperlink>
    </w:p>
    <w:p w14:paraId="216C290C" w14:textId="77777777" w:rsidR="00B1302E" w:rsidRPr="00E32B8B" w:rsidRDefault="00B1302E" w:rsidP="00EA5586">
      <w:pPr>
        <w:spacing w:line="312" w:lineRule="auto"/>
        <w:rPr>
          <w:rFonts w:ascii="Arial" w:eastAsia="Calibri" w:hAnsi="Arial" w:cs="Arial"/>
        </w:rPr>
      </w:pPr>
    </w:p>
    <w:p w14:paraId="4D6F7817" w14:textId="77777777" w:rsidR="00B1302E" w:rsidRPr="00E32B8B" w:rsidRDefault="00B1302E" w:rsidP="00EA5586">
      <w:pPr>
        <w:spacing w:line="312" w:lineRule="auto"/>
        <w:rPr>
          <w:rFonts w:ascii="Arial" w:eastAsia="Calibri" w:hAnsi="Arial" w:cs="Arial"/>
        </w:rPr>
      </w:pPr>
      <w:r w:rsidRPr="00E32B8B">
        <w:rPr>
          <w:rFonts w:ascii="Arial" w:eastAsia="Calibri" w:hAnsi="Arial" w:cs="Arial"/>
          <w:noProof/>
          <w:lang w:val="en-US"/>
        </w:rPr>
        <w:drawing>
          <wp:anchor distT="0" distB="0" distL="114300" distR="114300" simplePos="0" relativeHeight="251659264" behindDoc="1" locked="0" layoutInCell="1" allowOverlap="1" wp14:anchorId="650D77BD" wp14:editId="6F166441">
            <wp:simplePos x="0" y="0"/>
            <wp:positionH relativeFrom="margin">
              <wp:posOffset>-152400</wp:posOffset>
            </wp:positionH>
            <wp:positionV relativeFrom="paragraph">
              <wp:posOffset>156210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485EF62D" w14:textId="77777777" w:rsidR="00B1302E" w:rsidRPr="00E32B8B" w:rsidRDefault="00B1302E" w:rsidP="00EA5586">
      <w:pPr>
        <w:spacing w:line="312" w:lineRule="auto"/>
        <w:rPr>
          <w:rFonts w:ascii="Arial" w:eastAsia="Calibri" w:hAnsi="Arial" w:cs="Arial"/>
        </w:rPr>
      </w:pPr>
      <w:r w:rsidRPr="00E32B8B">
        <w:rPr>
          <w:rFonts w:ascii="Arial" w:eastAsia="Calibri" w:hAnsi="Arial" w:cs="Arial"/>
        </w:rPr>
        <w:t xml:space="preserve">Cordialmente, </w:t>
      </w:r>
    </w:p>
    <w:p w14:paraId="7E1704CB" w14:textId="77777777" w:rsidR="00B1302E" w:rsidRPr="00E32B8B" w:rsidRDefault="00B1302E" w:rsidP="00EA5586">
      <w:pPr>
        <w:spacing w:line="312" w:lineRule="auto"/>
        <w:rPr>
          <w:rFonts w:ascii="Arial" w:eastAsia="Calibri" w:hAnsi="Arial" w:cs="Arial"/>
          <w:b/>
          <w:bCs/>
        </w:rPr>
      </w:pPr>
    </w:p>
    <w:p w14:paraId="541FE7E4" w14:textId="77777777" w:rsidR="00B1302E" w:rsidRPr="00E32B8B" w:rsidRDefault="00B1302E" w:rsidP="00EA5586">
      <w:pPr>
        <w:spacing w:line="312" w:lineRule="auto"/>
        <w:rPr>
          <w:rFonts w:ascii="Arial" w:eastAsia="Calibri" w:hAnsi="Arial" w:cs="Arial"/>
          <w:b/>
          <w:bCs/>
        </w:rPr>
      </w:pPr>
    </w:p>
    <w:p w14:paraId="2996FF13" w14:textId="77777777" w:rsidR="00536DDE" w:rsidRDefault="00536DDE" w:rsidP="00EA5586">
      <w:pPr>
        <w:spacing w:line="312" w:lineRule="auto"/>
        <w:rPr>
          <w:rFonts w:ascii="Arial" w:eastAsia="Calibri" w:hAnsi="Arial" w:cs="Arial"/>
          <w:b/>
          <w:bCs/>
        </w:rPr>
      </w:pPr>
    </w:p>
    <w:p w14:paraId="670FF150" w14:textId="3F3D313E" w:rsidR="00B1302E" w:rsidRPr="00E32B8B" w:rsidRDefault="00B1302E" w:rsidP="00EA5586">
      <w:pPr>
        <w:spacing w:line="312" w:lineRule="auto"/>
        <w:rPr>
          <w:rFonts w:ascii="Arial" w:eastAsia="Calibri" w:hAnsi="Arial" w:cs="Arial"/>
        </w:rPr>
      </w:pPr>
      <w:r w:rsidRPr="00E32B8B">
        <w:rPr>
          <w:rFonts w:ascii="Arial" w:eastAsia="Calibri" w:hAnsi="Arial" w:cs="Arial"/>
          <w:b/>
          <w:bCs/>
        </w:rPr>
        <w:t xml:space="preserve">GUSTAVO ALBERTO HERRERA ÁVILA </w:t>
      </w:r>
    </w:p>
    <w:p w14:paraId="69A981F2" w14:textId="77777777" w:rsidR="00B1302E" w:rsidRPr="00E32B8B" w:rsidRDefault="00B1302E" w:rsidP="00EA5586">
      <w:pPr>
        <w:spacing w:line="312" w:lineRule="auto"/>
        <w:rPr>
          <w:rFonts w:ascii="Arial" w:eastAsia="Calibri" w:hAnsi="Arial" w:cs="Arial"/>
          <w:bCs/>
        </w:rPr>
      </w:pPr>
      <w:r w:rsidRPr="00E32B8B">
        <w:rPr>
          <w:rFonts w:ascii="Arial" w:eastAsia="Calibri" w:hAnsi="Arial" w:cs="Arial"/>
          <w:bCs/>
        </w:rPr>
        <w:t>C.C. No.19.395.114 de Bogotá D.C.</w:t>
      </w:r>
    </w:p>
    <w:p w14:paraId="26EB12BB" w14:textId="77777777" w:rsidR="00B1302E" w:rsidRPr="00E32B8B" w:rsidRDefault="00B1302E" w:rsidP="00EA5586">
      <w:pPr>
        <w:spacing w:line="312" w:lineRule="auto"/>
        <w:rPr>
          <w:rFonts w:ascii="Arial" w:eastAsia="Calibri" w:hAnsi="Arial" w:cs="Arial"/>
          <w:bCs/>
        </w:rPr>
      </w:pPr>
      <w:r w:rsidRPr="00E32B8B">
        <w:rPr>
          <w:rFonts w:ascii="Arial" w:eastAsia="Calibri" w:hAnsi="Arial" w:cs="Arial"/>
          <w:bCs/>
        </w:rPr>
        <w:t>T. P. No. 39.116 del C.S. J.</w:t>
      </w:r>
    </w:p>
    <w:p w14:paraId="4448B9DC" w14:textId="70700CB1" w:rsidR="00CD3B19" w:rsidRPr="00F64251" w:rsidRDefault="00CD3B19" w:rsidP="00EA5586">
      <w:pPr>
        <w:tabs>
          <w:tab w:val="left" w:pos="5760"/>
        </w:tabs>
        <w:spacing w:line="312" w:lineRule="auto"/>
        <w:rPr>
          <w:lang w:val="es-CO"/>
        </w:rPr>
      </w:pPr>
    </w:p>
    <w:sectPr w:rsidR="00CD3B19" w:rsidRPr="00F64251" w:rsidSect="00F64251">
      <w:headerReference w:type="default" r:id="rId11"/>
      <w:footerReference w:type="default" r:id="rId12"/>
      <w:pgSz w:w="12240" w:h="20160" w:code="5"/>
      <w:pgMar w:top="1701" w:right="964" w:bottom="1588" w:left="964" w:header="283"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23A3" w14:textId="77777777" w:rsidR="00E13FAE" w:rsidRDefault="00E13FAE" w:rsidP="0025591F">
      <w:r>
        <w:separator/>
      </w:r>
    </w:p>
  </w:endnote>
  <w:endnote w:type="continuationSeparator" w:id="0">
    <w:p w14:paraId="39ED4AA0" w14:textId="77777777" w:rsidR="00E13FAE" w:rsidRDefault="00E13FA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9767" w14:textId="77777777" w:rsidR="00E13FAE" w:rsidRDefault="00E13FAE" w:rsidP="0025591F">
      <w:r>
        <w:separator/>
      </w:r>
    </w:p>
  </w:footnote>
  <w:footnote w:type="continuationSeparator" w:id="0">
    <w:p w14:paraId="0FB69AED" w14:textId="77777777" w:rsidR="00E13FAE" w:rsidRDefault="00E13FAE" w:rsidP="0025591F">
      <w:r>
        <w:continuationSeparator/>
      </w:r>
    </w:p>
  </w:footnote>
  <w:footnote w:id="1">
    <w:p w14:paraId="01C24B1F" w14:textId="77777777" w:rsidR="00EA5586" w:rsidRPr="004551BE" w:rsidRDefault="00EA5586" w:rsidP="00EA5586">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2">
    <w:p w14:paraId="15C8A69D" w14:textId="77777777" w:rsidR="00EA5586" w:rsidRDefault="00EA5586" w:rsidP="00EA5586">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3">
    <w:p w14:paraId="4DAC95AA" w14:textId="77777777" w:rsidR="00EA5586" w:rsidRDefault="00EA5586" w:rsidP="00EA5586">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C274A5"/>
    <w:multiLevelType w:val="hybridMultilevel"/>
    <w:tmpl w:val="E1E0DBB8"/>
    <w:lvl w:ilvl="0" w:tplc="632878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CA5DF7"/>
    <w:multiLevelType w:val="hybridMultilevel"/>
    <w:tmpl w:val="EFAE8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DB589A"/>
    <w:multiLevelType w:val="hybridMultilevel"/>
    <w:tmpl w:val="DEDAD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0"/>
  </w:num>
  <w:num w:numId="2" w16cid:durableId="1099836619">
    <w:abstractNumId w:val="1"/>
  </w:num>
  <w:num w:numId="3" w16cid:durableId="1637829619">
    <w:abstractNumId w:val="2"/>
  </w:num>
  <w:num w:numId="4" w16cid:durableId="1397585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29FC"/>
    <w:rsid w:val="00006F90"/>
    <w:rsid w:val="0003111F"/>
    <w:rsid w:val="00031D64"/>
    <w:rsid w:val="00035E4E"/>
    <w:rsid w:val="00036FCE"/>
    <w:rsid w:val="000557D7"/>
    <w:rsid w:val="00070626"/>
    <w:rsid w:val="000B00A8"/>
    <w:rsid w:val="000C2815"/>
    <w:rsid w:val="0011621F"/>
    <w:rsid w:val="00130713"/>
    <w:rsid w:val="00131B8E"/>
    <w:rsid w:val="00175B27"/>
    <w:rsid w:val="001925A0"/>
    <w:rsid w:val="00192C8F"/>
    <w:rsid w:val="00194DAC"/>
    <w:rsid w:val="00197F09"/>
    <w:rsid w:val="001D5B96"/>
    <w:rsid w:val="001F6F45"/>
    <w:rsid w:val="00215CEA"/>
    <w:rsid w:val="00234F3F"/>
    <w:rsid w:val="00254E27"/>
    <w:rsid w:val="0025591F"/>
    <w:rsid w:val="00267DDC"/>
    <w:rsid w:val="00281D90"/>
    <w:rsid w:val="002A3FB0"/>
    <w:rsid w:val="002B4368"/>
    <w:rsid w:val="002B5E76"/>
    <w:rsid w:val="002C38D2"/>
    <w:rsid w:val="002C3BBB"/>
    <w:rsid w:val="002F430B"/>
    <w:rsid w:val="003141B0"/>
    <w:rsid w:val="00374FB5"/>
    <w:rsid w:val="00375AFE"/>
    <w:rsid w:val="00384554"/>
    <w:rsid w:val="00395D72"/>
    <w:rsid w:val="003A306A"/>
    <w:rsid w:val="003C5BCE"/>
    <w:rsid w:val="003D2930"/>
    <w:rsid w:val="003D3305"/>
    <w:rsid w:val="003F26B0"/>
    <w:rsid w:val="00416F84"/>
    <w:rsid w:val="0042497F"/>
    <w:rsid w:val="00424DB6"/>
    <w:rsid w:val="004261AC"/>
    <w:rsid w:val="0042652C"/>
    <w:rsid w:val="00440301"/>
    <w:rsid w:val="00470810"/>
    <w:rsid w:val="00484B8F"/>
    <w:rsid w:val="0048616E"/>
    <w:rsid w:val="004A356B"/>
    <w:rsid w:val="004C01CE"/>
    <w:rsid w:val="004E2BE8"/>
    <w:rsid w:val="004F26D5"/>
    <w:rsid w:val="004F7771"/>
    <w:rsid w:val="00500051"/>
    <w:rsid w:val="0050092B"/>
    <w:rsid w:val="00505F3C"/>
    <w:rsid w:val="00536DDE"/>
    <w:rsid w:val="00543F6F"/>
    <w:rsid w:val="005607A9"/>
    <w:rsid w:val="005906E1"/>
    <w:rsid w:val="005A0A03"/>
    <w:rsid w:val="005A27BB"/>
    <w:rsid w:val="005A3F2C"/>
    <w:rsid w:val="005B27C4"/>
    <w:rsid w:val="005B5782"/>
    <w:rsid w:val="005C0D7F"/>
    <w:rsid w:val="005C2401"/>
    <w:rsid w:val="005C5EE0"/>
    <w:rsid w:val="005D7117"/>
    <w:rsid w:val="005E2859"/>
    <w:rsid w:val="005F290A"/>
    <w:rsid w:val="00607853"/>
    <w:rsid w:val="00627349"/>
    <w:rsid w:val="00636D88"/>
    <w:rsid w:val="00637020"/>
    <w:rsid w:val="006459E7"/>
    <w:rsid w:val="00672FA0"/>
    <w:rsid w:val="00680CDE"/>
    <w:rsid w:val="006A0FDA"/>
    <w:rsid w:val="006A68EE"/>
    <w:rsid w:val="006B4785"/>
    <w:rsid w:val="006C3935"/>
    <w:rsid w:val="006C3A2D"/>
    <w:rsid w:val="006D4179"/>
    <w:rsid w:val="006F3F7B"/>
    <w:rsid w:val="00730712"/>
    <w:rsid w:val="00762B3A"/>
    <w:rsid w:val="00783103"/>
    <w:rsid w:val="00793C8E"/>
    <w:rsid w:val="007A1D89"/>
    <w:rsid w:val="007A4A9E"/>
    <w:rsid w:val="007C1A65"/>
    <w:rsid w:val="007E653F"/>
    <w:rsid w:val="007F5C2C"/>
    <w:rsid w:val="007F632D"/>
    <w:rsid w:val="007F6A39"/>
    <w:rsid w:val="008830A7"/>
    <w:rsid w:val="008A3EE5"/>
    <w:rsid w:val="008D26B4"/>
    <w:rsid w:val="008D5B3A"/>
    <w:rsid w:val="008E0813"/>
    <w:rsid w:val="008E4E08"/>
    <w:rsid w:val="008F01B3"/>
    <w:rsid w:val="008F1E2F"/>
    <w:rsid w:val="00934146"/>
    <w:rsid w:val="00937526"/>
    <w:rsid w:val="00941B44"/>
    <w:rsid w:val="0094615E"/>
    <w:rsid w:val="00957ECF"/>
    <w:rsid w:val="009925B8"/>
    <w:rsid w:val="00997C0E"/>
    <w:rsid w:val="009A754B"/>
    <w:rsid w:val="00A50267"/>
    <w:rsid w:val="00A7220B"/>
    <w:rsid w:val="00A877E6"/>
    <w:rsid w:val="00A904E7"/>
    <w:rsid w:val="00AB3A2C"/>
    <w:rsid w:val="00AD03AA"/>
    <w:rsid w:val="00AF47A4"/>
    <w:rsid w:val="00B1302E"/>
    <w:rsid w:val="00B20189"/>
    <w:rsid w:val="00B23ED4"/>
    <w:rsid w:val="00B54DCC"/>
    <w:rsid w:val="00B56807"/>
    <w:rsid w:val="00B579B3"/>
    <w:rsid w:val="00B90EDF"/>
    <w:rsid w:val="00B90FC8"/>
    <w:rsid w:val="00BA33E1"/>
    <w:rsid w:val="00BB7105"/>
    <w:rsid w:val="00BD192A"/>
    <w:rsid w:val="00BE6214"/>
    <w:rsid w:val="00BF1A90"/>
    <w:rsid w:val="00C254FB"/>
    <w:rsid w:val="00C53500"/>
    <w:rsid w:val="00C61DEB"/>
    <w:rsid w:val="00C63D22"/>
    <w:rsid w:val="00C644E9"/>
    <w:rsid w:val="00C70FF5"/>
    <w:rsid w:val="00CB1984"/>
    <w:rsid w:val="00CD3B19"/>
    <w:rsid w:val="00CE59D0"/>
    <w:rsid w:val="00D23A48"/>
    <w:rsid w:val="00D66BEC"/>
    <w:rsid w:val="00DB34C9"/>
    <w:rsid w:val="00DF71AF"/>
    <w:rsid w:val="00E034A7"/>
    <w:rsid w:val="00E12351"/>
    <w:rsid w:val="00E13FAE"/>
    <w:rsid w:val="00E23DED"/>
    <w:rsid w:val="00E43BA7"/>
    <w:rsid w:val="00E50253"/>
    <w:rsid w:val="00E63CC0"/>
    <w:rsid w:val="00EA5586"/>
    <w:rsid w:val="00EB06B6"/>
    <w:rsid w:val="00EC2B3D"/>
    <w:rsid w:val="00EC434B"/>
    <w:rsid w:val="00EC7C70"/>
    <w:rsid w:val="00EE40E3"/>
    <w:rsid w:val="00EE7BAA"/>
    <w:rsid w:val="00EF7735"/>
    <w:rsid w:val="00F37C23"/>
    <w:rsid w:val="00F404AB"/>
    <w:rsid w:val="00F64251"/>
    <w:rsid w:val="00F65A79"/>
    <w:rsid w:val="00F75027"/>
    <w:rsid w:val="00F95354"/>
    <w:rsid w:val="00FA4FFB"/>
    <w:rsid w:val="00FD0A40"/>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1302E"/>
    <w:pPr>
      <w:widowControl/>
      <w:autoSpaceDE/>
      <w:autoSpaceDN/>
      <w:spacing w:after="200" w:line="276"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B1302E"/>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EA5586"/>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EA5586"/>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EA55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A5586"/>
    <w:pPr>
      <w:widowControl/>
      <w:autoSpaceDE/>
      <w:autoSpaceDN/>
      <w:jc w:val="both"/>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4F26D5"/>
    <w:rPr>
      <w:sz w:val="16"/>
      <w:szCs w:val="16"/>
    </w:rPr>
  </w:style>
  <w:style w:type="paragraph" w:styleId="Textocomentario">
    <w:name w:val="annotation text"/>
    <w:basedOn w:val="Normal"/>
    <w:link w:val="TextocomentarioCar"/>
    <w:uiPriority w:val="99"/>
    <w:unhideWhenUsed/>
    <w:rsid w:val="004F26D5"/>
    <w:rPr>
      <w:sz w:val="20"/>
      <w:szCs w:val="20"/>
    </w:rPr>
  </w:style>
  <w:style w:type="character" w:customStyle="1" w:styleId="TextocomentarioCar">
    <w:name w:val="Texto comentario Car"/>
    <w:basedOn w:val="Fuentedeprrafopredeter"/>
    <w:link w:val="Textocomentario"/>
    <w:uiPriority w:val="99"/>
    <w:rsid w:val="004F26D5"/>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F26D5"/>
    <w:rPr>
      <w:b/>
      <w:bCs/>
    </w:rPr>
  </w:style>
  <w:style w:type="character" w:customStyle="1" w:styleId="AsuntodelcomentarioCar">
    <w:name w:val="Asunto del comentario Car"/>
    <w:basedOn w:val="TextocomentarioCar"/>
    <w:link w:val="Asuntodelcomentario"/>
    <w:uiPriority w:val="99"/>
    <w:semiHidden/>
    <w:rsid w:val="004F26D5"/>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1tadvalle@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167</TotalTime>
  <Pages>6</Pages>
  <Words>3040</Words>
  <Characters>16722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70</cp:revision>
  <dcterms:created xsi:type="dcterms:W3CDTF">2025-07-18T15:32:00Z</dcterms:created>
  <dcterms:modified xsi:type="dcterms:W3CDTF">2025-07-22T16:09:00Z</dcterms:modified>
</cp:coreProperties>
</file>