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776C5" w14:textId="77777777" w:rsidR="00EE59EF" w:rsidRDefault="00EE59EF" w:rsidP="00EE59EF">
      <w:pPr>
        <w:spacing w:line="312" w:lineRule="auto"/>
        <w:jc w:val="both"/>
        <w:rPr>
          <w:rFonts w:ascii="Arial" w:hAnsi="Arial" w:cs="Arial"/>
        </w:rPr>
      </w:pPr>
      <w:bookmarkStart w:id="0" w:name="_Hlk22918831"/>
    </w:p>
    <w:p w14:paraId="68645E72" w14:textId="77777777" w:rsidR="00EE59EF" w:rsidRPr="005B50D5" w:rsidRDefault="00EE59EF" w:rsidP="00EE59EF">
      <w:pPr>
        <w:spacing w:line="312" w:lineRule="auto"/>
        <w:jc w:val="both"/>
        <w:rPr>
          <w:rFonts w:ascii="Arial" w:hAnsi="Arial" w:cs="Arial"/>
        </w:rPr>
      </w:pPr>
      <w:r>
        <w:rPr>
          <w:rFonts w:ascii="Arial" w:hAnsi="Arial" w:cs="Arial"/>
        </w:rPr>
        <w:t>Doctor</w:t>
      </w:r>
    </w:p>
    <w:p w14:paraId="6D88376B" w14:textId="77777777" w:rsidR="00EE59EF" w:rsidRDefault="00EE59EF" w:rsidP="00EE59EF">
      <w:pPr>
        <w:spacing w:line="312" w:lineRule="auto"/>
        <w:jc w:val="both"/>
        <w:rPr>
          <w:rFonts w:ascii="Arial" w:hAnsi="Arial" w:cs="Arial"/>
          <w:b/>
          <w:bCs/>
        </w:rPr>
      </w:pPr>
      <w:r w:rsidRPr="000A41ED">
        <w:rPr>
          <w:rFonts w:ascii="Arial" w:hAnsi="Arial" w:cs="Arial"/>
          <w:b/>
          <w:bCs/>
        </w:rPr>
        <w:t>VÍCTOR HUGO AGUIRRE CEBALLOS</w:t>
      </w:r>
    </w:p>
    <w:p w14:paraId="1DC2F551" w14:textId="77777777" w:rsidR="00EE59EF" w:rsidRPr="005B50D5" w:rsidRDefault="00EE59EF" w:rsidP="00EE59EF">
      <w:pPr>
        <w:spacing w:line="312" w:lineRule="auto"/>
        <w:jc w:val="both"/>
        <w:rPr>
          <w:rFonts w:ascii="Arial" w:hAnsi="Arial" w:cs="Arial"/>
          <w:b/>
          <w:bCs/>
        </w:rPr>
      </w:pPr>
      <w:r w:rsidRPr="002F3483">
        <w:rPr>
          <w:rFonts w:ascii="Arial" w:hAnsi="Arial" w:cs="Arial"/>
          <w:b/>
          <w:bCs/>
        </w:rPr>
        <w:t>JUZGADO QUINTO</w:t>
      </w:r>
      <w:r>
        <w:rPr>
          <w:rFonts w:ascii="Arial" w:hAnsi="Arial" w:cs="Arial"/>
          <w:b/>
          <w:bCs/>
        </w:rPr>
        <w:t xml:space="preserve"> (5°)</w:t>
      </w:r>
      <w:r w:rsidRPr="002F3483">
        <w:rPr>
          <w:rFonts w:ascii="Arial" w:hAnsi="Arial" w:cs="Arial"/>
          <w:b/>
          <w:bCs/>
        </w:rPr>
        <w:t xml:space="preserve"> ADMINISTRATIVO DEL CIRCUITO DE MANIZALES</w:t>
      </w:r>
    </w:p>
    <w:p w14:paraId="5B49D833" w14:textId="4F1C3EF6" w:rsidR="00EE59EF" w:rsidRPr="007D640C" w:rsidRDefault="00EE59EF" w:rsidP="00EE59EF">
      <w:pPr>
        <w:spacing w:line="312" w:lineRule="auto"/>
        <w:jc w:val="both"/>
        <w:rPr>
          <w:rFonts w:ascii="Arial" w:hAnsi="Arial" w:cs="Arial"/>
        </w:rPr>
      </w:pPr>
      <w:hyperlink r:id="rId8" w:history="1">
        <w:r w:rsidRPr="007D640C">
          <w:rPr>
            <w:rStyle w:val="Hipervnculo"/>
            <w:rFonts w:ascii="Arial" w:hAnsi="Arial" w:cs="Arial"/>
          </w:rPr>
          <w:t>admin05ma@cendoj.ramajudicial.gov.co</w:t>
        </w:r>
      </w:hyperlink>
    </w:p>
    <w:p w14:paraId="3AF80A13" w14:textId="77777777" w:rsidR="00EE59EF" w:rsidRDefault="00EE59EF" w:rsidP="00EE59EF">
      <w:pPr>
        <w:spacing w:line="312" w:lineRule="auto"/>
        <w:jc w:val="both"/>
        <w:rPr>
          <w:rFonts w:ascii="Arial" w:hAnsi="Arial" w:cs="Arial"/>
          <w:b/>
          <w:bCs/>
        </w:rPr>
      </w:pPr>
    </w:p>
    <w:p w14:paraId="58A743CE" w14:textId="77777777" w:rsidR="00EE59EF" w:rsidRPr="00E54314" w:rsidRDefault="00EE59EF" w:rsidP="00EE59EF">
      <w:pPr>
        <w:spacing w:line="312" w:lineRule="auto"/>
        <w:ind w:left="708"/>
        <w:jc w:val="both"/>
        <w:rPr>
          <w:rFonts w:ascii="Arial" w:hAnsi="Arial" w:cs="Arial"/>
          <w:b/>
          <w:bCs/>
        </w:rPr>
      </w:pPr>
      <w:r w:rsidRPr="00E54314">
        <w:rPr>
          <w:rFonts w:ascii="Arial" w:hAnsi="Arial" w:cs="Arial"/>
          <w:b/>
          <w:bCs/>
        </w:rPr>
        <w:t>PROCESO</w:t>
      </w:r>
      <w:r w:rsidRPr="00E54314">
        <w:rPr>
          <w:rFonts w:ascii="Arial" w:hAnsi="Arial" w:cs="Arial"/>
        </w:rPr>
        <w:t>: REPARACIÓN DIRECTA</w:t>
      </w:r>
      <w:r w:rsidRPr="00E54314">
        <w:rPr>
          <w:rFonts w:ascii="Arial" w:hAnsi="Arial" w:cs="Arial"/>
          <w:b/>
          <w:bCs/>
        </w:rPr>
        <w:t xml:space="preserve">  </w:t>
      </w:r>
    </w:p>
    <w:p w14:paraId="23E12BED" w14:textId="77777777" w:rsidR="00EE59EF" w:rsidRPr="00E54314" w:rsidRDefault="00EE59EF" w:rsidP="00EE59EF">
      <w:pPr>
        <w:spacing w:line="312" w:lineRule="auto"/>
        <w:ind w:left="708"/>
        <w:jc w:val="both"/>
        <w:rPr>
          <w:rFonts w:ascii="Arial" w:hAnsi="Arial" w:cs="Arial"/>
          <w:b/>
          <w:bCs/>
        </w:rPr>
      </w:pPr>
      <w:r w:rsidRPr="00E54314">
        <w:rPr>
          <w:rFonts w:ascii="Arial" w:hAnsi="Arial" w:cs="Arial"/>
          <w:b/>
          <w:bCs/>
        </w:rPr>
        <w:t>RADICADO</w:t>
      </w:r>
      <w:r w:rsidRPr="00E54314">
        <w:rPr>
          <w:rFonts w:ascii="Arial" w:hAnsi="Arial" w:cs="Arial"/>
        </w:rPr>
        <w:t xml:space="preserve">: </w:t>
      </w:r>
      <w:r w:rsidRPr="00737F3F">
        <w:rPr>
          <w:rFonts w:ascii="Arial" w:hAnsi="Arial" w:cs="Arial"/>
        </w:rPr>
        <w:t>17-001-33-39-005-</w:t>
      </w:r>
      <w:r w:rsidRPr="00737F3F">
        <w:rPr>
          <w:rFonts w:ascii="Arial" w:hAnsi="Arial" w:cs="Arial"/>
          <w:b/>
          <w:bCs/>
        </w:rPr>
        <w:t>2018-00607</w:t>
      </w:r>
      <w:r w:rsidRPr="00737F3F">
        <w:rPr>
          <w:rFonts w:ascii="Arial" w:hAnsi="Arial" w:cs="Arial"/>
        </w:rPr>
        <w:t>-00</w:t>
      </w:r>
    </w:p>
    <w:p w14:paraId="105EE0C4" w14:textId="77777777" w:rsidR="00EE59EF" w:rsidRPr="00E54314" w:rsidRDefault="00EE59EF" w:rsidP="00EE59EF">
      <w:pPr>
        <w:spacing w:line="312" w:lineRule="auto"/>
        <w:ind w:left="708"/>
        <w:jc w:val="both"/>
        <w:rPr>
          <w:rFonts w:ascii="Arial" w:hAnsi="Arial" w:cs="Arial"/>
          <w:b/>
          <w:bCs/>
        </w:rPr>
      </w:pPr>
      <w:r w:rsidRPr="00E54314">
        <w:rPr>
          <w:rFonts w:ascii="Arial" w:hAnsi="Arial" w:cs="Arial"/>
          <w:b/>
          <w:bCs/>
        </w:rPr>
        <w:t>DEMANDANTE</w:t>
      </w:r>
      <w:r w:rsidRPr="00E54314">
        <w:rPr>
          <w:rFonts w:ascii="Arial" w:hAnsi="Arial" w:cs="Arial"/>
        </w:rPr>
        <w:t xml:space="preserve">: </w:t>
      </w:r>
      <w:r w:rsidRPr="00737F3F">
        <w:rPr>
          <w:rFonts w:ascii="Arial" w:hAnsi="Arial" w:cs="Arial"/>
        </w:rPr>
        <w:t>ANDRÉS MAURICIO RINCÓN FRANCO</w:t>
      </w:r>
    </w:p>
    <w:p w14:paraId="22E1857D" w14:textId="77777777" w:rsidR="00EE59EF" w:rsidRPr="00E54314" w:rsidRDefault="00EE59EF" w:rsidP="00EE59EF">
      <w:pPr>
        <w:spacing w:line="312" w:lineRule="auto"/>
        <w:ind w:left="708"/>
        <w:jc w:val="both"/>
        <w:rPr>
          <w:rFonts w:ascii="Arial" w:hAnsi="Arial" w:cs="Arial"/>
          <w:b/>
          <w:bCs/>
        </w:rPr>
      </w:pPr>
      <w:r w:rsidRPr="00E54314">
        <w:rPr>
          <w:rFonts w:ascii="Arial" w:hAnsi="Arial" w:cs="Arial"/>
          <w:b/>
          <w:bCs/>
        </w:rPr>
        <w:t>DEMANDADO</w:t>
      </w:r>
      <w:r>
        <w:rPr>
          <w:rFonts w:ascii="Arial" w:hAnsi="Arial" w:cs="Arial"/>
        </w:rPr>
        <w:t>:</w:t>
      </w:r>
      <w:r w:rsidRPr="00A64ED1">
        <w:t xml:space="preserve"> </w:t>
      </w:r>
      <w:r w:rsidRPr="00A64ED1">
        <w:rPr>
          <w:rFonts w:ascii="Arial" w:hAnsi="Arial" w:cs="Arial"/>
        </w:rPr>
        <w:t>DEPARTAMENTO DE CALDAS</w:t>
      </w:r>
    </w:p>
    <w:p w14:paraId="40CACE6C" w14:textId="77777777" w:rsidR="00EE59EF" w:rsidRPr="00E54314" w:rsidRDefault="00EE59EF" w:rsidP="00EE59EF">
      <w:pPr>
        <w:spacing w:line="312" w:lineRule="auto"/>
        <w:ind w:left="708"/>
        <w:jc w:val="both"/>
        <w:rPr>
          <w:rFonts w:ascii="Arial" w:hAnsi="Arial" w:cs="Arial"/>
          <w:b/>
          <w:bCs/>
        </w:rPr>
      </w:pPr>
      <w:r w:rsidRPr="00E54314">
        <w:rPr>
          <w:rFonts w:ascii="Arial" w:hAnsi="Arial" w:cs="Arial"/>
          <w:b/>
          <w:bCs/>
        </w:rPr>
        <w:t>LLAMADO EN GTÍA</w:t>
      </w:r>
      <w:r w:rsidRPr="00E54314">
        <w:rPr>
          <w:rFonts w:ascii="Arial" w:hAnsi="Arial" w:cs="Arial"/>
        </w:rPr>
        <w:t xml:space="preserve">: </w:t>
      </w:r>
      <w:r w:rsidRPr="00A11896">
        <w:rPr>
          <w:rFonts w:ascii="Arial" w:hAnsi="Arial" w:cs="Arial"/>
        </w:rPr>
        <w:t>ALLIANZ SEGUROS</w:t>
      </w:r>
      <w:r>
        <w:rPr>
          <w:rFonts w:ascii="Arial" w:hAnsi="Arial" w:cs="Arial"/>
        </w:rPr>
        <w:t xml:space="preserve"> </w:t>
      </w:r>
      <w:r w:rsidRPr="00E54314">
        <w:rPr>
          <w:rFonts w:ascii="Arial" w:hAnsi="Arial" w:cs="Arial"/>
        </w:rPr>
        <w:t>S.A</w:t>
      </w:r>
      <w:r>
        <w:rPr>
          <w:rFonts w:ascii="Arial" w:hAnsi="Arial" w:cs="Arial"/>
        </w:rPr>
        <w:t>.</w:t>
      </w:r>
    </w:p>
    <w:p w14:paraId="3F5DE00C" w14:textId="77777777" w:rsidR="00EE59EF" w:rsidRDefault="00EE59EF" w:rsidP="00EE59EF">
      <w:pPr>
        <w:spacing w:line="312" w:lineRule="auto"/>
        <w:ind w:left="708"/>
        <w:jc w:val="both"/>
        <w:rPr>
          <w:rFonts w:ascii="Arial" w:hAnsi="Arial" w:cs="Arial"/>
          <w:b/>
          <w:bCs/>
        </w:rPr>
      </w:pPr>
      <w:r w:rsidRPr="00E54314">
        <w:rPr>
          <w:rFonts w:ascii="Arial" w:hAnsi="Arial" w:cs="Arial"/>
          <w:b/>
          <w:bCs/>
        </w:rPr>
        <w:t>REFERENCIA</w:t>
      </w:r>
      <w:r w:rsidRPr="00E54314">
        <w:rPr>
          <w:rFonts w:ascii="Arial" w:hAnsi="Arial" w:cs="Arial"/>
        </w:rPr>
        <w:t>: RECURSO DE REPOSICIÓN EN SUBSIDIO DE APELACIÓN</w:t>
      </w:r>
    </w:p>
    <w:p w14:paraId="0F690BE5" w14:textId="77777777" w:rsidR="00EE59EF" w:rsidRDefault="00EE59EF" w:rsidP="00EE59EF">
      <w:pPr>
        <w:spacing w:line="312" w:lineRule="auto"/>
        <w:jc w:val="both"/>
        <w:rPr>
          <w:rFonts w:ascii="Arial" w:hAnsi="Arial" w:cs="Arial"/>
          <w:b/>
          <w:bCs/>
        </w:rPr>
      </w:pPr>
    </w:p>
    <w:p w14:paraId="4BFA1A5F" w14:textId="721BB172" w:rsidR="00EE59EF" w:rsidRPr="005B50D5" w:rsidRDefault="00EE59EF" w:rsidP="00EE59EF">
      <w:pPr>
        <w:spacing w:line="312" w:lineRule="auto"/>
        <w:jc w:val="both"/>
        <w:rPr>
          <w:rFonts w:ascii="Arial" w:hAnsi="Arial" w:cs="Arial"/>
        </w:rPr>
      </w:pPr>
      <w:r w:rsidRPr="005B50D5">
        <w:rPr>
          <w:rFonts w:ascii="Arial" w:hAnsi="Arial" w:cs="Arial"/>
          <w:b/>
        </w:rPr>
        <w:t>GUSTAVO ALBERTO HERRERA ÁVILA</w:t>
      </w:r>
      <w:r w:rsidRPr="005B50D5">
        <w:rPr>
          <w:rFonts w:ascii="Arial" w:hAnsi="Arial" w:cs="Arial"/>
          <w:bCs/>
        </w:rPr>
        <w:t>,</w:t>
      </w:r>
      <w:r w:rsidRPr="005B50D5">
        <w:rPr>
          <w:rFonts w:ascii="Arial" w:hAnsi="Arial" w:cs="Arial"/>
          <w:b/>
        </w:rPr>
        <w:t xml:space="preserve"> </w:t>
      </w:r>
      <w:r w:rsidRPr="005B50D5">
        <w:rPr>
          <w:rFonts w:ascii="Arial" w:hAnsi="Arial" w:cs="Arial"/>
        </w:rPr>
        <w:t xml:space="preserve">identificado con cédula de ciudadanía No. 19.395.114 de Bogotá, abogado en ejercicio, portador de la tarjeta profesional No. 39.116 del Consejo Superior de la Judicatura, actuando en mi calidad de apoderado </w:t>
      </w:r>
      <w:r>
        <w:rPr>
          <w:rFonts w:ascii="Arial" w:hAnsi="Arial" w:cs="Arial"/>
        </w:rPr>
        <w:t>judicial</w:t>
      </w:r>
      <w:r w:rsidRPr="005B50D5">
        <w:rPr>
          <w:rFonts w:ascii="Arial" w:hAnsi="Arial" w:cs="Arial"/>
        </w:rPr>
        <w:t xml:space="preserve"> de </w:t>
      </w:r>
      <w:r w:rsidRPr="001F11D1">
        <w:rPr>
          <w:rFonts w:ascii="Arial" w:hAnsi="Arial" w:cs="Arial"/>
          <w:b/>
          <w:bCs/>
        </w:rPr>
        <w:t>ALLIANZ SEGUROS S.A.</w:t>
      </w:r>
      <w:r w:rsidRPr="005B50D5">
        <w:rPr>
          <w:rFonts w:ascii="Arial" w:hAnsi="Arial" w:cs="Arial"/>
          <w:b/>
          <w:bCs/>
        </w:rPr>
        <w:t xml:space="preserve">, </w:t>
      </w:r>
      <w:r w:rsidRPr="005B50D5">
        <w:rPr>
          <w:rFonts w:ascii="Arial" w:hAnsi="Arial" w:cs="Arial"/>
        </w:rPr>
        <w:t xml:space="preserve">conforme se acredita con la documentación que ya reposa en el plenario, encontrándome dentro del término legal previsto para el efecto, me dirijo a su despacho con el fin de presentar </w:t>
      </w:r>
      <w:r w:rsidRPr="005B50D5">
        <w:rPr>
          <w:rFonts w:ascii="Arial" w:hAnsi="Arial" w:cs="Arial"/>
          <w:b/>
          <w:bCs/>
        </w:rPr>
        <w:t xml:space="preserve">RECURSO DE REPOSICIÓN Y EN SUBSIDIO EL DE APELACIÓN </w:t>
      </w:r>
      <w:r w:rsidRPr="005B50D5">
        <w:rPr>
          <w:rFonts w:ascii="Arial" w:hAnsi="Arial" w:cs="Arial"/>
        </w:rPr>
        <w:t xml:space="preserve">contra el </w:t>
      </w:r>
      <w:r w:rsidRPr="005B50D5">
        <w:rPr>
          <w:rFonts w:ascii="Arial" w:hAnsi="Arial" w:cs="Arial"/>
          <w:b/>
          <w:bCs/>
        </w:rPr>
        <w:t xml:space="preserve">AUTO No. </w:t>
      </w:r>
      <w:r>
        <w:rPr>
          <w:rFonts w:ascii="Arial" w:hAnsi="Arial" w:cs="Arial"/>
          <w:b/>
          <w:bCs/>
        </w:rPr>
        <w:t>493</w:t>
      </w:r>
      <w:r w:rsidRPr="005B50D5">
        <w:rPr>
          <w:rFonts w:ascii="Arial" w:hAnsi="Arial" w:cs="Arial"/>
          <w:b/>
          <w:bCs/>
        </w:rPr>
        <w:t xml:space="preserve"> DEL </w:t>
      </w:r>
      <w:r>
        <w:rPr>
          <w:rFonts w:ascii="Arial" w:hAnsi="Arial" w:cs="Arial"/>
          <w:b/>
          <w:bCs/>
        </w:rPr>
        <w:t>03</w:t>
      </w:r>
      <w:r w:rsidRPr="005B50D5">
        <w:rPr>
          <w:rFonts w:ascii="Arial" w:hAnsi="Arial" w:cs="Arial"/>
          <w:b/>
          <w:bCs/>
        </w:rPr>
        <w:t xml:space="preserve"> DE </w:t>
      </w:r>
      <w:r>
        <w:rPr>
          <w:rFonts w:ascii="Arial" w:hAnsi="Arial" w:cs="Arial"/>
          <w:b/>
          <w:bCs/>
        </w:rPr>
        <w:t>JULIO</w:t>
      </w:r>
      <w:r w:rsidRPr="005B50D5">
        <w:rPr>
          <w:rFonts w:ascii="Arial" w:hAnsi="Arial" w:cs="Arial"/>
          <w:b/>
          <w:bCs/>
        </w:rPr>
        <w:t xml:space="preserve"> DE 2025</w:t>
      </w:r>
      <w:r w:rsidRPr="007E48FA">
        <w:rPr>
          <w:rFonts w:ascii="Arial" w:hAnsi="Arial" w:cs="Arial"/>
        </w:rPr>
        <w:t>,</w:t>
      </w:r>
      <w:r w:rsidRPr="005B50D5">
        <w:rPr>
          <w:rFonts w:ascii="Arial" w:hAnsi="Arial" w:cs="Arial"/>
          <w:b/>
          <w:bCs/>
        </w:rPr>
        <w:t xml:space="preserve"> </w:t>
      </w:r>
      <w:r w:rsidRPr="005B50D5">
        <w:rPr>
          <w:rFonts w:ascii="Arial" w:hAnsi="Arial" w:cs="Arial"/>
        </w:rPr>
        <w:t xml:space="preserve">notificado por estado del </w:t>
      </w:r>
      <w:r>
        <w:rPr>
          <w:rFonts w:ascii="Arial" w:hAnsi="Arial" w:cs="Arial"/>
        </w:rPr>
        <w:t>04</w:t>
      </w:r>
      <w:r w:rsidRPr="005B50D5">
        <w:rPr>
          <w:rFonts w:ascii="Arial" w:hAnsi="Arial" w:cs="Arial"/>
        </w:rPr>
        <w:t xml:space="preserve"> de </w:t>
      </w:r>
      <w:r>
        <w:rPr>
          <w:rFonts w:ascii="Arial" w:hAnsi="Arial" w:cs="Arial"/>
        </w:rPr>
        <w:t>julio</w:t>
      </w:r>
      <w:r w:rsidRPr="005B50D5">
        <w:rPr>
          <w:rFonts w:ascii="Arial" w:hAnsi="Arial" w:cs="Arial"/>
        </w:rPr>
        <w:t xml:space="preserve"> de 2025, mediante el cual </w:t>
      </w:r>
      <w:r w:rsidRPr="00FC5E53">
        <w:rPr>
          <w:rFonts w:ascii="Arial" w:hAnsi="Arial" w:cs="Arial"/>
        </w:rPr>
        <w:t xml:space="preserve">se </w:t>
      </w:r>
      <w:r>
        <w:rPr>
          <w:rFonts w:ascii="Arial" w:hAnsi="Arial" w:cs="Arial"/>
        </w:rPr>
        <w:t xml:space="preserve">prescindió de la audiencia inicial y consecuencia de ello </w:t>
      </w:r>
      <w:r w:rsidR="00B34D44">
        <w:rPr>
          <w:rFonts w:ascii="Arial" w:hAnsi="Arial" w:cs="Arial"/>
        </w:rPr>
        <w:t xml:space="preserve">se </w:t>
      </w:r>
      <w:r>
        <w:rPr>
          <w:rFonts w:ascii="Arial" w:hAnsi="Arial" w:cs="Arial"/>
        </w:rPr>
        <w:t>decid</w:t>
      </w:r>
      <w:r w:rsidR="00B34D44">
        <w:rPr>
          <w:rFonts w:ascii="Arial" w:hAnsi="Arial" w:cs="Arial"/>
        </w:rPr>
        <w:t>ió</w:t>
      </w:r>
      <w:r>
        <w:rPr>
          <w:rFonts w:ascii="Arial" w:hAnsi="Arial" w:cs="Arial"/>
        </w:rPr>
        <w:t xml:space="preserve"> sobre los aspectos que en dicha diligencia se tratan, entre los cuales se encuentra el decreto de pruebas, etapa la cual el despacho consideró innecesario oficiar </w:t>
      </w:r>
      <w:r w:rsidRPr="00B75D70">
        <w:rPr>
          <w:rFonts w:ascii="Arial" w:hAnsi="Arial" w:cs="Arial"/>
        </w:rPr>
        <w:t>a la Procuraduría 29 Judicial II para</w:t>
      </w:r>
      <w:r>
        <w:rPr>
          <w:rFonts w:ascii="Arial" w:hAnsi="Arial" w:cs="Arial"/>
        </w:rPr>
        <w:t xml:space="preserve"> </w:t>
      </w:r>
      <w:r w:rsidRPr="00B75D70">
        <w:rPr>
          <w:rFonts w:ascii="Arial" w:hAnsi="Arial" w:cs="Arial"/>
        </w:rPr>
        <w:t>Asuntos Administrativos, para que remit</w:t>
      </w:r>
      <w:r>
        <w:rPr>
          <w:rFonts w:ascii="Arial" w:hAnsi="Arial" w:cs="Arial"/>
        </w:rPr>
        <w:t>iera</w:t>
      </w:r>
      <w:r w:rsidRPr="00B75D70">
        <w:rPr>
          <w:rFonts w:ascii="Arial" w:hAnsi="Arial" w:cs="Arial"/>
        </w:rPr>
        <w:t xml:space="preserve"> con destino al proceso, informe</w:t>
      </w:r>
      <w:r>
        <w:rPr>
          <w:rFonts w:ascii="Arial" w:hAnsi="Arial" w:cs="Arial"/>
        </w:rPr>
        <w:t xml:space="preserve"> </w:t>
      </w:r>
      <w:r w:rsidRPr="00B75D70">
        <w:rPr>
          <w:rFonts w:ascii="Arial" w:hAnsi="Arial" w:cs="Arial"/>
        </w:rPr>
        <w:t>que abs</w:t>
      </w:r>
      <w:r>
        <w:rPr>
          <w:rFonts w:ascii="Arial" w:hAnsi="Arial" w:cs="Arial"/>
        </w:rPr>
        <w:t>olviese</w:t>
      </w:r>
      <w:r w:rsidRPr="00B75D70">
        <w:rPr>
          <w:rFonts w:ascii="Arial" w:hAnsi="Arial" w:cs="Arial"/>
        </w:rPr>
        <w:t xml:space="preserve"> el cuestionario</w:t>
      </w:r>
      <w:r>
        <w:rPr>
          <w:rFonts w:ascii="Arial" w:hAnsi="Arial" w:cs="Arial"/>
        </w:rPr>
        <w:t xml:space="preserve"> establecido en el escrito de contestación</w:t>
      </w:r>
      <w:r w:rsidRPr="005B50D5">
        <w:rPr>
          <w:rFonts w:ascii="Arial" w:hAnsi="Arial" w:cs="Arial"/>
        </w:rPr>
        <w:t xml:space="preserve">; </w:t>
      </w:r>
      <w:r>
        <w:rPr>
          <w:rFonts w:ascii="Arial" w:hAnsi="Arial" w:cs="Arial"/>
        </w:rPr>
        <w:t xml:space="preserve">en ese escenario </w:t>
      </w:r>
      <w:r w:rsidRPr="005B50D5">
        <w:rPr>
          <w:rFonts w:ascii="Arial" w:hAnsi="Arial" w:cs="Arial"/>
        </w:rPr>
        <w:t xml:space="preserve">sustento </w:t>
      </w:r>
      <w:r>
        <w:rPr>
          <w:rFonts w:ascii="Arial" w:hAnsi="Arial" w:cs="Arial"/>
        </w:rPr>
        <w:t xml:space="preserve">el presente recurso </w:t>
      </w:r>
      <w:r w:rsidRPr="005B50D5">
        <w:rPr>
          <w:rFonts w:ascii="Arial" w:hAnsi="Arial" w:cs="Arial"/>
        </w:rPr>
        <w:t>en los siguientes términos:</w:t>
      </w:r>
    </w:p>
    <w:p w14:paraId="54D2819B" w14:textId="77777777" w:rsidR="00EE59EF" w:rsidRPr="005B50D5" w:rsidRDefault="00EE59EF" w:rsidP="00EE59EF">
      <w:pPr>
        <w:spacing w:line="312" w:lineRule="auto"/>
        <w:jc w:val="both"/>
        <w:rPr>
          <w:rFonts w:ascii="Arial" w:hAnsi="Arial" w:cs="Arial"/>
        </w:rPr>
      </w:pPr>
    </w:p>
    <w:p w14:paraId="2AC30202" w14:textId="77777777" w:rsidR="00EE59EF" w:rsidRPr="005B50D5" w:rsidRDefault="00EE59EF" w:rsidP="00EE59EF">
      <w:pPr>
        <w:spacing w:line="312" w:lineRule="auto"/>
        <w:jc w:val="center"/>
        <w:rPr>
          <w:rFonts w:ascii="Arial" w:hAnsi="Arial" w:cs="Arial"/>
          <w:b/>
          <w:bCs/>
          <w:u w:val="single"/>
        </w:rPr>
      </w:pPr>
      <w:r w:rsidRPr="005B50D5">
        <w:rPr>
          <w:rFonts w:ascii="Arial" w:hAnsi="Arial" w:cs="Arial"/>
          <w:b/>
          <w:bCs/>
          <w:u w:val="single"/>
        </w:rPr>
        <w:t>CAPÍTULO I. OPORTUNIDAD Y PROCEDENCIA</w:t>
      </w:r>
    </w:p>
    <w:p w14:paraId="1630D362" w14:textId="77777777" w:rsidR="00EE59EF" w:rsidRPr="005B50D5" w:rsidRDefault="00EE59EF" w:rsidP="00EE59EF">
      <w:pPr>
        <w:spacing w:line="312" w:lineRule="auto"/>
        <w:jc w:val="both"/>
        <w:rPr>
          <w:rFonts w:ascii="Arial" w:hAnsi="Arial" w:cs="Arial"/>
        </w:rPr>
      </w:pPr>
    </w:p>
    <w:p w14:paraId="6A2A031B" w14:textId="77777777" w:rsidR="00EE59EF" w:rsidRPr="005B50D5" w:rsidRDefault="00EE59EF" w:rsidP="00EE59EF">
      <w:pPr>
        <w:spacing w:line="312" w:lineRule="auto"/>
        <w:jc w:val="both"/>
        <w:rPr>
          <w:rFonts w:ascii="Arial" w:hAnsi="Arial" w:cs="Arial"/>
        </w:rPr>
      </w:pPr>
      <w:r w:rsidRPr="005B50D5">
        <w:rPr>
          <w:rFonts w:ascii="Arial" w:hAnsi="Arial" w:cs="Arial"/>
        </w:rPr>
        <w:t xml:space="preserve">Resulta pertinente precisar que el </w:t>
      </w:r>
      <w:r>
        <w:rPr>
          <w:rFonts w:ascii="Arial" w:hAnsi="Arial" w:cs="Arial"/>
        </w:rPr>
        <w:t>A</w:t>
      </w:r>
      <w:r w:rsidRPr="005B50D5">
        <w:rPr>
          <w:rFonts w:ascii="Arial" w:hAnsi="Arial" w:cs="Arial"/>
        </w:rPr>
        <w:t xml:space="preserve">uto No. </w:t>
      </w:r>
      <w:r>
        <w:rPr>
          <w:rFonts w:ascii="Arial" w:hAnsi="Arial" w:cs="Arial"/>
        </w:rPr>
        <w:t>493</w:t>
      </w:r>
      <w:r w:rsidRPr="005B50D5">
        <w:rPr>
          <w:rFonts w:ascii="Arial" w:hAnsi="Arial" w:cs="Arial"/>
        </w:rPr>
        <w:t xml:space="preserve"> del </w:t>
      </w:r>
      <w:r>
        <w:rPr>
          <w:rFonts w:ascii="Arial" w:hAnsi="Arial" w:cs="Arial"/>
        </w:rPr>
        <w:t>03</w:t>
      </w:r>
      <w:r w:rsidRPr="005B50D5">
        <w:rPr>
          <w:rFonts w:ascii="Arial" w:hAnsi="Arial" w:cs="Arial"/>
        </w:rPr>
        <w:t xml:space="preserve"> de </w:t>
      </w:r>
      <w:r>
        <w:rPr>
          <w:rFonts w:ascii="Arial" w:hAnsi="Arial" w:cs="Arial"/>
        </w:rPr>
        <w:t>julio</w:t>
      </w:r>
      <w:r w:rsidRPr="005B50D5">
        <w:rPr>
          <w:rFonts w:ascii="Arial" w:hAnsi="Arial" w:cs="Arial"/>
        </w:rPr>
        <w:t xml:space="preserve"> de 2025 se notificó a través de estados electrónicos publicados en la página oficial del despacho el </w:t>
      </w:r>
      <w:r>
        <w:rPr>
          <w:rFonts w:ascii="Arial" w:hAnsi="Arial" w:cs="Arial"/>
        </w:rPr>
        <w:t>04</w:t>
      </w:r>
      <w:r w:rsidRPr="005B50D5">
        <w:rPr>
          <w:rFonts w:ascii="Arial" w:hAnsi="Arial" w:cs="Arial"/>
        </w:rPr>
        <w:t xml:space="preserve"> de </w:t>
      </w:r>
      <w:r>
        <w:rPr>
          <w:rFonts w:ascii="Arial" w:hAnsi="Arial" w:cs="Arial"/>
        </w:rPr>
        <w:t>julio</w:t>
      </w:r>
      <w:r w:rsidRPr="005B50D5">
        <w:rPr>
          <w:rFonts w:ascii="Arial" w:hAnsi="Arial" w:cs="Arial"/>
        </w:rPr>
        <w:t xml:space="preserve"> de 2025, véase:</w:t>
      </w:r>
    </w:p>
    <w:p w14:paraId="68C61EF6" w14:textId="77777777" w:rsidR="00EE59EF" w:rsidRPr="005B50D5" w:rsidRDefault="00EE59EF" w:rsidP="00EE59EF">
      <w:pPr>
        <w:spacing w:line="312" w:lineRule="auto"/>
        <w:jc w:val="both"/>
        <w:rPr>
          <w:rFonts w:ascii="Arial" w:hAnsi="Arial" w:cs="Arial"/>
        </w:rPr>
      </w:pPr>
    </w:p>
    <w:p w14:paraId="139EC2C0" w14:textId="77777777" w:rsidR="00EE59EF" w:rsidRPr="004F407F" w:rsidRDefault="00EE59EF" w:rsidP="00EE59EF">
      <w:pPr>
        <w:pStyle w:val="NormalWeb"/>
        <w:spacing w:before="0" w:beforeAutospacing="0" w:after="0" w:afterAutospacing="0" w:line="312" w:lineRule="auto"/>
        <w:jc w:val="center"/>
        <w:rPr>
          <w:rFonts w:ascii="Arial" w:eastAsiaTheme="minorHAnsi" w:hAnsi="Arial" w:cs="Arial"/>
          <w:sz w:val="22"/>
          <w:szCs w:val="22"/>
          <w:lang w:eastAsia="en-US"/>
        </w:rPr>
      </w:pPr>
      <w:r w:rsidRPr="00A774C8">
        <w:rPr>
          <w:rFonts w:ascii="Arial" w:eastAsiaTheme="minorHAnsi" w:hAnsi="Arial" w:cs="Arial"/>
          <w:noProof/>
          <w:sz w:val="22"/>
          <w:szCs w:val="22"/>
          <w:lang w:eastAsia="en-US"/>
        </w:rPr>
        <w:drawing>
          <wp:inline distT="0" distB="0" distL="0" distR="0" wp14:anchorId="3834062D" wp14:editId="3EDDB4BB">
            <wp:extent cx="6116320" cy="904875"/>
            <wp:effectExtent l="0" t="0" r="0" b="9525"/>
            <wp:docPr id="89922238" name="Imagen 1" descr="Interfaz de usuario gráfica,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22238" name="Imagen 1" descr="Interfaz de usuario gráfica, Aplicación&#10;&#10;El contenido generado por IA puede ser incorrecto."/>
                    <pic:cNvPicPr/>
                  </pic:nvPicPr>
                  <pic:blipFill>
                    <a:blip r:embed="rId9"/>
                    <a:stretch>
                      <a:fillRect/>
                    </a:stretch>
                  </pic:blipFill>
                  <pic:spPr>
                    <a:xfrm>
                      <a:off x="0" y="0"/>
                      <a:ext cx="6116320" cy="904875"/>
                    </a:xfrm>
                    <a:prstGeom prst="rect">
                      <a:avLst/>
                    </a:prstGeom>
                  </pic:spPr>
                </pic:pic>
              </a:graphicData>
            </a:graphic>
          </wp:inline>
        </w:drawing>
      </w:r>
    </w:p>
    <w:p w14:paraId="4CA1EB22" w14:textId="77777777" w:rsidR="00EE59EF" w:rsidRPr="005B50D5" w:rsidRDefault="00EE59EF" w:rsidP="00EE59EF">
      <w:pPr>
        <w:spacing w:line="312" w:lineRule="auto"/>
        <w:jc w:val="both"/>
        <w:rPr>
          <w:rFonts w:ascii="Arial" w:hAnsi="Arial" w:cs="Arial"/>
        </w:rPr>
      </w:pPr>
    </w:p>
    <w:p w14:paraId="7AC657B5" w14:textId="41A8CE81" w:rsidR="00EE59EF" w:rsidRPr="005B50D5" w:rsidRDefault="00EE59EF" w:rsidP="00EE59EF">
      <w:pPr>
        <w:spacing w:line="312" w:lineRule="auto"/>
        <w:jc w:val="both"/>
        <w:rPr>
          <w:rFonts w:ascii="Arial" w:hAnsi="Arial" w:cs="Arial"/>
        </w:rPr>
      </w:pPr>
      <w:r w:rsidRPr="005B50D5">
        <w:rPr>
          <w:rFonts w:ascii="Arial" w:hAnsi="Arial" w:cs="Arial"/>
        </w:rPr>
        <w:t xml:space="preserve">En este sentido, de acuerdo con </w:t>
      </w:r>
      <w:r w:rsidR="00DA15D4">
        <w:rPr>
          <w:rFonts w:ascii="Arial" w:hAnsi="Arial" w:cs="Arial"/>
        </w:rPr>
        <w:t>los artículos 318 y</w:t>
      </w:r>
      <w:r w:rsidRPr="005B50D5">
        <w:rPr>
          <w:rFonts w:ascii="Arial" w:hAnsi="Arial" w:cs="Arial"/>
        </w:rPr>
        <w:t xml:space="preserve"> 322 del Código General del Proceso, los recursos deberán interponerse dentro de los tres (3) días siguientes a su notificación, por lo tanto, considerando que la providencia fue notificada el </w:t>
      </w:r>
      <w:r w:rsidR="0090145C">
        <w:rPr>
          <w:rFonts w:ascii="Arial" w:hAnsi="Arial" w:cs="Arial"/>
        </w:rPr>
        <w:t>04</w:t>
      </w:r>
      <w:r w:rsidRPr="005B50D5">
        <w:rPr>
          <w:rFonts w:ascii="Arial" w:hAnsi="Arial" w:cs="Arial"/>
        </w:rPr>
        <w:t xml:space="preserve"> de </w:t>
      </w:r>
      <w:r>
        <w:rPr>
          <w:rFonts w:ascii="Arial" w:hAnsi="Arial" w:cs="Arial"/>
        </w:rPr>
        <w:t>ju</w:t>
      </w:r>
      <w:r w:rsidR="0090145C">
        <w:rPr>
          <w:rFonts w:ascii="Arial" w:hAnsi="Arial" w:cs="Arial"/>
        </w:rPr>
        <w:t>l</w:t>
      </w:r>
      <w:r>
        <w:rPr>
          <w:rFonts w:ascii="Arial" w:hAnsi="Arial" w:cs="Arial"/>
        </w:rPr>
        <w:t>io</w:t>
      </w:r>
      <w:r w:rsidRPr="005B50D5">
        <w:rPr>
          <w:rFonts w:ascii="Arial" w:hAnsi="Arial" w:cs="Arial"/>
        </w:rPr>
        <w:t xml:space="preserve"> de 2025, y que el t</w:t>
      </w:r>
      <w:r>
        <w:rPr>
          <w:rFonts w:ascii="Arial" w:hAnsi="Arial" w:cs="Arial"/>
        </w:rPr>
        <w:t>iempo</w:t>
      </w:r>
      <w:r w:rsidRPr="005B50D5">
        <w:rPr>
          <w:rFonts w:ascii="Arial" w:hAnsi="Arial" w:cs="Arial"/>
        </w:rPr>
        <w:t xml:space="preserve"> para interponer los recursos corrió desde el </w:t>
      </w:r>
      <w:r w:rsidR="0090145C">
        <w:rPr>
          <w:rFonts w:ascii="Arial" w:hAnsi="Arial" w:cs="Arial"/>
        </w:rPr>
        <w:t>07</w:t>
      </w:r>
      <w:r w:rsidRPr="005B50D5">
        <w:rPr>
          <w:rFonts w:ascii="Arial" w:hAnsi="Arial" w:cs="Arial"/>
        </w:rPr>
        <w:t xml:space="preserve"> hasta el </w:t>
      </w:r>
      <w:r w:rsidR="0090145C">
        <w:rPr>
          <w:rFonts w:ascii="Arial" w:hAnsi="Arial" w:cs="Arial"/>
        </w:rPr>
        <w:t>09</w:t>
      </w:r>
      <w:r w:rsidRPr="005B50D5">
        <w:rPr>
          <w:rFonts w:ascii="Arial" w:hAnsi="Arial" w:cs="Arial"/>
        </w:rPr>
        <w:t xml:space="preserve"> de </w:t>
      </w:r>
      <w:r>
        <w:rPr>
          <w:rFonts w:ascii="Arial" w:hAnsi="Arial" w:cs="Arial"/>
        </w:rPr>
        <w:t>ju</w:t>
      </w:r>
      <w:r w:rsidR="0090145C">
        <w:rPr>
          <w:rFonts w:ascii="Arial" w:hAnsi="Arial" w:cs="Arial"/>
        </w:rPr>
        <w:t>l</w:t>
      </w:r>
      <w:r>
        <w:rPr>
          <w:rFonts w:ascii="Arial" w:hAnsi="Arial" w:cs="Arial"/>
        </w:rPr>
        <w:t>io</w:t>
      </w:r>
      <w:r w:rsidRPr="005B50D5">
        <w:rPr>
          <w:rFonts w:ascii="Arial" w:hAnsi="Arial" w:cs="Arial"/>
        </w:rPr>
        <w:t xml:space="preserve"> de 2025, este escrito se presenta dentro del término previsto.</w:t>
      </w:r>
    </w:p>
    <w:p w14:paraId="261FAB39" w14:textId="77777777" w:rsidR="00EE59EF" w:rsidRPr="005B50D5" w:rsidRDefault="00EE59EF" w:rsidP="00EE59EF">
      <w:pPr>
        <w:spacing w:line="312" w:lineRule="auto"/>
        <w:jc w:val="both"/>
        <w:rPr>
          <w:rFonts w:ascii="Arial" w:hAnsi="Arial" w:cs="Arial"/>
        </w:rPr>
      </w:pPr>
    </w:p>
    <w:p w14:paraId="27F875E9" w14:textId="77777777" w:rsidR="00EE59EF" w:rsidRPr="005B50D5" w:rsidRDefault="00EE59EF" w:rsidP="00EE59EF">
      <w:pPr>
        <w:spacing w:line="312" w:lineRule="auto"/>
        <w:jc w:val="both"/>
        <w:rPr>
          <w:rFonts w:ascii="Arial" w:hAnsi="Arial" w:cs="Arial"/>
        </w:rPr>
      </w:pPr>
      <w:r w:rsidRPr="005B50D5">
        <w:rPr>
          <w:rFonts w:ascii="Arial" w:hAnsi="Arial" w:cs="Arial"/>
        </w:rPr>
        <w:t>En atención a la aplicación del principio de integración normativa, establecido en el artículo 306 del Código de Procedimiento Administrativo y lo Contencioso Administrativo, debe tenerse en cuenta lo establecido en los artículos 318 a 322 del Código General del Proceso y lo señalado en el artículo 242 y en el numeral 6 del artículo 243 de la Ley 1437 de 2011, modificados por la Ley 2080 de 2021, el cual establece:</w:t>
      </w:r>
    </w:p>
    <w:p w14:paraId="01D03B13" w14:textId="77777777" w:rsidR="00EE59EF" w:rsidRPr="005B50D5" w:rsidRDefault="00EE59EF" w:rsidP="00EE59EF">
      <w:pPr>
        <w:spacing w:line="312" w:lineRule="auto"/>
        <w:jc w:val="both"/>
        <w:rPr>
          <w:rFonts w:ascii="Arial" w:hAnsi="Arial" w:cs="Arial"/>
        </w:rPr>
      </w:pPr>
    </w:p>
    <w:p w14:paraId="2C76E9B2" w14:textId="77777777" w:rsidR="00EE59EF" w:rsidRPr="005B50D5" w:rsidRDefault="00EE59EF" w:rsidP="00EE59EF">
      <w:pPr>
        <w:spacing w:line="312" w:lineRule="auto"/>
        <w:ind w:left="567" w:right="567"/>
        <w:jc w:val="both"/>
        <w:rPr>
          <w:rFonts w:ascii="Arial" w:hAnsi="Arial" w:cs="Arial"/>
          <w:i/>
          <w:iCs/>
          <w:sz w:val="20"/>
          <w:szCs w:val="20"/>
        </w:rPr>
      </w:pPr>
      <w:r w:rsidRPr="005B50D5">
        <w:rPr>
          <w:rFonts w:ascii="Arial" w:hAnsi="Arial" w:cs="Arial"/>
          <w:i/>
          <w:iCs/>
          <w:sz w:val="20"/>
          <w:szCs w:val="20"/>
        </w:rPr>
        <w:t>ARTÍCULO 243. APELACIÓN. Son apelables las sentencias de primera instancia y los siguientes autos proferidos en la misma instancia:</w:t>
      </w:r>
    </w:p>
    <w:p w14:paraId="68F0286E" w14:textId="77777777" w:rsidR="00EE59EF" w:rsidRDefault="00EE59EF" w:rsidP="00EE59EF">
      <w:pPr>
        <w:spacing w:line="312" w:lineRule="auto"/>
        <w:ind w:left="567" w:right="567"/>
        <w:jc w:val="both"/>
        <w:rPr>
          <w:rFonts w:ascii="Arial" w:hAnsi="Arial" w:cs="Arial"/>
          <w:i/>
          <w:iCs/>
          <w:sz w:val="20"/>
          <w:szCs w:val="20"/>
        </w:rPr>
      </w:pPr>
    </w:p>
    <w:p w14:paraId="7F3E3168" w14:textId="126F0E88" w:rsidR="00F13D06" w:rsidRDefault="00F13D06" w:rsidP="00EE59EF">
      <w:pPr>
        <w:spacing w:line="312" w:lineRule="auto"/>
        <w:ind w:left="567" w:right="567"/>
        <w:jc w:val="both"/>
        <w:rPr>
          <w:rFonts w:ascii="Arial" w:hAnsi="Arial" w:cs="Arial"/>
          <w:i/>
          <w:iCs/>
          <w:sz w:val="20"/>
          <w:szCs w:val="20"/>
        </w:rPr>
      </w:pPr>
      <w:r>
        <w:rPr>
          <w:rFonts w:ascii="Arial" w:hAnsi="Arial" w:cs="Arial"/>
          <w:i/>
          <w:iCs/>
          <w:sz w:val="20"/>
          <w:szCs w:val="20"/>
        </w:rPr>
        <w:t>(…)</w:t>
      </w:r>
    </w:p>
    <w:p w14:paraId="4A87512F" w14:textId="77777777" w:rsidR="00F13D06" w:rsidRPr="005B50D5" w:rsidRDefault="00F13D06" w:rsidP="00EE59EF">
      <w:pPr>
        <w:spacing w:line="312" w:lineRule="auto"/>
        <w:ind w:left="567" w:right="567"/>
        <w:jc w:val="both"/>
        <w:rPr>
          <w:rFonts w:ascii="Arial" w:hAnsi="Arial" w:cs="Arial"/>
          <w:i/>
          <w:iCs/>
          <w:sz w:val="20"/>
          <w:szCs w:val="20"/>
        </w:rPr>
      </w:pPr>
    </w:p>
    <w:p w14:paraId="604C01D7" w14:textId="3824FFB0" w:rsidR="00EE59EF" w:rsidRDefault="00B067FE" w:rsidP="00EE59EF">
      <w:pPr>
        <w:spacing w:line="312" w:lineRule="auto"/>
        <w:ind w:left="567" w:right="567"/>
        <w:jc w:val="both"/>
        <w:rPr>
          <w:rFonts w:ascii="Arial" w:hAnsi="Arial" w:cs="Arial"/>
          <w:b/>
          <w:bCs/>
          <w:i/>
          <w:iCs/>
          <w:sz w:val="20"/>
          <w:szCs w:val="20"/>
          <w:u w:val="single"/>
        </w:rPr>
      </w:pPr>
      <w:r w:rsidRPr="00B067FE">
        <w:rPr>
          <w:rFonts w:ascii="Arial" w:hAnsi="Arial" w:cs="Arial"/>
          <w:b/>
          <w:bCs/>
          <w:i/>
          <w:iCs/>
          <w:sz w:val="20"/>
          <w:szCs w:val="20"/>
          <w:u w:val="single"/>
        </w:rPr>
        <w:lastRenderedPageBreak/>
        <w:t>7. El que niegue el decreto o la práctica de pruebas</w:t>
      </w:r>
      <w:r w:rsidR="00EE59EF" w:rsidRPr="00A11387">
        <w:rPr>
          <w:rFonts w:ascii="Arial" w:hAnsi="Arial" w:cs="Arial"/>
          <w:b/>
          <w:bCs/>
          <w:i/>
          <w:iCs/>
          <w:sz w:val="20"/>
          <w:szCs w:val="20"/>
          <w:u w:val="single"/>
        </w:rPr>
        <w:t>.</w:t>
      </w:r>
    </w:p>
    <w:p w14:paraId="2322A22F" w14:textId="77777777" w:rsidR="00C77CCC" w:rsidRDefault="00C77CCC" w:rsidP="00EE59EF">
      <w:pPr>
        <w:spacing w:line="312" w:lineRule="auto"/>
        <w:ind w:left="567" w:right="567"/>
        <w:jc w:val="both"/>
        <w:rPr>
          <w:rFonts w:ascii="Arial" w:hAnsi="Arial" w:cs="Arial"/>
          <w:b/>
          <w:bCs/>
          <w:i/>
          <w:iCs/>
          <w:sz w:val="20"/>
          <w:szCs w:val="20"/>
          <w:u w:val="single"/>
        </w:rPr>
      </w:pPr>
    </w:p>
    <w:p w14:paraId="69271E89" w14:textId="4DD4542B" w:rsidR="00C77CCC" w:rsidRPr="00C77CCC" w:rsidRDefault="00C77CCC" w:rsidP="00EE59EF">
      <w:pPr>
        <w:spacing w:line="312" w:lineRule="auto"/>
        <w:ind w:left="567" w:right="567"/>
        <w:jc w:val="both"/>
        <w:rPr>
          <w:rFonts w:ascii="Arial" w:hAnsi="Arial" w:cs="Arial"/>
          <w:i/>
          <w:iCs/>
          <w:sz w:val="20"/>
          <w:szCs w:val="20"/>
        </w:rPr>
      </w:pPr>
      <w:r>
        <w:rPr>
          <w:rFonts w:ascii="Arial" w:hAnsi="Arial" w:cs="Arial"/>
          <w:i/>
          <w:iCs/>
          <w:sz w:val="20"/>
          <w:szCs w:val="20"/>
        </w:rPr>
        <w:t>(…)</w:t>
      </w:r>
    </w:p>
    <w:p w14:paraId="5EEF74F0" w14:textId="77777777" w:rsidR="00EE59EF" w:rsidRPr="005B50D5" w:rsidRDefault="00EE59EF" w:rsidP="00EE59EF">
      <w:pPr>
        <w:spacing w:line="312" w:lineRule="auto"/>
        <w:jc w:val="both"/>
        <w:rPr>
          <w:rFonts w:ascii="Arial" w:hAnsi="Arial" w:cs="Arial"/>
        </w:rPr>
      </w:pPr>
    </w:p>
    <w:p w14:paraId="2366013E" w14:textId="2E721D7E" w:rsidR="00EE59EF" w:rsidRPr="005B50D5" w:rsidRDefault="00EE59EF" w:rsidP="00EE59EF">
      <w:pPr>
        <w:spacing w:line="312" w:lineRule="auto"/>
        <w:jc w:val="both"/>
        <w:rPr>
          <w:rFonts w:ascii="Arial" w:hAnsi="Arial" w:cs="Arial"/>
        </w:rPr>
      </w:pPr>
      <w:r w:rsidRPr="005B50D5">
        <w:rPr>
          <w:rFonts w:ascii="Arial" w:hAnsi="Arial" w:cs="Arial"/>
        </w:rPr>
        <w:t xml:space="preserve">Atendiendo lo anterior y a que el auto objeto del recurso </w:t>
      </w:r>
      <w:r>
        <w:rPr>
          <w:rFonts w:ascii="Arial" w:hAnsi="Arial" w:cs="Arial"/>
        </w:rPr>
        <w:t xml:space="preserve">resolvió erróneamente </w:t>
      </w:r>
      <w:r w:rsidR="006D5AFF">
        <w:rPr>
          <w:rFonts w:ascii="Arial" w:hAnsi="Arial" w:cs="Arial"/>
        </w:rPr>
        <w:t>negar el decreto de la prueba solicitada</w:t>
      </w:r>
      <w:r w:rsidR="00240610">
        <w:rPr>
          <w:rStyle w:val="Refdenotaalpie"/>
          <w:rFonts w:ascii="Arial" w:hAnsi="Arial" w:cs="Arial"/>
        </w:rPr>
        <w:footnoteReference w:id="1"/>
      </w:r>
      <w:r>
        <w:rPr>
          <w:rFonts w:ascii="Arial" w:hAnsi="Arial" w:cs="Arial"/>
        </w:rPr>
        <w:t xml:space="preserve">, </w:t>
      </w:r>
      <w:r w:rsidRPr="005B50D5">
        <w:rPr>
          <w:rFonts w:ascii="Arial" w:hAnsi="Arial" w:cs="Arial"/>
        </w:rPr>
        <w:t xml:space="preserve">resulta procedente elevar </w:t>
      </w:r>
      <w:r w:rsidRPr="005B50D5">
        <w:rPr>
          <w:rFonts w:ascii="Arial" w:hAnsi="Arial" w:cs="Arial"/>
          <w:b/>
          <w:bCs/>
        </w:rPr>
        <w:t xml:space="preserve">RECURSO DE REPOSICIÓN Y EN SUBSIDIO EL DE APELACIÓN </w:t>
      </w:r>
      <w:r w:rsidRPr="005B50D5">
        <w:rPr>
          <w:rFonts w:ascii="Arial" w:hAnsi="Arial" w:cs="Arial"/>
        </w:rPr>
        <w:t xml:space="preserve">contra el </w:t>
      </w:r>
      <w:r>
        <w:rPr>
          <w:rFonts w:ascii="Arial" w:hAnsi="Arial" w:cs="Arial"/>
        </w:rPr>
        <w:t>A</w:t>
      </w:r>
      <w:r w:rsidRPr="005B50D5">
        <w:rPr>
          <w:rFonts w:ascii="Arial" w:hAnsi="Arial" w:cs="Arial"/>
        </w:rPr>
        <w:t xml:space="preserve">uto No. </w:t>
      </w:r>
      <w:r w:rsidR="006D5AFF">
        <w:rPr>
          <w:rFonts w:ascii="Arial" w:hAnsi="Arial" w:cs="Arial"/>
        </w:rPr>
        <w:t>493</w:t>
      </w:r>
      <w:r w:rsidRPr="005B50D5">
        <w:rPr>
          <w:rFonts w:ascii="Arial" w:hAnsi="Arial" w:cs="Arial"/>
        </w:rPr>
        <w:t xml:space="preserve"> del </w:t>
      </w:r>
      <w:r w:rsidR="006D5AFF">
        <w:rPr>
          <w:rFonts w:ascii="Arial" w:hAnsi="Arial" w:cs="Arial"/>
        </w:rPr>
        <w:t>03</w:t>
      </w:r>
      <w:r w:rsidRPr="005B50D5">
        <w:rPr>
          <w:rFonts w:ascii="Arial" w:hAnsi="Arial" w:cs="Arial"/>
        </w:rPr>
        <w:t xml:space="preserve"> de </w:t>
      </w:r>
      <w:r>
        <w:rPr>
          <w:rFonts w:ascii="Arial" w:hAnsi="Arial" w:cs="Arial"/>
        </w:rPr>
        <w:t>ju</w:t>
      </w:r>
      <w:r w:rsidR="006D5AFF">
        <w:rPr>
          <w:rFonts w:ascii="Arial" w:hAnsi="Arial" w:cs="Arial"/>
        </w:rPr>
        <w:t>l</w:t>
      </w:r>
      <w:r>
        <w:rPr>
          <w:rFonts w:ascii="Arial" w:hAnsi="Arial" w:cs="Arial"/>
        </w:rPr>
        <w:t>io</w:t>
      </w:r>
      <w:r w:rsidRPr="005B50D5">
        <w:rPr>
          <w:rFonts w:ascii="Arial" w:hAnsi="Arial" w:cs="Arial"/>
        </w:rPr>
        <w:t xml:space="preserve"> de 2025.</w:t>
      </w:r>
    </w:p>
    <w:p w14:paraId="1B4A6A23" w14:textId="77777777" w:rsidR="00EE59EF" w:rsidRPr="005B50D5" w:rsidRDefault="00EE59EF" w:rsidP="00EE59EF">
      <w:pPr>
        <w:spacing w:line="312" w:lineRule="auto"/>
        <w:jc w:val="both"/>
        <w:rPr>
          <w:rFonts w:ascii="Arial" w:hAnsi="Arial" w:cs="Arial"/>
        </w:rPr>
      </w:pPr>
    </w:p>
    <w:p w14:paraId="10D6868D" w14:textId="77777777" w:rsidR="00EE59EF" w:rsidRPr="0002390D" w:rsidRDefault="00EE59EF" w:rsidP="00EE59EF">
      <w:pPr>
        <w:pStyle w:val="Standard"/>
        <w:tabs>
          <w:tab w:val="left" w:pos="426"/>
          <w:tab w:val="left" w:pos="2268"/>
        </w:tabs>
        <w:spacing w:after="0" w:line="312" w:lineRule="auto"/>
        <w:jc w:val="center"/>
        <w:rPr>
          <w:rFonts w:ascii="Arial" w:hAnsi="Arial" w:cs="Arial"/>
          <w:b/>
          <w:bCs/>
          <w:u w:val="single"/>
        </w:rPr>
      </w:pPr>
      <w:r w:rsidRPr="0002390D">
        <w:rPr>
          <w:rFonts w:ascii="Arial" w:hAnsi="Arial" w:cs="Arial"/>
          <w:b/>
          <w:bCs/>
          <w:u w:val="single"/>
        </w:rPr>
        <w:t>CAPÍTULO II. FUNDAMENTOS DEL RECURSO DE REPOSICIÓN Y EN SUBSIDIO EL DE APELACIÓN</w:t>
      </w:r>
    </w:p>
    <w:p w14:paraId="10F48DCA" w14:textId="77777777" w:rsidR="00EE59EF" w:rsidRPr="008C3929" w:rsidRDefault="00EE59EF" w:rsidP="00EE59EF">
      <w:pPr>
        <w:pStyle w:val="Standard"/>
        <w:tabs>
          <w:tab w:val="left" w:pos="426"/>
          <w:tab w:val="left" w:pos="2268"/>
        </w:tabs>
        <w:spacing w:after="0" w:line="312" w:lineRule="auto"/>
        <w:jc w:val="both"/>
        <w:rPr>
          <w:rFonts w:ascii="Arial" w:hAnsi="Arial" w:cs="Arial"/>
          <w:highlight w:val="green"/>
        </w:rPr>
      </w:pPr>
    </w:p>
    <w:p w14:paraId="10F04B90" w14:textId="18C2216E" w:rsidR="00EE59EF" w:rsidRPr="00E501D0" w:rsidRDefault="001C3882" w:rsidP="00EE59EF">
      <w:pPr>
        <w:pStyle w:val="Default"/>
        <w:numPr>
          <w:ilvl w:val="0"/>
          <w:numId w:val="2"/>
        </w:numPr>
        <w:spacing w:line="312" w:lineRule="auto"/>
        <w:jc w:val="both"/>
        <w:rPr>
          <w:b/>
          <w:bCs/>
          <w:color w:val="auto"/>
          <w:sz w:val="22"/>
          <w:szCs w:val="22"/>
        </w:rPr>
      </w:pPr>
      <w:r>
        <w:rPr>
          <w:b/>
          <w:bCs/>
          <w:color w:val="auto"/>
          <w:sz w:val="22"/>
          <w:szCs w:val="22"/>
        </w:rPr>
        <w:t>NECESIDAD DE LA PRUEBA PARA</w:t>
      </w:r>
      <w:r w:rsidR="00C352E8">
        <w:rPr>
          <w:b/>
          <w:bCs/>
          <w:color w:val="auto"/>
          <w:sz w:val="22"/>
          <w:szCs w:val="22"/>
        </w:rPr>
        <w:t xml:space="preserve"> </w:t>
      </w:r>
      <w:r>
        <w:rPr>
          <w:b/>
          <w:bCs/>
          <w:color w:val="auto"/>
          <w:sz w:val="22"/>
          <w:szCs w:val="22"/>
        </w:rPr>
        <w:t>ESTABLECER</w:t>
      </w:r>
      <w:r w:rsidR="00C352E8">
        <w:rPr>
          <w:b/>
          <w:bCs/>
          <w:color w:val="auto"/>
          <w:sz w:val="22"/>
          <w:szCs w:val="22"/>
        </w:rPr>
        <w:t xml:space="preserve"> L</w:t>
      </w:r>
      <w:r>
        <w:rPr>
          <w:b/>
          <w:bCs/>
          <w:color w:val="auto"/>
          <w:sz w:val="22"/>
          <w:szCs w:val="22"/>
        </w:rPr>
        <w:t>A</w:t>
      </w:r>
      <w:r w:rsidR="00C352E8">
        <w:rPr>
          <w:b/>
          <w:bCs/>
          <w:color w:val="auto"/>
          <w:sz w:val="22"/>
          <w:szCs w:val="22"/>
        </w:rPr>
        <w:t xml:space="preserve"> </w:t>
      </w:r>
      <w:r>
        <w:rPr>
          <w:b/>
          <w:bCs/>
          <w:color w:val="auto"/>
          <w:sz w:val="22"/>
          <w:szCs w:val="22"/>
        </w:rPr>
        <w:t>PROCEDENCIA</w:t>
      </w:r>
      <w:r w:rsidR="00C352E8">
        <w:rPr>
          <w:b/>
          <w:bCs/>
          <w:color w:val="auto"/>
          <w:sz w:val="22"/>
          <w:szCs w:val="22"/>
        </w:rPr>
        <w:t xml:space="preserve"> DE LA </w:t>
      </w:r>
      <w:r>
        <w:rPr>
          <w:b/>
          <w:bCs/>
          <w:color w:val="auto"/>
          <w:sz w:val="22"/>
          <w:szCs w:val="22"/>
        </w:rPr>
        <w:t>PRESCRIPCIÓN DE LAS ACCIONES DERIVADAS DEL CONTRATO DE SEGURO</w:t>
      </w:r>
    </w:p>
    <w:p w14:paraId="6D8F8A3C" w14:textId="77777777" w:rsidR="00EE59EF" w:rsidRDefault="00EE59EF" w:rsidP="00EE59EF">
      <w:pPr>
        <w:pStyle w:val="Default"/>
        <w:spacing w:line="312" w:lineRule="auto"/>
        <w:jc w:val="both"/>
        <w:rPr>
          <w:color w:val="auto"/>
          <w:sz w:val="22"/>
          <w:szCs w:val="22"/>
        </w:rPr>
      </w:pPr>
    </w:p>
    <w:p w14:paraId="36B6FF1B" w14:textId="7057A4A3" w:rsidR="00EE59EF" w:rsidRDefault="00EE59EF" w:rsidP="00EE59EF">
      <w:pPr>
        <w:pStyle w:val="Default"/>
        <w:spacing w:line="312" w:lineRule="auto"/>
        <w:jc w:val="both"/>
        <w:rPr>
          <w:color w:val="auto"/>
          <w:sz w:val="22"/>
          <w:szCs w:val="22"/>
        </w:rPr>
      </w:pPr>
      <w:r w:rsidRPr="00926E07">
        <w:rPr>
          <w:color w:val="auto"/>
          <w:sz w:val="22"/>
          <w:szCs w:val="22"/>
        </w:rPr>
        <w:t xml:space="preserve">No </w:t>
      </w:r>
      <w:r w:rsidR="00FF1D8D">
        <w:rPr>
          <w:color w:val="auto"/>
          <w:sz w:val="22"/>
          <w:szCs w:val="22"/>
        </w:rPr>
        <w:t>es de recibo</w:t>
      </w:r>
      <w:r w:rsidRPr="00926E07">
        <w:rPr>
          <w:color w:val="auto"/>
          <w:sz w:val="22"/>
          <w:szCs w:val="22"/>
        </w:rPr>
        <w:t xml:space="preserve"> la</w:t>
      </w:r>
      <w:r w:rsidR="00FF1D8D">
        <w:rPr>
          <w:color w:val="auto"/>
          <w:sz w:val="22"/>
          <w:szCs w:val="22"/>
        </w:rPr>
        <w:t xml:space="preserve"> decisión de considerar “innecesaria” la solicitud probatoria, en la medida en que la misma se basa en una apreciación incompleta de los </w:t>
      </w:r>
      <w:r w:rsidR="0053659E">
        <w:rPr>
          <w:color w:val="auto"/>
          <w:sz w:val="22"/>
          <w:szCs w:val="22"/>
        </w:rPr>
        <w:t>parámetros del caso, y ello es así porque si bien es cierto el escrito genitor se acompaña de una serie de documentos que pretende</w:t>
      </w:r>
      <w:r w:rsidR="008510D2">
        <w:rPr>
          <w:color w:val="auto"/>
          <w:sz w:val="22"/>
          <w:szCs w:val="22"/>
        </w:rPr>
        <w:t>n</w:t>
      </w:r>
      <w:r w:rsidR="0053659E">
        <w:rPr>
          <w:color w:val="auto"/>
          <w:sz w:val="22"/>
          <w:szCs w:val="22"/>
        </w:rPr>
        <w:t xml:space="preserve"> </w:t>
      </w:r>
      <w:r w:rsidR="00935F51">
        <w:rPr>
          <w:color w:val="auto"/>
          <w:sz w:val="22"/>
          <w:szCs w:val="22"/>
        </w:rPr>
        <w:t>demostrar</w:t>
      </w:r>
      <w:r w:rsidR="0053659E">
        <w:rPr>
          <w:color w:val="auto"/>
          <w:sz w:val="22"/>
          <w:szCs w:val="22"/>
        </w:rPr>
        <w:t xml:space="preserve"> el agotamiento de la </w:t>
      </w:r>
      <w:r w:rsidR="00935F51">
        <w:rPr>
          <w:color w:val="auto"/>
          <w:sz w:val="22"/>
          <w:szCs w:val="22"/>
        </w:rPr>
        <w:t>conciliación extrajudicial, lo cierto es que de los mi</w:t>
      </w:r>
      <w:r w:rsidR="00D14BED">
        <w:rPr>
          <w:color w:val="auto"/>
          <w:sz w:val="22"/>
          <w:szCs w:val="22"/>
        </w:rPr>
        <w:t>s</w:t>
      </w:r>
      <w:r w:rsidR="00935F51">
        <w:rPr>
          <w:color w:val="auto"/>
          <w:sz w:val="22"/>
          <w:szCs w:val="22"/>
        </w:rPr>
        <w:t>mos no se puede establecer, sin lugar a miramientos, las dudas que se plantearon como solicitud probatoria y que fuera negada por el fallador de instancia</w:t>
      </w:r>
      <w:r w:rsidR="00041DA7">
        <w:rPr>
          <w:color w:val="auto"/>
          <w:sz w:val="22"/>
          <w:szCs w:val="22"/>
        </w:rPr>
        <w:t xml:space="preserve">, a pesar que para la misma </w:t>
      </w:r>
      <w:r w:rsidR="00041DA7" w:rsidRPr="00041DA7">
        <w:rPr>
          <w:color w:val="auto"/>
          <w:sz w:val="22"/>
          <w:szCs w:val="22"/>
        </w:rPr>
        <w:t xml:space="preserve">se agotó la petición para </w:t>
      </w:r>
      <w:r w:rsidR="00041DA7">
        <w:rPr>
          <w:color w:val="auto"/>
          <w:sz w:val="22"/>
          <w:szCs w:val="22"/>
        </w:rPr>
        <w:t>ser obtenida</w:t>
      </w:r>
      <w:r w:rsidR="00041DA7" w:rsidRPr="00041DA7">
        <w:rPr>
          <w:color w:val="auto"/>
          <w:sz w:val="22"/>
          <w:szCs w:val="22"/>
        </w:rPr>
        <w:t xml:space="preserve"> de conformidad con el artículo 78 y 173 del C</w:t>
      </w:r>
      <w:r w:rsidR="006722DD">
        <w:rPr>
          <w:color w:val="auto"/>
          <w:sz w:val="22"/>
          <w:szCs w:val="22"/>
        </w:rPr>
        <w:t xml:space="preserve">ódigo </w:t>
      </w:r>
      <w:r w:rsidR="00041DA7" w:rsidRPr="00041DA7">
        <w:rPr>
          <w:color w:val="auto"/>
          <w:sz w:val="22"/>
          <w:szCs w:val="22"/>
        </w:rPr>
        <w:t>G</w:t>
      </w:r>
      <w:r w:rsidR="006722DD">
        <w:rPr>
          <w:color w:val="auto"/>
          <w:sz w:val="22"/>
          <w:szCs w:val="22"/>
        </w:rPr>
        <w:t xml:space="preserve">eneral del </w:t>
      </w:r>
      <w:r w:rsidR="00041DA7" w:rsidRPr="00041DA7">
        <w:rPr>
          <w:color w:val="auto"/>
          <w:sz w:val="22"/>
          <w:szCs w:val="22"/>
        </w:rPr>
        <w:t>P</w:t>
      </w:r>
      <w:r w:rsidR="006722DD">
        <w:rPr>
          <w:color w:val="auto"/>
          <w:sz w:val="22"/>
          <w:szCs w:val="22"/>
        </w:rPr>
        <w:t>roceso</w:t>
      </w:r>
      <w:r w:rsidR="00041DA7" w:rsidRPr="00041DA7">
        <w:rPr>
          <w:color w:val="auto"/>
          <w:sz w:val="22"/>
          <w:szCs w:val="22"/>
        </w:rPr>
        <w:t>.</w:t>
      </w:r>
    </w:p>
    <w:p w14:paraId="25658A73" w14:textId="77777777" w:rsidR="00EE59EF" w:rsidRDefault="00EE59EF" w:rsidP="00EE59EF">
      <w:pPr>
        <w:pStyle w:val="Default"/>
        <w:spacing w:line="312" w:lineRule="auto"/>
        <w:jc w:val="both"/>
        <w:rPr>
          <w:color w:val="auto"/>
          <w:sz w:val="22"/>
          <w:szCs w:val="22"/>
        </w:rPr>
      </w:pPr>
    </w:p>
    <w:p w14:paraId="437D16DF" w14:textId="30D76457" w:rsidR="00EE59EF" w:rsidRDefault="00EE59EF" w:rsidP="00EE59EF">
      <w:pPr>
        <w:pStyle w:val="Default"/>
        <w:spacing w:line="312" w:lineRule="auto"/>
        <w:jc w:val="both"/>
        <w:rPr>
          <w:color w:val="auto"/>
          <w:sz w:val="22"/>
          <w:szCs w:val="22"/>
        </w:rPr>
      </w:pPr>
      <w:r>
        <w:rPr>
          <w:color w:val="auto"/>
          <w:sz w:val="22"/>
          <w:szCs w:val="22"/>
        </w:rPr>
        <w:t>Frente al particular</w:t>
      </w:r>
      <w:r w:rsidR="0020186D">
        <w:rPr>
          <w:color w:val="auto"/>
          <w:sz w:val="22"/>
          <w:szCs w:val="22"/>
        </w:rPr>
        <w:t>,</w:t>
      </w:r>
      <w:r>
        <w:rPr>
          <w:color w:val="auto"/>
          <w:sz w:val="22"/>
          <w:szCs w:val="22"/>
        </w:rPr>
        <w:t xml:space="preserve"> este despacho determinó lo siguiente:</w:t>
      </w:r>
    </w:p>
    <w:p w14:paraId="30E35296" w14:textId="77777777" w:rsidR="00EE59EF" w:rsidRDefault="00EE59EF" w:rsidP="00EE59EF">
      <w:pPr>
        <w:pStyle w:val="Default"/>
        <w:spacing w:line="312" w:lineRule="auto"/>
        <w:jc w:val="both"/>
        <w:rPr>
          <w:color w:val="auto"/>
          <w:sz w:val="22"/>
          <w:szCs w:val="22"/>
        </w:rPr>
      </w:pPr>
    </w:p>
    <w:p w14:paraId="1BE41BB6" w14:textId="1F48A184" w:rsidR="00EE59EF" w:rsidRPr="00C47302" w:rsidRDefault="0020186D" w:rsidP="0020186D">
      <w:pPr>
        <w:pStyle w:val="Default"/>
        <w:spacing w:line="312" w:lineRule="auto"/>
        <w:ind w:left="567" w:right="567"/>
        <w:jc w:val="both"/>
        <w:rPr>
          <w:color w:val="auto"/>
          <w:sz w:val="20"/>
          <w:szCs w:val="20"/>
        </w:rPr>
      </w:pPr>
      <w:r w:rsidRPr="0020186D">
        <w:rPr>
          <w:i/>
          <w:iCs/>
          <w:color w:val="auto"/>
          <w:sz w:val="20"/>
          <w:szCs w:val="20"/>
        </w:rPr>
        <w:t>Respecto de la solicitud probatoria tendiente a oficiar a la Procuraduría 29</w:t>
      </w:r>
      <w:r>
        <w:rPr>
          <w:i/>
          <w:iCs/>
          <w:color w:val="auto"/>
          <w:sz w:val="20"/>
          <w:szCs w:val="20"/>
        </w:rPr>
        <w:t xml:space="preserve"> </w:t>
      </w:r>
      <w:r w:rsidRPr="0020186D">
        <w:rPr>
          <w:i/>
          <w:iCs/>
          <w:color w:val="auto"/>
          <w:sz w:val="20"/>
          <w:szCs w:val="20"/>
        </w:rPr>
        <w:t>Judicial II para Asuntos Administrativos, para que aporte documentos</w:t>
      </w:r>
      <w:r>
        <w:rPr>
          <w:i/>
          <w:iCs/>
          <w:color w:val="auto"/>
          <w:sz w:val="20"/>
          <w:szCs w:val="20"/>
        </w:rPr>
        <w:t xml:space="preserve"> </w:t>
      </w:r>
      <w:r w:rsidRPr="0020186D">
        <w:rPr>
          <w:i/>
          <w:iCs/>
          <w:color w:val="auto"/>
          <w:sz w:val="20"/>
          <w:szCs w:val="20"/>
        </w:rPr>
        <w:t>relacionados con la radicación de requisito de procedibilidad ante el</w:t>
      </w:r>
      <w:r>
        <w:rPr>
          <w:i/>
          <w:iCs/>
          <w:color w:val="auto"/>
          <w:sz w:val="20"/>
          <w:szCs w:val="20"/>
        </w:rPr>
        <w:t xml:space="preserve"> </w:t>
      </w:r>
      <w:r w:rsidRPr="0020186D">
        <w:rPr>
          <w:i/>
          <w:iCs/>
          <w:color w:val="auto"/>
          <w:sz w:val="20"/>
          <w:szCs w:val="20"/>
        </w:rPr>
        <w:t xml:space="preserve">departamento de Caldas, </w:t>
      </w:r>
      <w:r w:rsidRPr="00C47302">
        <w:rPr>
          <w:b/>
          <w:bCs/>
          <w:i/>
          <w:iCs/>
          <w:color w:val="auto"/>
          <w:sz w:val="20"/>
          <w:szCs w:val="20"/>
          <w:u w:val="single"/>
        </w:rPr>
        <w:t>no se decreta por innecesaria</w:t>
      </w:r>
      <w:r w:rsidRPr="0020186D">
        <w:rPr>
          <w:i/>
          <w:iCs/>
          <w:color w:val="auto"/>
          <w:sz w:val="20"/>
          <w:szCs w:val="20"/>
        </w:rPr>
        <w:t>, comoquiera que la</w:t>
      </w:r>
      <w:r>
        <w:rPr>
          <w:i/>
          <w:iCs/>
          <w:color w:val="auto"/>
          <w:sz w:val="20"/>
          <w:szCs w:val="20"/>
        </w:rPr>
        <w:t xml:space="preserve"> </w:t>
      </w:r>
      <w:r w:rsidRPr="0020186D">
        <w:rPr>
          <w:i/>
          <w:iCs/>
          <w:color w:val="auto"/>
          <w:sz w:val="20"/>
          <w:szCs w:val="20"/>
        </w:rPr>
        <w:t>misma fue integrada como anexo al escrito de la demanda. Documento</w:t>
      </w:r>
      <w:r>
        <w:rPr>
          <w:i/>
          <w:iCs/>
          <w:color w:val="auto"/>
          <w:sz w:val="20"/>
          <w:szCs w:val="20"/>
        </w:rPr>
        <w:t xml:space="preserve"> </w:t>
      </w:r>
      <w:r w:rsidRPr="0020186D">
        <w:rPr>
          <w:i/>
          <w:iCs/>
          <w:color w:val="auto"/>
          <w:sz w:val="20"/>
          <w:szCs w:val="20"/>
        </w:rPr>
        <w:t>archivo 04, folios 67 –73; 75; 78-83 OneDrive/ índice 027. SAMAI.</w:t>
      </w:r>
      <w:r w:rsidR="00C47302">
        <w:rPr>
          <w:i/>
          <w:iCs/>
          <w:color w:val="auto"/>
          <w:sz w:val="20"/>
          <w:szCs w:val="20"/>
        </w:rPr>
        <w:t xml:space="preserve"> </w:t>
      </w:r>
      <w:r w:rsidR="00C47302">
        <w:rPr>
          <w:color w:val="auto"/>
          <w:sz w:val="20"/>
          <w:szCs w:val="20"/>
        </w:rPr>
        <w:t>(Subrayado y negrillas fuera del texto original)</w:t>
      </w:r>
    </w:p>
    <w:p w14:paraId="1907D914" w14:textId="77777777" w:rsidR="00EE59EF" w:rsidRDefault="00EE59EF" w:rsidP="00EE59EF">
      <w:pPr>
        <w:pStyle w:val="Default"/>
        <w:spacing w:line="312" w:lineRule="auto"/>
        <w:jc w:val="both"/>
        <w:rPr>
          <w:color w:val="auto"/>
          <w:sz w:val="22"/>
          <w:szCs w:val="22"/>
        </w:rPr>
      </w:pPr>
    </w:p>
    <w:p w14:paraId="1F0A11E3" w14:textId="03C72060" w:rsidR="002C3F8F" w:rsidRDefault="002C3F8F" w:rsidP="00EE59EF">
      <w:pPr>
        <w:spacing w:line="312" w:lineRule="auto"/>
        <w:jc w:val="both"/>
        <w:rPr>
          <w:rFonts w:ascii="Arial" w:eastAsia="Calibri" w:hAnsi="Arial" w:cs="Arial"/>
        </w:rPr>
      </w:pPr>
      <w:r>
        <w:rPr>
          <w:rFonts w:ascii="Arial" w:eastAsia="Calibri" w:hAnsi="Arial" w:cs="Arial"/>
        </w:rPr>
        <w:t xml:space="preserve">En ese sentido es menester de este extremo procesal indicar que, </w:t>
      </w:r>
      <w:r w:rsidRPr="002C3F8F">
        <w:rPr>
          <w:rFonts w:ascii="Arial" w:eastAsia="Calibri" w:hAnsi="Arial" w:cs="Arial"/>
        </w:rPr>
        <w:t>de conformidad el artículo 168 del Código General del Proceso -aplicable al caso por remisión expresa del artículo 211 del Código de Procedimiento Administrativo y de lo Contencioso Administrativo- el juez debe rechazar “</w:t>
      </w:r>
      <w:r w:rsidRPr="00031EEE">
        <w:rPr>
          <w:rFonts w:ascii="Arial" w:eastAsia="Calibri" w:hAnsi="Arial" w:cs="Arial"/>
          <w:i/>
          <w:iCs/>
        </w:rPr>
        <w:t>las pruebas ilícitas, las notoriamente impertinentes, las inconducentes y las manifiestamente superfluas o inútiles</w:t>
      </w:r>
      <w:r w:rsidRPr="002C3F8F">
        <w:rPr>
          <w:rFonts w:ascii="Arial" w:eastAsia="Calibri" w:hAnsi="Arial" w:cs="Arial"/>
        </w:rPr>
        <w:t>”.</w:t>
      </w:r>
    </w:p>
    <w:p w14:paraId="6654C865" w14:textId="77777777" w:rsidR="002C3F8F" w:rsidRDefault="002C3F8F" w:rsidP="00EE59EF">
      <w:pPr>
        <w:spacing w:line="312" w:lineRule="auto"/>
        <w:jc w:val="both"/>
        <w:rPr>
          <w:rFonts w:ascii="Arial" w:eastAsia="Calibri" w:hAnsi="Arial" w:cs="Arial"/>
        </w:rPr>
      </w:pPr>
    </w:p>
    <w:p w14:paraId="3F7FA2C7" w14:textId="7622EC33" w:rsidR="00EE59EF" w:rsidRDefault="00810692" w:rsidP="00EE59EF">
      <w:pPr>
        <w:spacing w:line="312" w:lineRule="auto"/>
        <w:jc w:val="both"/>
        <w:rPr>
          <w:rFonts w:ascii="Arial" w:eastAsia="Arial" w:hAnsi="Arial" w:cs="Arial"/>
        </w:rPr>
      </w:pPr>
      <w:r w:rsidRPr="00810692">
        <w:rPr>
          <w:rFonts w:ascii="Arial" w:eastAsia="Arial" w:hAnsi="Arial" w:cs="Arial"/>
        </w:rPr>
        <w:t>De igual forma, el artículo 164 del mismo estatuto señala que toda decisión judicial debe fundarse en las pruebas regular y oportunamente allegadas al proceso, siempre que se relacionen con los supuestos fácticos objeto de controversia</w:t>
      </w:r>
      <w:r w:rsidR="00EE59EF" w:rsidRPr="00997CDD">
        <w:rPr>
          <w:rFonts w:ascii="Arial" w:eastAsia="Arial" w:hAnsi="Arial" w:cs="Arial"/>
        </w:rPr>
        <w:t>.</w:t>
      </w:r>
      <w:r>
        <w:rPr>
          <w:rFonts w:ascii="Arial" w:eastAsia="Arial" w:hAnsi="Arial" w:cs="Arial"/>
        </w:rPr>
        <w:t xml:space="preserve"> </w:t>
      </w:r>
      <w:r w:rsidRPr="00810692">
        <w:rPr>
          <w:rFonts w:ascii="Arial" w:eastAsia="Arial" w:hAnsi="Arial" w:cs="Arial"/>
        </w:rPr>
        <w:t>Sobre el punto, se debe tener en cuenta que “</w:t>
      </w:r>
      <w:r w:rsidRPr="00810692">
        <w:rPr>
          <w:rFonts w:ascii="Arial" w:eastAsia="Arial" w:hAnsi="Arial" w:cs="Arial"/>
          <w:i/>
          <w:iCs/>
        </w:rPr>
        <w:t>(…) la importancia de la prueba está en relación directa con el principio de necesidad. Se requiere ineludiblemente la prueba para demostrar los hechos que han de servir de sustento a la aplicación del derecho y el juez no está llamado a subsanar la falta de pruebas con el mero conocimiento privado o persona</w:t>
      </w:r>
      <w:r>
        <w:rPr>
          <w:rStyle w:val="Refdenotaalpie"/>
          <w:rFonts w:ascii="Arial" w:eastAsia="Arial" w:hAnsi="Arial" w:cs="Arial"/>
          <w:i/>
          <w:iCs/>
        </w:rPr>
        <w:footnoteReference w:id="2"/>
      </w:r>
      <w:r w:rsidRPr="00810692">
        <w:rPr>
          <w:rFonts w:ascii="Arial" w:eastAsia="Arial" w:hAnsi="Arial" w:cs="Arial"/>
        </w:rPr>
        <w:t>”</w:t>
      </w:r>
    </w:p>
    <w:p w14:paraId="1E948C47" w14:textId="77777777" w:rsidR="00EE59EF" w:rsidRDefault="00EE59EF" w:rsidP="00EE59EF">
      <w:pPr>
        <w:spacing w:line="312" w:lineRule="auto"/>
        <w:jc w:val="both"/>
        <w:rPr>
          <w:rFonts w:ascii="Arial" w:eastAsia="Arial" w:hAnsi="Arial" w:cs="Arial"/>
        </w:rPr>
      </w:pPr>
    </w:p>
    <w:p w14:paraId="58969919" w14:textId="77777777" w:rsidR="00810692" w:rsidRDefault="00810692" w:rsidP="00EE59EF">
      <w:pPr>
        <w:spacing w:line="312" w:lineRule="auto"/>
        <w:jc w:val="both"/>
        <w:rPr>
          <w:rFonts w:ascii="Arial" w:eastAsia="Times New Roman" w:hAnsi="Arial" w:cs="Arial"/>
        </w:rPr>
      </w:pPr>
      <w:r w:rsidRPr="00810692">
        <w:rPr>
          <w:rFonts w:ascii="Arial" w:eastAsia="Times New Roman" w:hAnsi="Arial" w:cs="Arial"/>
        </w:rPr>
        <w:t>Visto así el asunto, es claro que para que una prueba pueda ser decretada ésta debe tener conexidad con los hechos objeto de controversia dentro del proceso</w:t>
      </w:r>
      <w:r>
        <w:rPr>
          <w:rFonts w:ascii="Arial" w:eastAsia="Times New Roman" w:hAnsi="Arial" w:cs="Arial"/>
        </w:rPr>
        <w:t>, ergo, para que sea denegada, deberá tener clara la falta de relación en ese sentido</w:t>
      </w:r>
      <w:r w:rsidRPr="00810692">
        <w:rPr>
          <w:rFonts w:ascii="Arial" w:eastAsia="Times New Roman" w:hAnsi="Arial" w:cs="Arial"/>
        </w:rPr>
        <w:t xml:space="preserve">. Ahora bien, la doctrina ha clasificado los requisitos para la admisión de las pruebas en extrínsecos (generales para cualquier medio de prueba) e intrínsecos (según el medio de prueba de que se trate). </w:t>
      </w:r>
    </w:p>
    <w:p w14:paraId="4ED19C2D" w14:textId="77777777" w:rsidR="00810692" w:rsidRDefault="00810692" w:rsidP="00EE59EF">
      <w:pPr>
        <w:spacing w:line="312" w:lineRule="auto"/>
        <w:jc w:val="both"/>
        <w:rPr>
          <w:rFonts w:ascii="Arial" w:eastAsia="Times New Roman" w:hAnsi="Arial" w:cs="Arial"/>
        </w:rPr>
      </w:pPr>
    </w:p>
    <w:p w14:paraId="61F1A68E" w14:textId="05EB77D4" w:rsidR="00810692" w:rsidRDefault="00810692" w:rsidP="00EE59EF">
      <w:pPr>
        <w:spacing w:line="312" w:lineRule="auto"/>
        <w:jc w:val="both"/>
        <w:rPr>
          <w:rFonts w:ascii="Arial" w:eastAsia="Times New Roman" w:hAnsi="Arial" w:cs="Arial"/>
        </w:rPr>
      </w:pPr>
      <w:r w:rsidRPr="00810692">
        <w:rPr>
          <w:rFonts w:ascii="Arial" w:eastAsia="Times New Roman" w:hAnsi="Arial" w:cs="Arial"/>
        </w:rPr>
        <w:t xml:space="preserve">Los requisitos extrínsecos están contemplados en el artículo 168 del Código General del Proceso y se </w:t>
      </w:r>
      <w:r w:rsidRPr="00810692">
        <w:rPr>
          <w:rFonts w:ascii="Arial" w:eastAsia="Times New Roman" w:hAnsi="Arial" w:cs="Arial"/>
        </w:rPr>
        <w:lastRenderedPageBreak/>
        <w:t>refieren a:</w:t>
      </w:r>
    </w:p>
    <w:p w14:paraId="0379316A" w14:textId="77777777" w:rsidR="005B60CC" w:rsidRDefault="005B60CC" w:rsidP="00EE59EF">
      <w:pPr>
        <w:spacing w:line="312" w:lineRule="auto"/>
        <w:jc w:val="both"/>
        <w:rPr>
          <w:rFonts w:ascii="Arial" w:eastAsia="Times New Roman" w:hAnsi="Arial" w:cs="Arial"/>
        </w:rPr>
      </w:pPr>
    </w:p>
    <w:p w14:paraId="31112A7E" w14:textId="394817B4" w:rsidR="00810692" w:rsidRPr="00AF407C" w:rsidRDefault="00810692" w:rsidP="00AF407C">
      <w:pPr>
        <w:pStyle w:val="Prrafodelista"/>
        <w:numPr>
          <w:ilvl w:val="0"/>
          <w:numId w:val="4"/>
        </w:numPr>
        <w:spacing w:line="312" w:lineRule="auto"/>
        <w:jc w:val="both"/>
        <w:rPr>
          <w:rFonts w:ascii="Arial" w:eastAsia="Times New Roman" w:hAnsi="Arial" w:cs="Arial"/>
        </w:rPr>
      </w:pPr>
      <w:r w:rsidRPr="00AF407C">
        <w:rPr>
          <w:rFonts w:ascii="Arial" w:eastAsia="Times New Roman" w:hAnsi="Arial" w:cs="Arial"/>
        </w:rPr>
        <w:t xml:space="preserve">Pertinencia. Alude a que el juez debe verificar si los hechos resultan relevantes para el proceso. </w:t>
      </w:r>
    </w:p>
    <w:p w14:paraId="333CC978" w14:textId="22C5839B" w:rsidR="00810692" w:rsidRPr="00AF407C" w:rsidRDefault="00810692" w:rsidP="00AF407C">
      <w:pPr>
        <w:pStyle w:val="Prrafodelista"/>
        <w:numPr>
          <w:ilvl w:val="0"/>
          <w:numId w:val="4"/>
        </w:numPr>
        <w:spacing w:line="312" w:lineRule="auto"/>
        <w:jc w:val="both"/>
        <w:rPr>
          <w:rFonts w:ascii="Arial" w:eastAsia="Times New Roman" w:hAnsi="Arial" w:cs="Arial"/>
        </w:rPr>
      </w:pPr>
      <w:r w:rsidRPr="00AF407C">
        <w:rPr>
          <w:rFonts w:ascii="Arial" w:eastAsia="Times New Roman" w:hAnsi="Arial" w:cs="Arial"/>
        </w:rPr>
        <w:t xml:space="preserve">Conducencia. Se refiere a que el medio de prueba debe ser el idóneo para demostrar determinado hecho. </w:t>
      </w:r>
    </w:p>
    <w:p w14:paraId="17D1CB3F" w14:textId="7BC64CDA" w:rsidR="00810692" w:rsidRPr="00AF407C" w:rsidRDefault="00810692" w:rsidP="00AF407C">
      <w:pPr>
        <w:pStyle w:val="Prrafodelista"/>
        <w:numPr>
          <w:ilvl w:val="0"/>
          <w:numId w:val="4"/>
        </w:numPr>
        <w:spacing w:line="312" w:lineRule="auto"/>
        <w:jc w:val="both"/>
        <w:rPr>
          <w:rFonts w:ascii="Arial" w:eastAsia="Times New Roman" w:hAnsi="Arial" w:cs="Arial"/>
        </w:rPr>
      </w:pPr>
      <w:r w:rsidRPr="00AF407C">
        <w:rPr>
          <w:rFonts w:ascii="Arial" w:eastAsia="Times New Roman" w:hAnsi="Arial" w:cs="Arial"/>
        </w:rPr>
        <w:t xml:space="preserve">Oportunidad. El juez no podrá tener en cuenta las pruebas solicitadas y aportadas por fuera de las oportunidades legales. </w:t>
      </w:r>
    </w:p>
    <w:p w14:paraId="46A7FD5F" w14:textId="5C391294" w:rsidR="00810692" w:rsidRPr="00AF407C" w:rsidRDefault="00810692" w:rsidP="00AF407C">
      <w:pPr>
        <w:pStyle w:val="Prrafodelista"/>
        <w:numPr>
          <w:ilvl w:val="0"/>
          <w:numId w:val="4"/>
        </w:numPr>
        <w:spacing w:line="312" w:lineRule="auto"/>
        <w:jc w:val="both"/>
        <w:rPr>
          <w:rFonts w:ascii="Arial" w:eastAsia="Times New Roman" w:hAnsi="Arial" w:cs="Arial"/>
        </w:rPr>
      </w:pPr>
      <w:r w:rsidRPr="00706F07">
        <w:rPr>
          <w:rFonts w:ascii="Arial" w:eastAsia="Times New Roman" w:hAnsi="Arial" w:cs="Arial"/>
          <w:b/>
          <w:bCs/>
          <w:u w:val="single"/>
        </w:rPr>
        <w:t>Utilidad. Indica que no se pueden decretar las pruebas manifiestamente superfluas, es decir, las que no tienen razón de ser, porque ya están probados los hechos o porque el hecho está exento de prueba</w:t>
      </w:r>
      <w:r w:rsidRPr="00AF407C">
        <w:rPr>
          <w:rFonts w:ascii="Arial" w:eastAsia="Times New Roman" w:hAnsi="Arial" w:cs="Arial"/>
        </w:rPr>
        <w:t xml:space="preserve">. </w:t>
      </w:r>
    </w:p>
    <w:p w14:paraId="3C4B6CB6" w14:textId="64CD136D" w:rsidR="00810692" w:rsidRPr="00AF407C" w:rsidRDefault="00810692" w:rsidP="00706F07">
      <w:pPr>
        <w:pStyle w:val="Prrafodelista"/>
        <w:numPr>
          <w:ilvl w:val="0"/>
          <w:numId w:val="4"/>
        </w:numPr>
        <w:spacing w:after="0" w:line="312" w:lineRule="auto"/>
        <w:jc w:val="both"/>
        <w:rPr>
          <w:rFonts w:ascii="Arial" w:eastAsia="Times New Roman" w:hAnsi="Arial" w:cs="Arial"/>
        </w:rPr>
      </w:pPr>
      <w:r w:rsidRPr="00AF407C">
        <w:rPr>
          <w:rFonts w:ascii="Arial" w:eastAsia="Times New Roman" w:hAnsi="Arial" w:cs="Arial"/>
        </w:rPr>
        <w:t xml:space="preserve">Licitud. Para valorar una prueba, ésta no debe contravenir derechos fundamentales constitucionales, de lo contrario será nula de pleno derecho. </w:t>
      </w:r>
    </w:p>
    <w:p w14:paraId="39582761" w14:textId="77777777" w:rsidR="00706F07" w:rsidRDefault="00706F07" w:rsidP="00EE59EF">
      <w:pPr>
        <w:spacing w:line="312" w:lineRule="auto"/>
        <w:jc w:val="both"/>
        <w:rPr>
          <w:rFonts w:ascii="Arial" w:eastAsia="Times New Roman" w:hAnsi="Arial" w:cs="Arial"/>
        </w:rPr>
      </w:pPr>
    </w:p>
    <w:p w14:paraId="591B1DD1" w14:textId="60D76261" w:rsidR="00EE59EF" w:rsidRDefault="00810692" w:rsidP="00EE59EF">
      <w:pPr>
        <w:spacing w:line="312" w:lineRule="auto"/>
        <w:jc w:val="both"/>
        <w:rPr>
          <w:rFonts w:ascii="Arial" w:eastAsia="Times New Roman" w:hAnsi="Arial" w:cs="Arial"/>
        </w:rPr>
      </w:pPr>
      <w:r w:rsidRPr="00810692">
        <w:rPr>
          <w:rFonts w:ascii="Arial" w:eastAsia="Times New Roman" w:hAnsi="Arial" w:cs="Arial"/>
        </w:rPr>
        <w:t>Ahora bien, en cuanto a la prueba negada se advierte que el sistema de defensa de las partes está circunscrito a unos determinados requisitos establecidos por el legislador con el fin de garantizar al máximo el Debido Proceso. Y en ese orden, los diferentes medios probatorios aportados y solicitados por las partes y decretad</w:t>
      </w:r>
      <w:r w:rsidR="00BC66D9">
        <w:rPr>
          <w:rFonts w:ascii="Arial" w:eastAsia="Times New Roman" w:hAnsi="Arial" w:cs="Arial"/>
        </w:rPr>
        <w:t>o</w:t>
      </w:r>
      <w:r w:rsidRPr="00810692">
        <w:rPr>
          <w:rFonts w:ascii="Arial" w:eastAsia="Times New Roman" w:hAnsi="Arial" w:cs="Arial"/>
        </w:rPr>
        <w:t>s por el Juez, deben satisfacer los requisitos de utilidad, conducencia y pertinencia, y además de ello, cumplir con las exigencias impuestas para cada uno de estos.</w:t>
      </w:r>
    </w:p>
    <w:p w14:paraId="30360DE9" w14:textId="77777777" w:rsidR="00BC66D9" w:rsidRDefault="00BC66D9" w:rsidP="00EE59EF">
      <w:pPr>
        <w:spacing w:line="312" w:lineRule="auto"/>
        <w:jc w:val="both"/>
        <w:rPr>
          <w:rFonts w:ascii="Arial" w:eastAsia="Times New Roman" w:hAnsi="Arial" w:cs="Arial"/>
        </w:rPr>
      </w:pPr>
    </w:p>
    <w:p w14:paraId="7B25D9D1" w14:textId="6699725D" w:rsidR="004C41DB" w:rsidRDefault="006454F8" w:rsidP="00EE59EF">
      <w:pPr>
        <w:spacing w:line="312" w:lineRule="auto"/>
        <w:jc w:val="both"/>
        <w:rPr>
          <w:rFonts w:ascii="Arial" w:eastAsia="Times New Roman" w:hAnsi="Arial" w:cs="Arial"/>
        </w:rPr>
      </w:pPr>
      <w:r>
        <w:rPr>
          <w:rFonts w:ascii="Arial" w:eastAsia="Times New Roman" w:hAnsi="Arial" w:cs="Arial"/>
        </w:rPr>
        <w:t xml:space="preserve">Teniendo en cuenta lo anterior, y el hecho de que el despacho consideró “innecesaria” o, para ponerlo en términos de la norma, “superflua” la prueba solicitada, </w:t>
      </w:r>
      <w:r w:rsidR="00BE5FD4">
        <w:rPr>
          <w:rFonts w:ascii="Arial" w:eastAsia="Times New Roman" w:hAnsi="Arial" w:cs="Arial"/>
        </w:rPr>
        <w:t>se debe decir que,</w:t>
      </w:r>
      <w:r w:rsidR="00BE5549">
        <w:rPr>
          <w:rFonts w:ascii="Arial" w:eastAsia="Times New Roman" w:hAnsi="Arial" w:cs="Arial"/>
        </w:rPr>
        <w:t xml:space="preserve"> falta una simple revisión de los anexos usado</w:t>
      </w:r>
      <w:r w:rsidR="00EB1D93">
        <w:rPr>
          <w:rFonts w:ascii="Arial" w:eastAsia="Times New Roman" w:hAnsi="Arial" w:cs="Arial"/>
        </w:rPr>
        <w:t>s</w:t>
      </w:r>
      <w:r w:rsidR="00BE5549">
        <w:rPr>
          <w:rFonts w:ascii="Arial" w:eastAsia="Times New Roman" w:hAnsi="Arial" w:cs="Arial"/>
        </w:rPr>
        <w:t xml:space="preserve"> como sustento para la decisión de negar el decreto del medio, </w:t>
      </w:r>
      <w:r w:rsidR="00EB1D93">
        <w:rPr>
          <w:rFonts w:ascii="Arial" w:eastAsia="Times New Roman" w:hAnsi="Arial" w:cs="Arial"/>
        </w:rPr>
        <w:t xml:space="preserve">para notar </w:t>
      </w:r>
      <w:r w:rsidR="00BE5549">
        <w:rPr>
          <w:rFonts w:ascii="Arial" w:eastAsia="Times New Roman" w:hAnsi="Arial" w:cs="Arial"/>
        </w:rPr>
        <w:t xml:space="preserve">que los mismos ofrecen </w:t>
      </w:r>
      <w:r w:rsidR="005C0157">
        <w:rPr>
          <w:rFonts w:ascii="Arial" w:eastAsia="Times New Roman" w:hAnsi="Arial" w:cs="Arial"/>
        </w:rPr>
        <w:t xml:space="preserve">un grado considerable de </w:t>
      </w:r>
      <w:r w:rsidR="00164E8F">
        <w:rPr>
          <w:rFonts w:ascii="Arial" w:eastAsia="Times New Roman" w:hAnsi="Arial" w:cs="Arial"/>
        </w:rPr>
        <w:t xml:space="preserve">ambigüedad que es necesario aclarar, y hacía ahí está dirigida la solicitud, </w:t>
      </w:r>
      <w:r w:rsidR="004C41DB">
        <w:rPr>
          <w:rFonts w:ascii="Arial" w:eastAsia="Times New Roman" w:hAnsi="Arial" w:cs="Arial"/>
        </w:rPr>
        <w:t>recordando que como se dijo en las citas anteriores, es deber del juez tomar las decisiones procesales conforme a las pruebas que obran en el proceso, por lo que negarse a dar claridad a</w:t>
      </w:r>
      <w:r w:rsidR="00831CB9">
        <w:rPr>
          <w:rFonts w:ascii="Arial" w:eastAsia="Times New Roman" w:hAnsi="Arial" w:cs="Arial"/>
        </w:rPr>
        <w:t xml:space="preserve"> algún asunto</w:t>
      </w:r>
      <w:r w:rsidR="004C41DB">
        <w:rPr>
          <w:rFonts w:ascii="Arial" w:eastAsia="Times New Roman" w:hAnsi="Arial" w:cs="Arial"/>
        </w:rPr>
        <w:t xml:space="preserve"> </w:t>
      </w:r>
      <w:r w:rsidR="00831CB9">
        <w:rPr>
          <w:rFonts w:ascii="Arial" w:eastAsia="Times New Roman" w:hAnsi="Arial" w:cs="Arial"/>
        </w:rPr>
        <w:t xml:space="preserve">con </w:t>
      </w:r>
      <w:r w:rsidR="004C41DB">
        <w:rPr>
          <w:rFonts w:ascii="Arial" w:eastAsia="Times New Roman" w:hAnsi="Arial" w:cs="Arial"/>
        </w:rPr>
        <w:t>una de ellas</w:t>
      </w:r>
      <w:r w:rsidR="00831CB9">
        <w:rPr>
          <w:rFonts w:ascii="Arial" w:eastAsia="Times New Roman" w:hAnsi="Arial" w:cs="Arial"/>
        </w:rPr>
        <w:t>,</w:t>
      </w:r>
      <w:r w:rsidR="004C41DB">
        <w:rPr>
          <w:rFonts w:ascii="Arial" w:eastAsia="Times New Roman" w:hAnsi="Arial" w:cs="Arial"/>
        </w:rPr>
        <w:t xml:space="preserve"> no tendría cabida en un sistema que pretende proteger desde todo punto de vista los derechos de audiencia y de defensa.</w:t>
      </w:r>
    </w:p>
    <w:p w14:paraId="17A88A49" w14:textId="77777777" w:rsidR="004C41DB" w:rsidRDefault="004C41DB" w:rsidP="00EE59EF">
      <w:pPr>
        <w:spacing w:line="312" w:lineRule="auto"/>
        <w:jc w:val="both"/>
        <w:rPr>
          <w:rFonts w:ascii="Arial" w:eastAsia="Times New Roman" w:hAnsi="Arial" w:cs="Arial"/>
        </w:rPr>
      </w:pPr>
    </w:p>
    <w:p w14:paraId="0797EFDA" w14:textId="1C3622B1" w:rsidR="00BC66D9" w:rsidRDefault="004C41DB" w:rsidP="00EC5AFA">
      <w:pPr>
        <w:spacing w:line="312" w:lineRule="auto"/>
        <w:jc w:val="both"/>
        <w:rPr>
          <w:rFonts w:ascii="Arial" w:eastAsia="Times New Roman" w:hAnsi="Arial" w:cs="Arial"/>
        </w:rPr>
      </w:pPr>
      <w:r>
        <w:rPr>
          <w:rFonts w:ascii="Arial" w:eastAsia="Times New Roman" w:hAnsi="Arial" w:cs="Arial"/>
        </w:rPr>
        <w:t xml:space="preserve">Lo anterior tiene relación con el hecho de que los términos en los que se dio tanto la solicitud de conciliación extrajudicial, como la propia diligencia de conciliación, son de suma importancia y relevancia a efectos de determinar el </w:t>
      </w:r>
      <w:r w:rsidR="000E6FFE">
        <w:rPr>
          <w:rFonts w:ascii="Arial" w:eastAsia="Times New Roman" w:hAnsi="Arial" w:cs="Arial"/>
        </w:rPr>
        <w:t xml:space="preserve">fenómeno de la prescripción de las acciones derivadas del contrato de seguro, las cuales, al tono literal del </w:t>
      </w:r>
      <w:r w:rsidR="00EC5AFA" w:rsidRPr="00EC5AFA">
        <w:rPr>
          <w:rFonts w:ascii="Arial" w:eastAsia="Times New Roman" w:hAnsi="Arial" w:cs="Arial"/>
        </w:rPr>
        <w:t>Artículo 1081</w:t>
      </w:r>
      <w:r w:rsidR="00EC5AFA">
        <w:rPr>
          <w:rFonts w:ascii="Arial" w:eastAsia="Times New Roman" w:hAnsi="Arial" w:cs="Arial"/>
        </w:rPr>
        <w:t xml:space="preserve"> del Código de Comercio,</w:t>
      </w:r>
      <w:r w:rsidR="00EC5AFA" w:rsidRPr="00EC5AFA">
        <w:rPr>
          <w:rFonts w:ascii="Arial" w:eastAsia="Times New Roman" w:hAnsi="Arial" w:cs="Arial"/>
        </w:rPr>
        <w:t xml:space="preserve"> </w:t>
      </w:r>
      <w:r w:rsidR="00EC5AFA">
        <w:rPr>
          <w:rFonts w:ascii="Arial" w:eastAsia="Times New Roman" w:hAnsi="Arial" w:cs="Arial"/>
        </w:rPr>
        <w:t>prescribirán al cabo de</w:t>
      </w:r>
      <w:r w:rsidR="00EC5AFA" w:rsidRPr="00EC5AFA">
        <w:rPr>
          <w:rFonts w:ascii="Arial" w:eastAsia="Times New Roman" w:hAnsi="Arial" w:cs="Arial"/>
        </w:rPr>
        <w:t xml:space="preserve"> dos años</w:t>
      </w:r>
      <w:r w:rsidR="00EC5AFA">
        <w:rPr>
          <w:rFonts w:ascii="Arial" w:eastAsia="Times New Roman" w:hAnsi="Arial" w:cs="Arial"/>
        </w:rPr>
        <w:t>,</w:t>
      </w:r>
      <w:r w:rsidR="00EC5AFA" w:rsidRPr="00EC5AFA">
        <w:rPr>
          <w:rFonts w:ascii="Arial" w:eastAsia="Times New Roman" w:hAnsi="Arial" w:cs="Arial"/>
        </w:rPr>
        <w:t xml:space="preserve"> </w:t>
      </w:r>
      <w:r w:rsidR="00EC5AFA">
        <w:rPr>
          <w:rFonts w:ascii="Arial" w:eastAsia="Times New Roman" w:hAnsi="Arial" w:cs="Arial"/>
        </w:rPr>
        <w:t>los cuales</w:t>
      </w:r>
      <w:r w:rsidR="00EC5AFA" w:rsidRPr="00EC5AFA">
        <w:rPr>
          <w:rFonts w:ascii="Arial" w:eastAsia="Times New Roman" w:hAnsi="Arial" w:cs="Arial"/>
        </w:rPr>
        <w:t xml:space="preserve"> empezará</w:t>
      </w:r>
      <w:r w:rsidR="00EC5AFA">
        <w:rPr>
          <w:rFonts w:ascii="Arial" w:eastAsia="Times New Roman" w:hAnsi="Arial" w:cs="Arial"/>
        </w:rPr>
        <w:t>n</w:t>
      </w:r>
      <w:r w:rsidR="00EC5AFA" w:rsidRPr="00EC5AFA">
        <w:rPr>
          <w:rFonts w:ascii="Arial" w:eastAsia="Times New Roman" w:hAnsi="Arial" w:cs="Arial"/>
        </w:rPr>
        <w:t xml:space="preserve"> a correr desde el momento en que el interesado haya tenido o debido tener conocimiento del hecho que da base a la acción</w:t>
      </w:r>
      <w:r w:rsidR="00EC5AFA">
        <w:rPr>
          <w:rFonts w:ascii="Arial" w:eastAsia="Times New Roman" w:hAnsi="Arial" w:cs="Arial"/>
        </w:rPr>
        <w:t>, que para el caso particular, es sin dudas, la solicitud de conciliación extrajudicial, pues es el momento en el que asegurado conoce de primera mano la existencia de los hechos que darán a posteriori fundamento a su llamado en garantía, por lo que es a partir de ese momento en que se deben empezar a contar esos dos años</w:t>
      </w:r>
      <w:r w:rsidR="00374FD5">
        <w:rPr>
          <w:rFonts w:ascii="Arial" w:eastAsia="Times New Roman" w:hAnsi="Arial" w:cs="Arial"/>
        </w:rPr>
        <w:t>, lo que aplicado a</w:t>
      </w:r>
      <w:r w:rsidR="002C1393">
        <w:rPr>
          <w:rFonts w:ascii="Arial" w:eastAsia="Times New Roman" w:hAnsi="Arial" w:cs="Arial"/>
        </w:rPr>
        <w:t xml:space="preserve"> los datos del caso particular, tenemos que </w:t>
      </w:r>
      <w:r w:rsidR="00AD0A06">
        <w:rPr>
          <w:rFonts w:ascii="Arial" w:eastAsia="Times New Roman" w:hAnsi="Arial" w:cs="Arial"/>
        </w:rPr>
        <w:t>el llamado en garantía se dio el 13 de julio de 2020, según consta en el Auto A.I. 292 expedido por este despacho el 09 de junio de 2022</w:t>
      </w:r>
      <w:r w:rsidR="00374FD5">
        <w:rPr>
          <w:rFonts w:ascii="Arial" w:eastAsia="Times New Roman" w:hAnsi="Arial" w:cs="Arial"/>
        </w:rPr>
        <w:t xml:space="preserve"> mientas que -en principio- la solicitud de conciliación extrajudicial data del 26 de abril de 2017 y</w:t>
      </w:r>
      <w:r w:rsidR="00297655">
        <w:rPr>
          <w:rFonts w:ascii="Arial" w:eastAsia="Times New Roman" w:hAnsi="Arial" w:cs="Arial"/>
        </w:rPr>
        <w:t>, tal como parece apreciarse en los documentos obrantes en el proceso:</w:t>
      </w:r>
    </w:p>
    <w:p w14:paraId="219329BC" w14:textId="77777777" w:rsidR="00297655" w:rsidRDefault="00297655" w:rsidP="00EC5AFA">
      <w:pPr>
        <w:spacing w:line="312" w:lineRule="auto"/>
        <w:jc w:val="both"/>
        <w:rPr>
          <w:rFonts w:ascii="Arial" w:eastAsia="Times New Roman" w:hAnsi="Arial" w:cs="Arial"/>
        </w:rPr>
      </w:pPr>
    </w:p>
    <w:tbl>
      <w:tblPr>
        <w:tblStyle w:val="Tablaconcuadrcula"/>
        <w:tblW w:w="0" w:type="auto"/>
        <w:tblLook w:val="04A0" w:firstRow="1" w:lastRow="0" w:firstColumn="1" w:lastColumn="0" w:noHBand="0" w:noVBand="1"/>
      </w:tblPr>
      <w:tblGrid>
        <w:gridCol w:w="4523"/>
        <w:gridCol w:w="5779"/>
      </w:tblGrid>
      <w:tr w:rsidR="00010D92" w14:paraId="208A350B" w14:textId="77777777">
        <w:tc>
          <w:tcPr>
            <w:tcW w:w="5151" w:type="dxa"/>
          </w:tcPr>
          <w:p w14:paraId="798A4BA9" w14:textId="62B91D80" w:rsidR="00010D92" w:rsidRDefault="00010D92" w:rsidP="00EC5AFA">
            <w:pPr>
              <w:spacing w:line="312" w:lineRule="auto"/>
              <w:jc w:val="both"/>
              <w:rPr>
                <w:rFonts w:ascii="Arial" w:eastAsia="Times New Roman" w:hAnsi="Arial" w:cs="Arial"/>
              </w:rPr>
            </w:pPr>
            <w:r w:rsidRPr="00010D92">
              <w:rPr>
                <w:rFonts w:ascii="Arial" w:eastAsia="Times New Roman" w:hAnsi="Arial" w:cs="Arial"/>
                <w:noProof/>
              </w:rPr>
              <w:drawing>
                <wp:inline distT="0" distB="0" distL="0" distR="0" wp14:anchorId="72ADAB09" wp14:editId="1C0D2069">
                  <wp:extent cx="2154808" cy="1638300"/>
                  <wp:effectExtent l="0" t="0" r="0" b="0"/>
                  <wp:docPr id="18253830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383098" name=""/>
                          <pic:cNvPicPr/>
                        </pic:nvPicPr>
                        <pic:blipFill>
                          <a:blip r:embed="rId10"/>
                          <a:stretch>
                            <a:fillRect/>
                          </a:stretch>
                        </pic:blipFill>
                        <pic:spPr>
                          <a:xfrm>
                            <a:off x="0" y="0"/>
                            <a:ext cx="2157481" cy="1640333"/>
                          </a:xfrm>
                          <a:prstGeom prst="rect">
                            <a:avLst/>
                          </a:prstGeom>
                        </pic:spPr>
                      </pic:pic>
                    </a:graphicData>
                  </a:graphic>
                </wp:inline>
              </w:drawing>
            </w:r>
          </w:p>
        </w:tc>
        <w:tc>
          <w:tcPr>
            <w:tcW w:w="5151" w:type="dxa"/>
          </w:tcPr>
          <w:p w14:paraId="49857945" w14:textId="37566F84" w:rsidR="00010D92" w:rsidRDefault="00010D92" w:rsidP="00EC5AFA">
            <w:pPr>
              <w:spacing w:line="312" w:lineRule="auto"/>
              <w:jc w:val="both"/>
              <w:rPr>
                <w:rFonts w:ascii="Arial" w:eastAsia="Times New Roman" w:hAnsi="Arial" w:cs="Arial"/>
              </w:rPr>
            </w:pPr>
            <w:r w:rsidRPr="00010D92">
              <w:rPr>
                <w:rFonts w:ascii="Arial" w:eastAsia="Times New Roman" w:hAnsi="Arial" w:cs="Arial"/>
                <w:noProof/>
              </w:rPr>
              <w:drawing>
                <wp:inline distT="0" distB="0" distL="0" distR="0" wp14:anchorId="0A00E656" wp14:editId="1B8092E1">
                  <wp:extent cx="3532553" cy="1571625"/>
                  <wp:effectExtent l="0" t="0" r="0" b="0"/>
                  <wp:docPr id="15596174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617481" name=""/>
                          <pic:cNvPicPr/>
                        </pic:nvPicPr>
                        <pic:blipFill>
                          <a:blip r:embed="rId11"/>
                          <a:stretch>
                            <a:fillRect/>
                          </a:stretch>
                        </pic:blipFill>
                        <pic:spPr>
                          <a:xfrm>
                            <a:off x="0" y="0"/>
                            <a:ext cx="3553690" cy="1581029"/>
                          </a:xfrm>
                          <a:prstGeom prst="rect">
                            <a:avLst/>
                          </a:prstGeom>
                        </pic:spPr>
                      </pic:pic>
                    </a:graphicData>
                  </a:graphic>
                </wp:inline>
              </w:drawing>
            </w:r>
          </w:p>
        </w:tc>
      </w:tr>
    </w:tbl>
    <w:p w14:paraId="7D107DD0" w14:textId="77777777" w:rsidR="002C3F8F" w:rsidRDefault="002C3F8F" w:rsidP="00EE59EF">
      <w:pPr>
        <w:spacing w:line="312" w:lineRule="auto"/>
        <w:jc w:val="both"/>
        <w:rPr>
          <w:rFonts w:ascii="Arial" w:eastAsia="Times New Roman" w:hAnsi="Arial" w:cs="Arial"/>
        </w:rPr>
      </w:pPr>
    </w:p>
    <w:p w14:paraId="2A7F6D31" w14:textId="58294D9D" w:rsidR="002C3F8F" w:rsidRDefault="009479AF" w:rsidP="00EE59EF">
      <w:pPr>
        <w:spacing w:line="312" w:lineRule="auto"/>
        <w:jc w:val="both"/>
        <w:rPr>
          <w:rFonts w:ascii="Arial" w:eastAsia="Times New Roman" w:hAnsi="Arial" w:cs="Arial"/>
        </w:rPr>
      </w:pPr>
      <w:r>
        <w:rPr>
          <w:rFonts w:ascii="Arial" w:eastAsia="Times New Roman" w:hAnsi="Arial" w:cs="Arial"/>
        </w:rPr>
        <w:t xml:space="preserve">Lo anterior deja claro el paso de más de dos años entre un </w:t>
      </w:r>
      <w:r w:rsidR="00194282">
        <w:rPr>
          <w:rFonts w:ascii="Arial" w:eastAsia="Times New Roman" w:hAnsi="Arial" w:cs="Arial"/>
        </w:rPr>
        <w:t>momento</w:t>
      </w:r>
      <w:r>
        <w:rPr>
          <w:rFonts w:ascii="Arial" w:eastAsia="Times New Roman" w:hAnsi="Arial" w:cs="Arial"/>
        </w:rPr>
        <w:t xml:space="preserve"> y otr</w:t>
      </w:r>
      <w:r w:rsidR="00194282">
        <w:rPr>
          <w:rFonts w:ascii="Arial" w:eastAsia="Times New Roman" w:hAnsi="Arial" w:cs="Arial"/>
        </w:rPr>
        <w:t>o</w:t>
      </w:r>
      <w:r>
        <w:rPr>
          <w:rFonts w:ascii="Arial" w:eastAsia="Times New Roman" w:hAnsi="Arial" w:cs="Arial"/>
        </w:rPr>
        <w:t>, s</w:t>
      </w:r>
      <w:r w:rsidR="00010D92">
        <w:rPr>
          <w:rFonts w:ascii="Arial" w:eastAsia="Times New Roman" w:hAnsi="Arial" w:cs="Arial"/>
        </w:rPr>
        <w:t xml:space="preserve">in embargo, salta a la vista </w:t>
      </w:r>
      <w:r w:rsidR="00010D92">
        <w:rPr>
          <w:rFonts w:ascii="Arial" w:eastAsia="Times New Roman" w:hAnsi="Arial" w:cs="Arial"/>
        </w:rPr>
        <w:lastRenderedPageBreak/>
        <w:t xml:space="preserve">que en una de las fechas (la de la </w:t>
      </w:r>
      <w:r w:rsidR="003D35D7">
        <w:rPr>
          <w:rFonts w:ascii="Arial" w:eastAsia="Times New Roman" w:hAnsi="Arial" w:cs="Arial"/>
        </w:rPr>
        <w:t>izquierda</w:t>
      </w:r>
      <w:r w:rsidR="00010D92">
        <w:rPr>
          <w:rFonts w:ascii="Arial" w:eastAsia="Times New Roman" w:hAnsi="Arial" w:cs="Arial"/>
        </w:rPr>
        <w:t xml:space="preserve">) no se observa el año, y en la otra (la de la </w:t>
      </w:r>
      <w:r w:rsidR="00F04FFB">
        <w:rPr>
          <w:rFonts w:ascii="Arial" w:eastAsia="Times New Roman" w:hAnsi="Arial" w:cs="Arial"/>
        </w:rPr>
        <w:t>derech</w:t>
      </w:r>
      <w:r w:rsidR="00010D92">
        <w:rPr>
          <w:rFonts w:ascii="Arial" w:eastAsia="Times New Roman" w:hAnsi="Arial" w:cs="Arial"/>
        </w:rPr>
        <w:t>a) no se observa el mes</w:t>
      </w:r>
      <w:r w:rsidR="00980A6B">
        <w:rPr>
          <w:rFonts w:ascii="Arial" w:eastAsia="Times New Roman" w:hAnsi="Arial" w:cs="Arial"/>
        </w:rPr>
        <w:t>.</w:t>
      </w:r>
      <w:r w:rsidR="00010D92">
        <w:rPr>
          <w:rFonts w:ascii="Arial" w:eastAsia="Times New Roman" w:hAnsi="Arial" w:cs="Arial"/>
        </w:rPr>
        <w:t xml:space="preserve"> </w:t>
      </w:r>
      <w:r w:rsidR="00980A6B">
        <w:rPr>
          <w:rFonts w:ascii="Arial" w:eastAsia="Times New Roman" w:hAnsi="Arial" w:cs="Arial"/>
        </w:rPr>
        <w:t>S</w:t>
      </w:r>
      <w:r w:rsidR="00010D92">
        <w:rPr>
          <w:rFonts w:ascii="Arial" w:eastAsia="Times New Roman" w:hAnsi="Arial" w:cs="Arial"/>
        </w:rPr>
        <w:t xml:space="preserve">umado a ello, surge otra incongruencia, y es que el certificado de recepción de la solicitud está fechado un día antes de </w:t>
      </w:r>
      <w:r w:rsidR="004A693E">
        <w:rPr>
          <w:rFonts w:ascii="Arial" w:eastAsia="Times New Roman" w:hAnsi="Arial" w:cs="Arial"/>
        </w:rPr>
        <w:t>que</w:t>
      </w:r>
      <w:r w:rsidR="00010D92">
        <w:rPr>
          <w:rFonts w:ascii="Arial" w:eastAsia="Times New Roman" w:hAnsi="Arial" w:cs="Arial"/>
        </w:rPr>
        <w:t xml:space="preserve"> presunta</w:t>
      </w:r>
      <w:r w:rsidR="004A693E">
        <w:rPr>
          <w:rFonts w:ascii="Arial" w:eastAsia="Times New Roman" w:hAnsi="Arial" w:cs="Arial"/>
        </w:rPr>
        <w:t>mente</w:t>
      </w:r>
      <w:r w:rsidR="00010D92">
        <w:rPr>
          <w:rFonts w:ascii="Arial" w:eastAsia="Times New Roman" w:hAnsi="Arial" w:cs="Arial"/>
        </w:rPr>
        <w:t xml:space="preserve"> </w:t>
      </w:r>
      <w:r w:rsidR="004A693E">
        <w:rPr>
          <w:rFonts w:ascii="Arial" w:eastAsia="Times New Roman" w:hAnsi="Arial" w:cs="Arial"/>
        </w:rPr>
        <w:t>dio</w:t>
      </w:r>
      <w:r w:rsidR="00010D92">
        <w:rPr>
          <w:rFonts w:ascii="Arial" w:eastAsia="Times New Roman" w:hAnsi="Arial" w:cs="Arial"/>
        </w:rPr>
        <w:t xml:space="preserve">, pues si la misma </w:t>
      </w:r>
      <w:r w:rsidR="00005101">
        <w:rPr>
          <w:rFonts w:ascii="Arial" w:eastAsia="Times New Roman" w:hAnsi="Arial" w:cs="Arial"/>
        </w:rPr>
        <w:t>ocurrió</w:t>
      </w:r>
      <w:r w:rsidR="00010D92">
        <w:rPr>
          <w:rFonts w:ascii="Arial" w:eastAsia="Times New Roman" w:hAnsi="Arial" w:cs="Arial"/>
        </w:rPr>
        <w:t xml:space="preserve"> el 26 de abril de 2017, no tiene sentido que el 25 de abril de 2017</w:t>
      </w:r>
      <w:r w:rsidR="00005101">
        <w:rPr>
          <w:rFonts w:ascii="Arial" w:eastAsia="Times New Roman" w:hAnsi="Arial" w:cs="Arial"/>
        </w:rPr>
        <w:t>, la Procuraduría</w:t>
      </w:r>
      <w:r w:rsidR="00010D92">
        <w:rPr>
          <w:rFonts w:ascii="Arial" w:eastAsia="Times New Roman" w:hAnsi="Arial" w:cs="Arial"/>
        </w:rPr>
        <w:t xml:space="preserve"> esté c</w:t>
      </w:r>
      <w:r w:rsidR="00005101">
        <w:rPr>
          <w:rFonts w:ascii="Arial" w:eastAsia="Times New Roman" w:hAnsi="Arial" w:cs="Arial"/>
        </w:rPr>
        <w:t>onfirmando</w:t>
      </w:r>
      <w:r w:rsidR="00010D92">
        <w:rPr>
          <w:rFonts w:ascii="Arial" w:eastAsia="Times New Roman" w:hAnsi="Arial" w:cs="Arial"/>
        </w:rPr>
        <w:t xml:space="preserve"> que se envió y/o </w:t>
      </w:r>
      <w:r w:rsidR="00005101">
        <w:rPr>
          <w:rFonts w:ascii="Arial" w:eastAsia="Times New Roman" w:hAnsi="Arial" w:cs="Arial"/>
        </w:rPr>
        <w:t>r</w:t>
      </w:r>
      <w:r w:rsidR="00010D92">
        <w:rPr>
          <w:rFonts w:ascii="Arial" w:eastAsia="Times New Roman" w:hAnsi="Arial" w:cs="Arial"/>
        </w:rPr>
        <w:t>ec</w:t>
      </w:r>
      <w:r w:rsidR="00005101">
        <w:rPr>
          <w:rFonts w:ascii="Arial" w:eastAsia="Times New Roman" w:hAnsi="Arial" w:cs="Arial"/>
        </w:rPr>
        <w:t>ibi</w:t>
      </w:r>
      <w:r w:rsidR="00010D92">
        <w:rPr>
          <w:rFonts w:ascii="Arial" w:eastAsia="Times New Roman" w:hAnsi="Arial" w:cs="Arial"/>
        </w:rPr>
        <w:t>ó la misma</w:t>
      </w:r>
      <w:r w:rsidR="00005101">
        <w:rPr>
          <w:rFonts w:ascii="Arial" w:eastAsia="Times New Roman" w:hAnsi="Arial" w:cs="Arial"/>
        </w:rPr>
        <w:t xml:space="preserve"> por cualquier otra entidad</w:t>
      </w:r>
      <w:r w:rsidR="00010D92">
        <w:rPr>
          <w:rFonts w:ascii="Arial" w:eastAsia="Times New Roman" w:hAnsi="Arial" w:cs="Arial"/>
        </w:rPr>
        <w:t>,</w:t>
      </w:r>
      <w:r w:rsidR="008A3096">
        <w:rPr>
          <w:rFonts w:ascii="Arial" w:eastAsia="Times New Roman" w:hAnsi="Arial" w:cs="Arial"/>
        </w:rPr>
        <w:t xml:space="preserve"> porque de forma lógica, a ese momento no debería tener conocimiento del caso ni de sus actuaciones</w:t>
      </w:r>
      <w:r w:rsidR="00010D92">
        <w:rPr>
          <w:rFonts w:ascii="Arial" w:eastAsia="Times New Roman" w:hAnsi="Arial" w:cs="Arial"/>
        </w:rPr>
        <w:t xml:space="preserve"> véase: </w:t>
      </w:r>
    </w:p>
    <w:p w14:paraId="695566C1" w14:textId="77777777" w:rsidR="00010D92" w:rsidRDefault="00010D92" w:rsidP="00EE59EF">
      <w:pPr>
        <w:spacing w:line="312" w:lineRule="auto"/>
        <w:jc w:val="both"/>
        <w:rPr>
          <w:rFonts w:ascii="Arial" w:eastAsia="Times New Roman" w:hAnsi="Arial" w:cs="Arial"/>
        </w:rPr>
      </w:pPr>
    </w:p>
    <w:p w14:paraId="08897736" w14:textId="50BE482E" w:rsidR="00010D92" w:rsidRDefault="00010D92" w:rsidP="00010D92">
      <w:pPr>
        <w:spacing w:line="312" w:lineRule="auto"/>
        <w:jc w:val="center"/>
        <w:rPr>
          <w:rFonts w:ascii="Arial" w:eastAsia="Times New Roman" w:hAnsi="Arial" w:cs="Arial"/>
        </w:rPr>
      </w:pPr>
      <w:r w:rsidRPr="00010D92">
        <w:rPr>
          <w:rFonts w:ascii="Arial" w:eastAsia="Times New Roman" w:hAnsi="Arial" w:cs="Arial"/>
          <w:noProof/>
        </w:rPr>
        <w:drawing>
          <wp:inline distT="0" distB="0" distL="0" distR="0" wp14:anchorId="2EE3DAA3" wp14:editId="4CA45F80">
            <wp:extent cx="4914898" cy="1699080"/>
            <wp:effectExtent l="0" t="0" r="635" b="0"/>
            <wp:docPr id="1580587581" name="Imagen 1" descr="Interfaz de usuario gráfica,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587581" name="Imagen 1" descr="Interfaz de usuario gráfica, Texto&#10;&#10;El contenido generado por IA puede ser incorrecto."/>
                    <pic:cNvPicPr/>
                  </pic:nvPicPr>
                  <pic:blipFill>
                    <a:blip r:embed="rId12"/>
                    <a:stretch>
                      <a:fillRect/>
                    </a:stretch>
                  </pic:blipFill>
                  <pic:spPr>
                    <a:xfrm>
                      <a:off x="0" y="0"/>
                      <a:ext cx="4929796" cy="1704230"/>
                    </a:xfrm>
                    <a:prstGeom prst="rect">
                      <a:avLst/>
                    </a:prstGeom>
                  </pic:spPr>
                </pic:pic>
              </a:graphicData>
            </a:graphic>
          </wp:inline>
        </w:drawing>
      </w:r>
    </w:p>
    <w:p w14:paraId="33B4595B" w14:textId="77777777" w:rsidR="002C3F8F" w:rsidRDefault="002C3F8F" w:rsidP="00EE59EF">
      <w:pPr>
        <w:spacing w:line="312" w:lineRule="auto"/>
        <w:jc w:val="both"/>
        <w:rPr>
          <w:rFonts w:ascii="Arial" w:eastAsia="Times New Roman" w:hAnsi="Arial" w:cs="Arial"/>
        </w:rPr>
      </w:pPr>
    </w:p>
    <w:p w14:paraId="0B3F68E8" w14:textId="21EAE77F" w:rsidR="002C3F8F" w:rsidRDefault="00D50541" w:rsidP="00EE59EF">
      <w:pPr>
        <w:spacing w:line="312" w:lineRule="auto"/>
        <w:jc w:val="both"/>
        <w:rPr>
          <w:rFonts w:ascii="Arial" w:eastAsia="Times New Roman" w:hAnsi="Arial" w:cs="Arial"/>
        </w:rPr>
      </w:pPr>
      <w:r>
        <w:rPr>
          <w:rFonts w:ascii="Arial" w:eastAsia="Times New Roman" w:hAnsi="Arial" w:cs="Arial"/>
        </w:rPr>
        <w:t xml:space="preserve">Y sabemos que las fechas advertidas son las relativas al caso, porque posteriormente </w:t>
      </w:r>
      <w:r w:rsidR="00C6309B">
        <w:rPr>
          <w:rFonts w:ascii="Arial" w:eastAsia="Times New Roman" w:hAnsi="Arial" w:cs="Arial"/>
        </w:rPr>
        <w:t>la constancia de retiro de los expedientes hace mención al caso puntual:</w:t>
      </w:r>
    </w:p>
    <w:p w14:paraId="755EADFB" w14:textId="77777777" w:rsidR="0082757B" w:rsidRDefault="0082757B" w:rsidP="00EE59EF">
      <w:pPr>
        <w:spacing w:line="312" w:lineRule="auto"/>
        <w:jc w:val="both"/>
        <w:rPr>
          <w:rFonts w:ascii="Arial" w:eastAsia="Times New Roman" w:hAnsi="Arial" w:cs="Arial"/>
        </w:rPr>
      </w:pPr>
    </w:p>
    <w:p w14:paraId="212616EB" w14:textId="624B9148" w:rsidR="0082757B" w:rsidRDefault="0082757B" w:rsidP="0082757B">
      <w:pPr>
        <w:spacing w:line="312" w:lineRule="auto"/>
        <w:jc w:val="center"/>
        <w:rPr>
          <w:rFonts w:ascii="Arial" w:eastAsia="Times New Roman" w:hAnsi="Arial" w:cs="Arial"/>
        </w:rPr>
      </w:pPr>
      <w:r w:rsidRPr="0082757B">
        <w:rPr>
          <w:rFonts w:ascii="Arial" w:eastAsia="Times New Roman" w:hAnsi="Arial" w:cs="Arial"/>
          <w:noProof/>
        </w:rPr>
        <w:drawing>
          <wp:inline distT="0" distB="0" distL="0" distR="0" wp14:anchorId="0811671A" wp14:editId="2AF416E0">
            <wp:extent cx="2695951" cy="724001"/>
            <wp:effectExtent l="0" t="0" r="9525" b="0"/>
            <wp:docPr id="2408373" name="Imagen 1" descr="Interfaz de usuario gráfica, Texto,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8373" name="Imagen 1" descr="Interfaz de usuario gráfica, Texto, Aplicación&#10;&#10;El contenido generado por IA puede ser incorrecto."/>
                    <pic:cNvPicPr/>
                  </pic:nvPicPr>
                  <pic:blipFill>
                    <a:blip r:embed="rId13"/>
                    <a:stretch>
                      <a:fillRect/>
                    </a:stretch>
                  </pic:blipFill>
                  <pic:spPr>
                    <a:xfrm>
                      <a:off x="0" y="0"/>
                      <a:ext cx="2695951" cy="724001"/>
                    </a:xfrm>
                    <a:prstGeom prst="rect">
                      <a:avLst/>
                    </a:prstGeom>
                  </pic:spPr>
                </pic:pic>
              </a:graphicData>
            </a:graphic>
          </wp:inline>
        </w:drawing>
      </w:r>
    </w:p>
    <w:p w14:paraId="58C635CF" w14:textId="3C6EFF8B" w:rsidR="0082757B" w:rsidRDefault="0082757B" w:rsidP="0082757B">
      <w:pPr>
        <w:spacing w:line="312" w:lineRule="auto"/>
        <w:jc w:val="center"/>
        <w:rPr>
          <w:rFonts w:ascii="Arial" w:eastAsia="Times New Roman" w:hAnsi="Arial" w:cs="Arial"/>
        </w:rPr>
      </w:pPr>
      <w:r w:rsidRPr="0082757B">
        <w:rPr>
          <w:rFonts w:ascii="Arial" w:eastAsia="Times New Roman" w:hAnsi="Arial" w:cs="Arial"/>
          <w:noProof/>
        </w:rPr>
        <w:drawing>
          <wp:inline distT="0" distB="0" distL="0" distR="0" wp14:anchorId="094E4666" wp14:editId="371A1144">
            <wp:extent cx="4438651" cy="1290211"/>
            <wp:effectExtent l="0" t="0" r="0" b="5715"/>
            <wp:docPr id="1658130687" name="Imagen 1" descr="Texto, Cart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130687" name="Imagen 1" descr="Texto, Carta&#10;&#10;El contenido generado por IA puede ser incorrecto."/>
                    <pic:cNvPicPr/>
                  </pic:nvPicPr>
                  <pic:blipFill>
                    <a:blip r:embed="rId14"/>
                    <a:stretch>
                      <a:fillRect/>
                    </a:stretch>
                  </pic:blipFill>
                  <pic:spPr>
                    <a:xfrm>
                      <a:off x="0" y="0"/>
                      <a:ext cx="4448880" cy="1293184"/>
                    </a:xfrm>
                    <a:prstGeom prst="rect">
                      <a:avLst/>
                    </a:prstGeom>
                  </pic:spPr>
                </pic:pic>
              </a:graphicData>
            </a:graphic>
          </wp:inline>
        </w:drawing>
      </w:r>
    </w:p>
    <w:p w14:paraId="55E8E10B" w14:textId="77777777" w:rsidR="002C3F8F" w:rsidRDefault="002C3F8F" w:rsidP="00EE59EF">
      <w:pPr>
        <w:spacing w:line="312" w:lineRule="auto"/>
        <w:jc w:val="both"/>
        <w:rPr>
          <w:rFonts w:ascii="Arial" w:eastAsia="Times New Roman" w:hAnsi="Arial" w:cs="Arial"/>
        </w:rPr>
      </w:pPr>
    </w:p>
    <w:p w14:paraId="4EBC054A" w14:textId="54D9AC63" w:rsidR="007A5C48" w:rsidRDefault="00B55403" w:rsidP="00EE59EF">
      <w:pPr>
        <w:spacing w:line="312" w:lineRule="auto"/>
        <w:jc w:val="both"/>
        <w:rPr>
          <w:rFonts w:ascii="Arial" w:eastAsia="Times New Roman" w:hAnsi="Arial" w:cs="Arial"/>
        </w:rPr>
      </w:pPr>
      <w:r>
        <w:rPr>
          <w:rFonts w:ascii="Arial" w:eastAsia="Times New Roman" w:hAnsi="Arial" w:cs="Arial"/>
        </w:rPr>
        <w:t xml:space="preserve">Finalmente, debe decirse que las plurimencionadas constancias y/o certificaciones, no hacen alusión a que </w:t>
      </w:r>
      <w:r w:rsidR="0067499E">
        <w:rPr>
          <w:rFonts w:ascii="Arial" w:eastAsia="Times New Roman" w:hAnsi="Arial" w:cs="Arial"/>
        </w:rPr>
        <w:t>la solicitud de conciliación</w:t>
      </w:r>
      <w:r w:rsidR="007721BA">
        <w:rPr>
          <w:rFonts w:ascii="Arial" w:eastAsia="Times New Roman" w:hAnsi="Arial" w:cs="Arial"/>
        </w:rPr>
        <w:t xml:space="preserve"> </w:t>
      </w:r>
      <w:r w:rsidR="0067499E">
        <w:rPr>
          <w:rFonts w:ascii="Arial" w:eastAsia="Times New Roman" w:hAnsi="Arial" w:cs="Arial"/>
        </w:rPr>
        <w:t xml:space="preserve">-propiamente- </w:t>
      </w:r>
      <w:r w:rsidR="007721BA">
        <w:rPr>
          <w:rFonts w:ascii="Arial" w:eastAsia="Times New Roman" w:hAnsi="Arial" w:cs="Arial"/>
        </w:rPr>
        <w:t xml:space="preserve">haya sido comunicada a la autoridad convocada, pues como se ve en una de ellas, la prueba </w:t>
      </w:r>
      <w:r w:rsidR="00667C49" w:rsidRPr="00667C49">
        <w:rPr>
          <w:rFonts w:ascii="Arial" w:eastAsia="Times New Roman" w:hAnsi="Arial" w:cs="Arial"/>
          <w:b/>
          <w:bCs/>
          <w:u w:val="single"/>
        </w:rPr>
        <w:t>sólo</w:t>
      </w:r>
      <w:r w:rsidR="00667C49">
        <w:rPr>
          <w:rFonts w:ascii="Arial" w:eastAsia="Times New Roman" w:hAnsi="Arial" w:cs="Arial"/>
        </w:rPr>
        <w:t xml:space="preserve"> </w:t>
      </w:r>
      <w:r w:rsidR="007721BA">
        <w:rPr>
          <w:rFonts w:ascii="Arial" w:eastAsia="Times New Roman" w:hAnsi="Arial" w:cs="Arial"/>
        </w:rPr>
        <w:t>recae sobre la comunicación a la Agencia Nacional de Defensa Jurídica del Estado, pero no al ente territorial</w:t>
      </w:r>
      <w:r w:rsidR="00A70118">
        <w:rPr>
          <w:rFonts w:ascii="Arial" w:eastAsia="Times New Roman" w:hAnsi="Arial" w:cs="Arial"/>
        </w:rPr>
        <w:t>.</w:t>
      </w:r>
    </w:p>
    <w:p w14:paraId="2C26004D" w14:textId="77777777" w:rsidR="00A70118" w:rsidRDefault="00A70118" w:rsidP="00EE59EF">
      <w:pPr>
        <w:spacing w:line="312" w:lineRule="auto"/>
        <w:jc w:val="both"/>
        <w:rPr>
          <w:rFonts w:ascii="Arial" w:eastAsia="Times New Roman" w:hAnsi="Arial" w:cs="Arial"/>
        </w:rPr>
      </w:pPr>
    </w:p>
    <w:p w14:paraId="44F28963" w14:textId="53B7EC00" w:rsidR="00A70118" w:rsidRDefault="00A70118" w:rsidP="00EE59EF">
      <w:pPr>
        <w:spacing w:line="312" w:lineRule="auto"/>
        <w:jc w:val="both"/>
        <w:rPr>
          <w:rFonts w:ascii="Arial" w:eastAsia="Times New Roman" w:hAnsi="Arial" w:cs="Arial"/>
        </w:rPr>
      </w:pPr>
      <w:r>
        <w:rPr>
          <w:rFonts w:ascii="Arial" w:eastAsia="Times New Roman" w:hAnsi="Arial" w:cs="Arial"/>
        </w:rPr>
        <w:t xml:space="preserve">En este hilo de argumentos, y tras haberse planteado todas las dudas/incongruencias que </w:t>
      </w:r>
      <w:r w:rsidR="006C208A">
        <w:rPr>
          <w:rFonts w:ascii="Arial" w:eastAsia="Times New Roman" w:hAnsi="Arial" w:cs="Arial"/>
        </w:rPr>
        <w:t xml:space="preserve">exhiben los documentos que señala </w:t>
      </w:r>
      <w:r w:rsidR="00970DE3">
        <w:rPr>
          <w:rFonts w:ascii="Arial" w:eastAsia="Times New Roman" w:hAnsi="Arial" w:cs="Arial"/>
        </w:rPr>
        <w:t xml:space="preserve">el despacho hacen que la solicitud probatoria sea “innecesaria”, resulta </w:t>
      </w:r>
      <w:r w:rsidR="0047145C">
        <w:rPr>
          <w:rFonts w:ascii="Arial" w:eastAsia="Times New Roman" w:hAnsi="Arial" w:cs="Arial"/>
        </w:rPr>
        <w:t>evidente</w:t>
      </w:r>
      <w:r w:rsidR="00970DE3">
        <w:rPr>
          <w:rFonts w:ascii="Arial" w:eastAsia="Times New Roman" w:hAnsi="Arial" w:cs="Arial"/>
        </w:rPr>
        <w:t xml:space="preserve"> que ello no tiene asidero, y </w:t>
      </w:r>
      <w:r w:rsidR="00B623DE">
        <w:rPr>
          <w:rFonts w:ascii="Arial" w:eastAsia="Times New Roman" w:hAnsi="Arial" w:cs="Arial"/>
        </w:rPr>
        <w:t xml:space="preserve">que </w:t>
      </w:r>
      <w:r w:rsidR="00970DE3">
        <w:rPr>
          <w:rFonts w:ascii="Arial" w:eastAsia="Times New Roman" w:hAnsi="Arial" w:cs="Arial"/>
        </w:rPr>
        <w:t xml:space="preserve">se hace necesario </w:t>
      </w:r>
      <w:r w:rsidR="00BB3BF4">
        <w:rPr>
          <w:rFonts w:ascii="Arial" w:eastAsia="Times New Roman" w:hAnsi="Arial" w:cs="Arial"/>
        </w:rPr>
        <w:t>que el órgano de control</w:t>
      </w:r>
      <w:r w:rsidR="001333D7">
        <w:rPr>
          <w:rFonts w:ascii="Arial" w:eastAsia="Times New Roman" w:hAnsi="Arial" w:cs="Arial"/>
        </w:rPr>
        <w:t>, efectú</w:t>
      </w:r>
      <w:r w:rsidR="00B623DE">
        <w:rPr>
          <w:rFonts w:ascii="Arial" w:eastAsia="Times New Roman" w:hAnsi="Arial" w:cs="Arial"/>
        </w:rPr>
        <w:t>e</w:t>
      </w:r>
      <w:r w:rsidR="001333D7">
        <w:rPr>
          <w:rFonts w:ascii="Arial" w:eastAsia="Times New Roman" w:hAnsi="Arial" w:cs="Arial"/>
        </w:rPr>
        <w:t xml:space="preserve"> la </w:t>
      </w:r>
      <w:r w:rsidR="0047145C">
        <w:rPr>
          <w:rFonts w:ascii="Arial" w:eastAsia="Times New Roman" w:hAnsi="Arial" w:cs="Arial"/>
        </w:rPr>
        <w:t xml:space="preserve">claridad sobre los puntos en </w:t>
      </w:r>
      <w:r w:rsidR="003E7F42">
        <w:rPr>
          <w:rFonts w:ascii="Arial" w:eastAsia="Times New Roman" w:hAnsi="Arial" w:cs="Arial"/>
        </w:rPr>
        <w:t xml:space="preserve">discusión, y para ello se permita remitir al proceso </w:t>
      </w:r>
      <w:r w:rsidR="00B623DE">
        <w:rPr>
          <w:rFonts w:ascii="Arial" w:eastAsia="Times New Roman" w:hAnsi="Arial" w:cs="Arial"/>
        </w:rPr>
        <w:t>l</w:t>
      </w:r>
      <w:r w:rsidR="003E7F42">
        <w:rPr>
          <w:rFonts w:ascii="Arial" w:eastAsia="Times New Roman" w:hAnsi="Arial" w:cs="Arial"/>
        </w:rPr>
        <w:t xml:space="preserve">a respuesta </w:t>
      </w:r>
      <w:r w:rsidR="00B623DE">
        <w:rPr>
          <w:rFonts w:ascii="Arial" w:eastAsia="Times New Roman" w:hAnsi="Arial" w:cs="Arial"/>
        </w:rPr>
        <w:t>a</w:t>
      </w:r>
      <w:r w:rsidR="003E7F42">
        <w:rPr>
          <w:rFonts w:ascii="Arial" w:eastAsia="Times New Roman" w:hAnsi="Arial" w:cs="Arial"/>
        </w:rPr>
        <w:t xml:space="preserve"> las preguntas planteadas en la solicitud</w:t>
      </w:r>
      <w:r w:rsidR="00B623DE">
        <w:rPr>
          <w:rFonts w:ascii="Arial" w:eastAsia="Times New Roman" w:hAnsi="Arial" w:cs="Arial"/>
        </w:rPr>
        <w:t xml:space="preserve"> negada</w:t>
      </w:r>
      <w:r w:rsidR="003811C8">
        <w:rPr>
          <w:rFonts w:ascii="Arial" w:eastAsia="Times New Roman" w:hAnsi="Arial" w:cs="Arial"/>
        </w:rPr>
        <w:t xml:space="preserve">, a efectos de </w:t>
      </w:r>
      <w:r w:rsidR="00F036F7">
        <w:rPr>
          <w:rFonts w:ascii="Arial" w:eastAsia="Times New Roman" w:hAnsi="Arial" w:cs="Arial"/>
        </w:rPr>
        <w:t xml:space="preserve">evitar un posible </w:t>
      </w:r>
      <w:r w:rsidR="007D04DB">
        <w:rPr>
          <w:rFonts w:ascii="Arial" w:eastAsia="Times New Roman" w:hAnsi="Arial" w:cs="Arial"/>
        </w:rPr>
        <w:t xml:space="preserve">vacío probatorio que pueda ser usado </w:t>
      </w:r>
      <w:r w:rsidR="00B832C1">
        <w:rPr>
          <w:rFonts w:ascii="Arial" w:eastAsia="Times New Roman" w:hAnsi="Arial" w:cs="Arial"/>
        </w:rPr>
        <w:t xml:space="preserve">adelante en el proceso </w:t>
      </w:r>
      <w:r w:rsidR="007D04DB">
        <w:rPr>
          <w:rFonts w:ascii="Arial" w:eastAsia="Times New Roman" w:hAnsi="Arial" w:cs="Arial"/>
        </w:rPr>
        <w:t xml:space="preserve">para </w:t>
      </w:r>
      <w:r w:rsidR="00B832C1">
        <w:rPr>
          <w:rFonts w:ascii="Arial" w:eastAsia="Times New Roman" w:hAnsi="Arial" w:cs="Arial"/>
        </w:rPr>
        <w:t xml:space="preserve">pretender </w:t>
      </w:r>
      <w:r w:rsidR="00B11225">
        <w:rPr>
          <w:rFonts w:ascii="Arial" w:eastAsia="Times New Roman" w:hAnsi="Arial" w:cs="Arial"/>
        </w:rPr>
        <w:t xml:space="preserve">desestimar la </w:t>
      </w:r>
      <w:r w:rsidR="00E81392">
        <w:rPr>
          <w:rFonts w:ascii="Arial" w:eastAsia="Times New Roman" w:hAnsi="Arial" w:cs="Arial"/>
        </w:rPr>
        <w:t>incuestionable</w:t>
      </w:r>
      <w:r w:rsidR="00B72329">
        <w:rPr>
          <w:rFonts w:ascii="Arial" w:eastAsia="Times New Roman" w:hAnsi="Arial" w:cs="Arial"/>
        </w:rPr>
        <w:t xml:space="preserve"> </w:t>
      </w:r>
      <w:r w:rsidR="001871D3">
        <w:rPr>
          <w:rFonts w:ascii="Arial" w:eastAsia="Times New Roman" w:hAnsi="Arial" w:cs="Arial"/>
        </w:rPr>
        <w:t>acreditación de configuración de la prescripción de las acciones derivadas del contrato de seguro.</w:t>
      </w:r>
    </w:p>
    <w:p w14:paraId="7D2343C9" w14:textId="77777777" w:rsidR="00701FEC" w:rsidRDefault="00701FEC" w:rsidP="00EE59EF">
      <w:pPr>
        <w:spacing w:line="312" w:lineRule="auto"/>
        <w:jc w:val="both"/>
        <w:rPr>
          <w:rFonts w:ascii="Arial" w:eastAsia="Times New Roman" w:hAnsi="Arial" w:cs="Arial"/>
        </w:rPr>
      </w:pPr>
    </w:p>
    <w:p w14:paraId="26A598B3" w14:textId="58B50229" w:rsidR="00701FEC" w:rsidRDefault="00701FEC" w:rsidP="00EE59EF">
      <w:pPr>
        <w:spacing w:line="312" w:lineRule="auto"/>
        <w:jc w:val="both"/>
        <w:rPr>
          <w:rFonts w:ascii="Arial" w:eastAsia="Times New Roman" w:hAnsi="Arial" w:cs="Arial"/>
        </w:rPr>
      </w:pPr>
      <w:r>
        <w:rPr>
          <w:rFonts w:ascii="Arial" w:eastAsia="Times New Roman" w:hAnsi="Arial" w:cs="Arial"/>
        </w:rPr>
        <w:t xml:space="preserve">En los anteriores términos me permito </w:t>
      </w:r>
      <w:r w:rsidR="00C16176">
        <w:rPr>
          <w:rFonts w:ascii="Arial" w:eastAsia="Times New Roman" w:hAnsi="Arial" w:cs="Arial"/>
        </w:rPr>
        <w:t>presentar las siguientes</w:t>
      </w:r>
      <w:r w:rsidR="00DA15D4">
        <w:rPr>
          <w:rFonts w:ascii="Arial" w:eastAsia="Times New Roman" w:hAnsi="Arial" w:cs="Arial"/>
        </w:rPr>
        <w:t>:</w:t>
      </w:r>
    </w:p>
    <w:p w14:paraId="450F2722" w14:textId="77777777" w:rsidR="002C3F8F" w:rsidRPr="005B50D5" w:rsidRDefault="002C3F8F" w:rsidP="00EE59EF">
      <w:pPr>
        <w:spacing w:line="312" w:lineRule="auto"/>
        <w:jc w:val="both"/>
        <w:rPr>
          <w:rFonts w:ascii="Arial" w:eastAsia="Times New Roman" w:hAnsi="Arial" w:cs="Arial"/>
        </w:rPr>
      </w:pPr>
    </w:p>
    <w:p w14:paraId="0053C5A1" w14:textId="77777777" w:rsidR="00EE59EF" w:rsidRPr="002D2835" w:rsidRDefault="00EE59EF" w:rsidP="00EE59EF">
      <w:pPr>
        <w:spacing w:line="312" w:lineRule="auto"/>
        <w:jc w:val="center"/>
        <w:rPr>
          <w:rFonts w:ascii="Arial" w:hAnsi="Arial" w:cs="Arial"/>
          <w:u w:val="single"/>
        </w:rPr>
      </w:pPr>
      <w:r w:rsidRPr="002D2835">
        <w:rPr>
          <w:rFonts w:ascii="Arial" w:eastAsia="Arial" w:hAnsi="Arial" w:cs="Arial"/>
          <w:b/>
          <w:u w:val="single"/>
        </w:rPr>
        <w:t xml:space="preserve">CAPÍTULO </w:t>
      </w:r>
      <w:r>
        <w:rPr>
          <w:rFonts w:ascii="Arial" w:eastAsia="Arial" w:hAnsi="Arial" w:cs="Arial"/>
          <w:b/>
          <w:u w:val="single"/>
        </w:rPr>
        <w:t>III</w:t>
      </w:r>
      <w:r w:rsidRPr="002D2835">
        <w:rPr>
          <w:rFonts w:ascii="Arial" w:eastAsia="Arial" w:hAnsi="Arial" w:cs="Arial"/>
          <w:b/>
          <w:u w:val="single"/>
        </w:rPr>
        <w:t>. PETICIONES</w:t>
      </w:r>
    </w:p>
    <w:p w14:paraId="28D157C7" w14:textId="77777777" w:rsidR="00EE59EF" w:rsidRPr="002D2835" w:rsidRDefault="00EE59EF" w:rsidP="00EE59EF">
      <w:pPr>
        <w:spacing w:line="312" w:lineRule="auto"/>
        <w:rPr>
          <w:rFonts w:ascii="Arial" w:hAnsi="Arial" w:cs="Arial"/>
        </w:rPr>
      </w:pPr>
      <w:r w:rsidRPr="002D2835">
        <w:rPr>
          <w:rFonts w:ascii="Arial" w:eastAsia="Arial" w:hAnsi="Arial" w:cs="Arial"/>
          <w:b/>
        </w:rPr>
        <w:t xml:space="preserve"> </w:t>
      </w:r>
    </w:p>
    <w:p w14:paraId="0221402B" w14:textId="4FA9F8AD" w:rsidR="00EE59EF" w:rsidRPr="005B50D5" w:rsidRDefault="00EE59EF" w:rsidP="00EE59EF">
      <w:pPr>
        <w:spacing w:line="312" w:lineRule="auto"/>
        <w:jc w:val="both"/>
        <w:rPr>
          <w:rFonts w:ascii="Arial" w:hAnsi="Arial" w:cs="Arial"/>
        </w:rPr>
      </w:pPr>
      <w:r w:rsidRPr="002D2835">
        <w:rPr>
          <w:rFonts w:ascii="Arial" w:hAnsi="Arial" w:cs="Arial"/>
          <w:b/>
          <w:bCs/>
        </w:rPr>
        <w:t>PRIMERA</w:t>
      </w:r>
      <w:r w:rsidRPr="002D2835">
        <w:rPr>
          <w:rFonts w:ascii="Arial" w:hAnsi="Arial" w:cs="Arial"/>
        </w:rPr>
        <w:t xml:space="preserve">: Sírvase REPONER para REVOCAR la decisión contenida en el </w:t>
      </w:r>
      <w:r w:rsidRPr="003D1F53">
        <w:rPr>
          <w:rFonts w:ascii="Arial" w:hAnsi="Arial" w:cs="Arial"/>
        </w:rPr>
        <w:t xml:space="preserve">Auto No. </w:t>
      </w:r>
      <w:r w:rsidR="00C604DC">
        <w:rPr>
          <w:rFonts w:ascii="Arial" w:hAnsi="Arial" w:cs="Arial"/>
        </w:rPr>
        <w:t>493</w:t>
      </w:r>
      <w:r w:rsidRPr="003D1F53">
        <w:rPr>
          <w:rFonts w:ascii="Arial" w:hAnsi="Arial" w:cs="Arial"/>
        </w:rPr>
        <w:t xml:space="preserve"> del </w:t>
      </w:r>
      <w:r w:rsidR="00C604DC">
        <w:rPr>
          <w:rFonts w:ascii="Arial" w:hAnsi="Arial" w:cs="Arial"/>
        </w:rPr>
        <w:t>03</w:t>
      </w:r>
      <w:r w:rsidRPr="003D1F53">
        <w:rPr>
          <w:rFonts w:ascii="Arial" w:hAnsi="Arial" w:cs="Arial"/>
        </w:rPr>
        <w:t xml:space="preserve"> de ju</w:t>
      </w:r>
      <w:r w:rsidR="00C604DC">
        <w:rPr>
          <w:rFonts w:ascii="Arial" w:hAnsi="Arial" w:cs="Arial"/>
        </w:rPr>
        <w:t>l</w:t>
      </w:r>
      <w:r w:rsidRPr="003D1F53">
        <w:rPr>
          <w:rFonts w:ascii="Arial" w:hAnsi="Arial" w:cs="Arial"/>
        </w:rPr>
        <w:t>io de 2025</w:t>
      </w:r>
      <w:r w:rsidRPr="002D2835">
        <w:rPr>
          <w:rFonts w:ascii="Arial" w:hAnsi="Arial" w:cs="Arial"/>
        </w:rPr>
        <w:t xml:space="preserve">, </w:t>
      </w:r>
      <w:r w:rsidR="00C604DC">
        <w:rPr>
          <w:rFonts w:ascii="Arial" w:hAnsi="Arial" w:cs="Arial"/>
        </w:rPr>
        <w:t xml:space="preserve">el cual </w:t>
      </w:r>
      <w:r w:rsidRPr="002D2835">
        <w:rPr>
          <w:rFonts w:ascii="Arial" w:hAnsi="Arial" w:cs="Arial"/>
        </w:rPr>
        <w:t xml:space="preserve">en su parte resolutiva </w:t>
      </w:r>
      <w:r w:rsidR="00C604DC">
        <w:rPr>
          <w:rFonts w:ascii="Arial" w:hAnsi="Arial" w:cs="Arial"/>
        </w:rPr>
        <w:t xml:space="preserve">negó decretar la solicitud probatoria relacionada con oficiar a la Procuraduría 29 Judicial para Asuntos Administrativos a fin de que absolviera </w:t>
      </w:r>
      <w:r w:rsidR="00C10134">
        <w:rPr>
          <w:rFonts w:ascii="Arial" w:hAnsi="Arial" w:cs="Arial"/>
        </w:rPr>
        <w:t>el cuestionario planteado</w:t>
      </w:r>
      <w:r w:rsidR="00634B92">
        <w:rPr>
          <w:rFonts w:ascii="Arial" w:hAnsi="Arial" w:cs="Arial"/>
        </w:rPr>
        <w:t xml:space="preserve"> en la petición</w:t>
      </w:r>
      <w:r w:rsidRPr="002D2835">
        <w:rPr>
          <w:rFonts w:ascii="Arial" w:hAnsi="Arial" w:cs="Arial"/>
        </w:rPr>
        <w:t>.</w:t>
      </w:r>
      <w:r w:rsidRPr="005B50D5">
        <w:rPr>
          <w:rFonts w:ascii="Arial" w:hAnsi="Arial" w:cs="Arial"/>
        </w:rPr>
        <w:t xml:space="preserve"> </w:t>
      </w:r>
    </w:p>
    <w:p w14:paraId="50A76F70" w14:textId="77777777" w:rsidR="00EE59EF" w:rsidRPr="005B50D5" w:rsidRDefault="00EE59EF" w:rsidP="00EE59EF">
      <w:pPr>
        <w:spacing w:line="312" w:lineRule="auto"/>
        <w:jc w:val="both"/>
        <w:rPr>
          <w:rFonts w:ascii="Arial" w:hAnsi="Arial" w:cs="Arial"/>
        </w:rPr>
      </w:pPr>
    </w:p>
    <w:p w14:paraId="64167414" w14:textId="516494B3" w:rsidR="0071526E" w:rsidRDefault="00EE59EF" w:rsidP="0071526E">
      <w:pPr>
        <w:spacing w:line="312" w:lineRule="auto"/>
        <w:jc w:val="both"/>
        <w:rPr>
          <w:rFonts w:ascii="Arial" w:hAnsi="Arial" w:cs="Arial"/>
        </w:rPr>
      </w:pPr>
      <w:r w:rsidRPr="005B50D5">
        <w:rPr>
          <w:rFonts w:ascii="Arial" w:hAnsi="Arial" w:cs="Arial"/>
          <w:b/>
          <w:bCs/>
        </w:rPr>
        <w:t>SEGUNDA</w:t>
      </w:r>
      <w:r w:rsidRPr="005B50D5">
        <w:rPr>
          <w:rFonts w:ascii="Arial" w:hAnsi="Arial" w:cs="Arial"/>
        </w:rPr>
        <w:t xml:space="preserve">: </w:t>
      </w:r>
      <w:r w:rsidR="002C0139">
        <w:rPr>
          <w:rFonts w:ascii="Arial" w:hAnsi="Arial" w:cs="Arial"/>
        </w:rPr>
        <w:t>Consecuencia de lo anterior, s</w:t>
      </w:r>
      <w:r w:rsidRPr="002D2835">
        <w:rPr>
          <w:rFonts w:ascii="Arial" w:hAnsi="Arial" w:cs="Arial"/>
        </w:rPr>
        <w:t xml:space="preserve">írvase </w:t>
      </w:r>
      <w:r w:rsidR="005D08C2">
        <w:rPr>
          <w:rFonts w:ascii="Arial" w:hAnsi="Arial" w:cs="Arial"/>
        </w:rPr>
        <w:t xml:space="preserve">señor juez </w:t>
      </w:r>
      <w:r w:rsidR="0071526E" w:rsidRPr="0071526E">
        <w:rPr>
          <w:rFonts w:ascii="Arial" w:hAnsi="Arial" w:cs="Arial"/>
        </w:rPr>
        <w:t>ofici</w:t>
      </w:r>
      <w:r w:rsidR="004874C3">
        <w:rPr>
          <w:rFonts w:ascii="Arial" w:hAnsi="Arial" w:cs="Arial"/>
        </w:rPr>
        <w:t>ar</w:t>
      </w:r>
      <w:r w:rsidR="0071526E" w:rsidRPr="0071526E">
        <w:rPr>
          <w:rFonts w:ascii="Arial" w:hAnsi="Arial" w:cs="Arial"/>
        </w:rPr>
        <w:t xml:space="preserve"> a la Procuraduría 29 Judicial II para</w:t>
      </w:r>
      <w:r w:rsidR="0071526E">
        <w:rPr>
          <w:rFonts w:ascii="Arial" w:hAnsi="Arial" w:cs="Arial"/>
        </w:rPr>
        <w:t xml:space="preserve"> </w:t>
      </w:r>
      <w:r w:rsidR="0071526E" w:rsidRPr="0071526E">
        <w:rPr>
          <w:rFonts w:ascii="Arial" w:hAnsi="Arial" w:cs="Arial"/>
        </w:rPr>
        <w:t xml:space="preserve">Asuntos Administrativos, para que remita con destino al proceso, </w:t>
      </w:r>
      <w:r w:rsidR="0071526E">
        <w:rPr>
          <w:rFonts w:ascii="Arial" w:hAnsi="Arial" w:cs="Arial"/>
        </w:rPr>
        <w:t xml:space="preserve">un </w:t>
      </w:r>
      <w:r w:rsidR="0071526E" w:rsidRPr="0071526E">
        <w:rPr>
          <w:rFonts w:ascii="Arial" w:hAnsi="Arial" w:cs="Arial"/>
        </w:rPr>
        <w:t>informe</w:t>
      </w:r>
      <w:r w:rsidR="0071526E">
        <w:rPr>
          <w:rFonts w:ascii="Arial" w:hAnsi="Arial" w:cs="Arial"/>
        </w:rPr>
        <w:t xml:space="preserve"> en el </w:t>
      </w:r>
      <w:r w:rsidR="0071526E" w:rsidRPr="0071526E">
        <w:rPr>
          <w:rFonts w:ascii="Arial" w:hAnsi="Arial" w:cs="Arial"/>
        </w:rPr>
        <w:t>que absuelva el siguiente cuestionario:</w:t>
      </w:r>
    </w:p>
    <w:p w14:paraId="01E0214A" w14:textId="77777777" w:rsidR="0071526E" w:rsidRPr="0071526E" w:rsidRDefault="0071526E" w:rsidP="0071526E">
      <w:pPr>
        <w:spacing w:line="312" w:lineRule="auto"/>
        <w:jc w:val="both"/>
        <w:rPr>
          <w:rFonts w:ascii="Arial" w:hAnsi="Arial" w:cs="Arial"/>
        </w:rPr>
      </w:pPr>
    </w:p>
    <w:p w14:paraId="1C19DB0C" w14:textId="35EFFE24" w:rsidR="0071526E" w:rsidRPr="0071526E" w:rsidRDefault="0071526E" w:rsidP="0071526E">
      <w:pPr>
        <w:spacing w:line="312" w:lineRule="auto"/>
        <w:ind w:left="567" w:right="567"/>
        <w:jc w:val="both"/>
        <w:rPr>
          <w:rFonts w:ascii="Arial" w:hAnsi="Arial" w:cs="Arial"/>
          <w:i/>
          <w:iCs/>
        </w:rPr>
      </w:pPr>
      <w:r w:rsidRPr="0071526E">
        <w:rPr>
          <w:rFonts w:ascii="Arial" w:hAnsi="Arial" w:cs="Arial"/>
          <w:i/>
          <w:iCs/>
        </w:rPr>
        <w:t>1. ¿En qué fecha y hora fue radicada la solicitud prejudicial identificada bajo el número de expediente 609, en la que fungió como convocante el señor Andrés Mauricio Rincón Franco y como entidad convocada el Departamento de Caldas?</w:t>
      </w:r>
    </w:p>
    <w:p w14:paraId="56C00233" w14:textId="77777777" w:rsidR="0071526E" w:rsidRPr="0071526E" w:rsidRDefault="0071526E" w:rsidP="0071526E">
      <w:pPr>
        <w:spacing w:line="312" w:lineRule="auto"/>
        <w:ind w:left="567" w:right="567"/>
        <w:jc w:val="both"/>
        <w:rPr>
          <w:rFonts w:ascii="Arial" w:hAnsi="Arial" w:cs="Arial"/>
          <w:i/>
          <w:iCs/>
        </w:rPr>
      </w:pPr>
    </w:p>
    <w:p w14:paraId="503A29D1" w14:textId="686AA5AE" w:rsidR="0071526E" w:rsidRPr="0071526E" w:rsidRDefault="0071526E" w:rsidP="0071526E">
      <w:pPr>
        <w:spacing w:line="312" w:lineRule="auto"/>
        <w:ind w:left="567" w:right="567"/>
        <w:jc w:val="both"/>
        <w:rPr>
          <w:rFonts w:ascii="Arial" w:hAnsi="Arial" w:cs="Arial"/>
          <w:i/>
          <w:iCs/>
        </w:rPr>
      </w:pPr>
      <w:r w:rsidRPr="0071526E">
        <w:rPr>
          <w:rFonts w:ascii="Arial" w:hAnsi="Arial" w:cs="Arial"/>
          <w:i/>
          <w:iCs/>
        </w:rPr>
        <w:t>2. ¿Al momento de efectuarse la radicación de la solicitud de conciliación prejudicial antes distinguida, fue arrimada como prueba documental o anexo, la constancia de comunicación a la autoridad convocada?</w:t>
      </w:r>
    </w:p>
    <w:p w14:paraId="5922F851" w14:textId="77777777" w:rsidR="0071526E" w:rsidRPr="0071526E" w:rsidRDefault="0071526E" w:rsidP="0071526E">
      <w:pPr>
        <w:spacing w:line="312" w:lineRule="auto"/>
        <w:ind w:left="567" w:right="567"/>
        <w:jc w:val="both"/>
        <w:rPr>
          <w:rFonts w:ascii="Arial" w:hAnsi="Arial" w:cs="Arial"/>
          <w:i/>
          <w:iCs/>
        </w:rPr>
      </w:pPr>
    </w:p>
    <w:p w14:paraId="7A9E715D" w14:textId="5D0500A8" w:rsidR="00EE59EF" w:rsidRPr="0071526E" w:rsidRDefault="0071526E" w:rsidP="0071526E">
      <w:pPr>
        <w:spacing w:line="312" w:lineRule="auto"/>
        <w:ind w:left="567" w:right="567"/>
        <w:jc w:val="both"/>
        <w:rPr>
          <w:rFonts w:ascii="Arial" w:hAnsi="Arial" w:cs="Arial"/>
          <w:i/>
          <w:iCs/>
        </w:rPr>
      </w:pPr>
      <w:r w:rsidRPr="0071526E">
        <w:rPr>
          <w:rFonts w:ascii="Arial" w:hAnsi="Arial" w:cs="Arial"/>
          <w:i/>
          <w:iCs/>
        </w:rPr>
        <w:t>3. En caso afirmativo a la pregunta anterior: ¿Qué fecha y hora reposa en la constancia de la comunicación recibida por parte del Departamento de Caldas?</w:t>
      </w:r>
    </w:p>
    <w:p w14:paraId="2B6FFC77" w14:textId="77777777" w:rsidR="00EE59EF" w:rsidRDefault="00EE59EF" w:rsidP="00EE59EF">
      <w:pPr>
        <w:spacing w:line="312" w:lineRule="auto"/>
        <w:jc w:val="both"/>
        <w:rPr>
          <w:rFonts w:ascii="Arial" w:hAnsi="Arial" w:cs="Arial"/>
        </w:rPr>
      </w:pPr>
    </w:p>
    <w:p w14:paraId="338C085A" w14:textId="263CAC47" w:rsidR="00634B92" w:rsidRDefault="00634B92" w:rsidP="00634B92">
      <w:pPr>
        <w:spacing w:line="312" w:lineRule="auto"/>
        <w:jc w:val="both"/>
        <w:rPr>
          <w:rFonts w:ascii="Arial" w:hAnsi="Arial" w:cs="Arial"/>
        </w:rPr>
      </w:pPr>
      <w:r w:rsidRPr="001860F5">
        <w:rPr>
          <w:rFonts w:ascii="Arial" w:hAnsi="Arial" w:cs="Arial"/>
          <w:b/>
          <w:bCs/>
        </w:rPr>
        <w:t>TERCER</w:t>
      </w:r>
      <w:r>
        <w:rPr>
          <w:rFonts w:ascii="Arial" w:hAnsi="Arial" w:cs="Arial"/>
          <w:b/>
          <w:bCs/>
        </w:rPr>
        <w:t>A</w:t>
      </w:r>
      <w:r>
        <w:rPr>
          <w:rFonts w:ascii="Arial" w:hAnsi="Arial" w:cs="Arial"/>
        </w:rPr>
        <w:t xml:space="preserve">: </w:t>
      </w:r>
      <w:r w:rsidRPr="001860F5">
        <w:rPr>
          <w:rFonts w:ascii="Arial" w:hAnsi="Arial" w:cs="Arial"/>
        </w:rPr>
        <w:t>Como</w:t>
      </w:r>
      <w:r w:rsidRPr="005B50D5">
        <w:rPr>
          <w:rFonts w:ascii="Arial" w:hAnsi="Arial" w:cs="Arial"/>
        </w:rPr>
        <w:t xml:space="preserve"> pretensión subsidiaria, sírvase CONCEDER el recurso de apelación en contra</w:t>
      </w:r>
      <w:r>
        <w:rPr>
          <w:rFonts w:ascii="Arial" w:hAnsi="Arial" w:cs="Arial"/>
        </w:rPr>
        <w:t xml:space="preserve"> de</w:t>
      </w:r>
      <w:r w:rsidRPr="005B50D5">
        <w:rPr>
          <w:rFonts w:ascii="Arial" w:hAnsi="Arial" w:cs="Arial"/>
        </w:rPr>
        <w:t xml:space="preserve"> </w:t>
      </w:r>
      <w:r w:rsidRPr="002D2835">
        <w:rPr>
          <w:rFonts w:ascii="Arial" w:hAnsi="Arial" w:cs="Arial"/>
        </w:rPr>
        <w:t xml:space="preserve">la decisión contenida en el </w:t>
      </w:r>
      <w:r w:rsidRPr="003D1F53">
        <w:rPr>
          <w:rFonts w:ascii="Arial" w:hAnsi="Arial" w:cs="Arial"/>
        </w:rPr>
        <w:t xml:space="preserve">Auto No. </w:t>
      </w:r>
      <w:r>
        <w:rPr>
          <w:rFonts w:ascii="Arial" w:hAnsi="Arial" w:cs="Arial"/>
        </w:rPr>
        <w:t>493</w:t>
      </w:r>
      <w:r w:rsidRPr="003D1F53">
        <w:rPr>
          <w:rFonts w:ascii="Arial" w:hAnsi="Arial" w:cs="Arial"/>
        </w:rPr>
        <w:t xml:space="preserve"> del </w:t>
      </w:r>
      <w:r>
        <w:rPr>
          <w:rFonts w:ascii="Arial" w:hAnsi="Arial" w:cs="Arial"/>
        </w:rPr>
        <w:t>03</w:t>
      </w:r>
      <w:r w:rsidRPr="003D1F53">
        <w:rPr>
          <w:rFonts w:ascii="Arial" w:hAnsi="Arial" w:cs="Arial"/>
        </w:rPr>
        <w:t xml:space="preserve"> de ju</w:t>
      </w:r>
      <w:r>
        <w:rPr>
          <w:rFonts w:ascii="Arial" w:hAnsi="Arial" w:cs="Arial"/>
        </w:rPr>
        <w:t>l</w:t>
      </w:r>
      <w:r w:rsidRPr="003D1F53">
        <w:rPr>
          <w:rFonts w:ascii="Arial" w:hAnsi="Arial" w:cs="Arial"/>
        </w:rPr>
        <w:t>io de 2025</w:t>
      </w:r>
      <w:r w:rsidRPr="002D2835">
        <w:rPr>
          <w:rFonts w:ascii="Arial" w:hAnsi="Arial" w:cs="Arial"/>
        </w:rPr>
        <w:t xml:space="preserve">, </w:t>
      </w:r>
      <w:r w:rsidR="00234651">
        <w:rPr>
          <w:rFonts w:ascii="Arial" w:hAnsi="Arial" w:cs="Arial"/>
        </w:rPr>
        <w:t xml:space="preserve">el cual </w:t>
      </w:r>
      <w:r w:rsidR="00234651" w:rsidRPr="002D2835">
        <w:rPr>
          <w:rFonts w:ascii="Arial" w:hAnsi="Arial" w:cs="Arial"/>
        </w:rPr>
        <w:t xml:space="preserve">en su parte resolutiva </w:t>
      </w:r>
      <w:r w:rsidR="00234651">
        <w:rPr>
          <w:rFonts w:ascii="Arial" w:hAnsi="Arial" w:cs="Arial"/>
        </w:rPr>
        <w:t>negó decretar la solicitud probatoria relacionada con oficiar a la Procuraduría 29 Judicial para Asuntos Administrativos a fin de que absolviera el cuestionario planteado en la petición</w:t>
      </w:r>
      <w:r w:rsidR="003823FB">
        <w:rPr>
          <w:rFonts w:ascii="Arial" w:hAnsi="Arial" w:cs="Arial"/>
        </w:rPr>
        <w:t xml:space="preserve">, a lo cual procedió por considerar que la misma es superflua, a pesar de que a lo extenso de este escrito se ha demostrado la necesidad de que el ente de control </w:t>
      </w:r>
      <w:r w:rsidR="005A0E6F">
        <w:rPr>
          <w:rFonts w:ascii="Arial" w:hAnsi="Arial" w:cs="Arial"/>
        </w:rPr>
        <w:t>otorgue claridad acerca de las fechas y notificaciones que se dieron dentro del trámite de solicitud de conciliación extrajudicial que se surtió en virtud del cumplimiento del requisito de procedibilidad para abordar en instancia judicial el caso que nos ocupa</w:t>
      </w:r>
      <w:r w:rsidR="00DA15D4">
        <w:rPr>
          <w:rFonts w:ascii="Arial" w:hAnsi="Arial" w:cs="Arial"/>
        </w:rPr>
        <w:t>.</w:t>
      </w:r>
    </w:p>
    <w:p w14:paraId="0EB0E69F" w14:textId="77777777" w:rsidR="00634B92" w:rsidRDefault="00634B92" w:rsidP="00EE59EF">
      <w:pPr>
        <w:spacing w:line="312" w:lineRule="auto"/>
        <w:jc w:val="both"/>
        <w:rPr>
          <w:rFonts w:ascii="Arial" w:hAnsi="Arial" w:cs="Arial"/>
        </w:rPr>
      </w:pPr>
    </w:p>
    <w:p w14:paraId="1F87A571" w14:textId="77777777" w:rsidR="00EE59EF" w:rsidRPr="005B50D5" w:rsidRDefault="00EE59EF" w:rsidP="00EE59EF">
      <w:pPr>
        <w:tabs>
          <w:tab w:val="left" w:pos="426"/>
        </w:tabs>
        <w:spacing w:line="312" w:lineRule="auto"/>
        <w:jc w:val="center"/>
        <w:rPr>
          <w:rFonts w:ascii="Arial" w:hAnsi="Arial" w:cs="Arial"/>
          <w:b/>
          <w:bCs/>
          <w:u w:val="single"/>
        </w:rPr>
      </w:pPr>
      <w:r w:rsidRPr="005B50D5">
        <w:rPr>
          <w:rFonts w:ascii="Arial" w:hAnsi="Arial" w:cs="Arial"/>
          <w:b/>
          <w:bCs/>
          <w:u w:val="single"/>
        </w:rPr>
        <w:t>CAPÍTULO V. NOTIFICACIONES.</w:t>
      </w:r>
    </w:p>
    <w:p w14:paraId="31E29088" w14:textId="77777777" w:rsidR="00EE59EF" w:rsidRPr="005B50D5" w:rsidRDefault="00EE59EF" w:rsidP="00EE59EF">
      <w:pPr>
        <w:pStyle w:val="Prrafodelista"/>
        <w:tabs>
          <w:tab w:val="left" w:pos="426"/>
        </w:tabs>
        <w:spacing w:after="0" w:line="312" w:lineRule="auto"/>
        <w:ind w:left="0"/>
        <w:jc w:val="both"/>
        <w:rPr>
          <w:rFonts w:ascii="Arial" w:hAnsi="Arial" w:cs="Arial"/>
        </w:rPr>
      </w:pPr>
    </w:p>
    <w:p w14:paraId="5BCF78E3" w14:textId="77777777" w:rsidR="00EE59EF" w:rsidRPr="005B50D5" w:rsidRDefault="00EE59EF" w:rsidP="00EE59EF">
      <w:pPr>
        <w:spacing w:line="312" w:lineRule="auto"/>
        <w:jc w:val="both"/>
        <w:rPr>
          <w:rFonts w:ascii="Arial" w:hAnsi="Arial" w:cs="Arial"/>
        </w:rPr>
      </w:pPr>
      <w:r w:rsidRPr="005B50D5">
        <w:rPr>
          <w:rFonts w:ascii="Arial" w:hAnsi="Arial" w:cs="Arial"/>
        </w:rPr>
        <w:t xml:space="preserve">El suscrito recibirá notificaciones en la Avenida 6 A Bis No. 35N-100 Oficina 212 Centro Empresarial Chipichape de la ciudad de Cali. Email: </w:t>
      </w:r>
      <w:hyperlink r:id="rId15" w:history="1">
        <w:r w:rsidRPr="005B50D5">
          <w:rPr>
            <w:rStyle w:val="Hipervnculo"/>
            <w:rFonts w:ascii="Arial" w:hAnsi="Arial" w:cs="Arial"/>
          </w:rPr>
          <w:t>notificaciones@gha.com.co</w:t>
        </w:r>
      </w:hyperlink>
    </w:p>
    <w:p w14:paraId="415D813E" w14:textId="7A7CCA85" w:rsidR="00EE59EF" w:rsidRDefault="00EE59EF" w:rsidP="00EE59EF">
      <w:pPr>
        <w:spacing w:line="312" w:lineRule="auto"/>
        <w:jc w:val="both"/>
        <w:rPr>
          <w:rFonts w:ascii="Arial" w:hAnsi="Arial" w:cs="Arial"/>
        </w:rPr>
      </w:pPr>
      <w:r w:rsidRPr="005B50D5">
        <w:rPr>
          <w:rFonts w:ascii="Arial" w:hAnsi="Arial" w:cs="Arial"/>
          <w:iCs/>
          <w:noProof/>
          <w:lang w:val="en-US"/>
        </w:rPr>
        <w:drawing>
          <wp:anchor distT="0" distB="0" distL="114300" distR="114300" simplePos="0" relativeHeight="251659264" behindDoc="1" locked="0" layoutInCell="1" allowOverlap="1" wp14:anchorId="6C729B4A" wp14:editId="03BC66EA">
            <wp:simplePos x="0" y="0"/>
            <wp:positionH relativeFrom="margin">
              <wp:posOffset>124061</wp:posOffset>
            </wp:positionH>
            <wp:positionV relativeFrom="paragraph">
              <wp:posOffset>131113</wp:posOffset>
            </wp:positionV>
            <wp:extent cx="1963257" cy="130366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63257" cy="130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70A583" w14:textId="77777777" w:rsidR="00FC58D7" w:rsidRPr="005B50D5" w:rsidRDefault="00FC58D7" w:rsidP="00EE59EF">
      <w:pPr>
        <w:spacing w:line="312" w:lineRule="auto"/>
        <w:jc w:val="both"/>
        <w:rPr>
          <w:rFonts w:ascii="Arial" w:hAnsi="Arial" w:cs="Arial"/>
        </w:rPr>
      </w:pPr>
    </w:p>
    <w:p w14:paraId="3B340D20" w14:textId="77777777" w:rsidR="00EE59EF" w:rsidRPr="005B50D5" w:rsidRDefault="00EE59EF" w:rsidP="00EE59EF">
      <w:pPr>
        <w:tabs>
          <w:tab w:val="left" w:pos="2268"/>
        </w:tabs>
        <w:spacing w:line="312" w:lineRule="auto"/>
        <w:jc w:val="both"/>
        <w:rPr>
          <w:rFonts w:ascii="Arial" w:hAnsi="Arial" w:cs="Arial"/>
        </w:rPr>
      </w:pPr>
      <w:r w:rsidRPr="005B50D5">
        <w:rPr>
          <w:rFonts w:ascii="Arial" w:hAnsi="Arial" w:cs="Arial"/>
        </w:rPr>
        <w:t xml:space="preserve">Cordialmente, </w:t>
      </w:r>
    </w:p>
    <w:p w14:paraId="56E86A27" w14:textId="77777777" w:rsidR="00EE59EF" w:rsidRPr="005B50D5" w:rsidRDefault="00EE59EF" w:rsidP="00EE59EF">
      <w:pPr>
        <w:tabs>
          <w:tab w:val="left" w:pos="2268"/>
        </w:tabs>
        <w:spacing w:line="312" w:lineRule="auto"/>
        <w:jc w:val="both"/>
        <w:rPr>
          <w:rFonts w:ascii="Arial" w:hAnsi="Arial" w:cs="Arial"/>
        </w:rPr>
      </w:pPr>
    </w:p>
    <w:p w14:paraId="2D3D38BB" w14:textId="77777777" w:rsidR="00EE59EF" w:rsidRPr="005B50D5" w:rsidRDefault="00EE59EF" w:rsidP="00EE59EF">
      <w:pPr>
        <w:pStyle w:val="Sinespaciado"/>
        <w:spacing w:line="312" w:lineRule="auto"/>
        <w:ind w:left="0" w:right="0"/>
        <w:rPr>
          <w:rFonts w:ascii="Arial" w:hAnsi="Arial" w:cs="Arial"/>
        </w:rPr>
      </w:pPr>
    </w:p>
    <w:p w14:paraId="20B61A41" w14:textId="77777777" w:rsidR="00EE59EF" w:rsidRPr="005B50D5" w:rsidRDefault="00EE59EF" w:rsidP="00EE59EF">
      <w:pPr>
        <w:pStyle w:val="Sinespaciado"/>
        <w:spacing w:line="312" w:lineRule="auto"/>
        <w:ind w:left="0" w:right="0"/>
        <w:rPr>
          <w:rFonts w:ascii="Arial" w:hAnsi="Arial" w:cs="Arial"/>
        </w:rPr>
      </w:pPr>
    </w:p>
    <w:p w14:paraId="0519EB8F" w14:textId="77777777" w:rsidR="00EE59EF" w:rsidRPr="005B50D5" w:rsidRDefault="00EE59EF" w:rsidP="00EE59EF">
      <w:pPr>
        <w:pStyle w:val="Sinespaciado"/>
        <w:spacing w:line="312" w:lineRule="auto"/>
        <w:ind w:left="0" w:right="0"/>
        <w:rPr>
          <w:rFonts w:ascii="Arial" w:hAnsi="Arial" w:cs="Arial"/>
        </w:rPr>
      </w:pPr>
    </w:p>
    <w:p w14:paraId="4E6E8C6A" w14:textId="77777777" w:rsidR="00EE59EF" w:rsidRPr="005B50D5" w:rsidRDefault="00EE59EF" w:rsidP="00EE59EF">
      <w:pPr>
        <w:pStyle w:val="Sinespaciado"/>
        <w:spacing w:line="312" w:lineRule="auto"/>
        <w:ind w:left="0" w:right="0"/>
        <w:rPr>
          <w:rFonts w:ascii="Arial" w:hAnsi="Arial" w:cs="Arial"/>
          <w:b/>
        </w:rPr>
      </w:pPr>
      <w:r w:rsidRPr="005B50D5">
        <w:rPr>
          <w:rFonts w:ascii="Arial" w:hAnsi="Arial" w:cs="Arial"/>
          <w:b/>
        </w:rPr>
        <w:t>GUSTAVO ALBERTO HERRERA AVILA</w:t>
      </w:r>
    </w:p>
    <w:p w14:paraId="020D9295" w14:textId="77777777" w:rsidR="00EE59EF" w:rsidRPr="005B50D5" w:rsidRDefault="00EE59EF" w:rsidP="00EE59EF">
      <w:pPr>
        <w:pStyle w:val="Sinespaciado"/>
        <w:spacing w:line="312" w:lineRule="auto"/>
        <w:ind w:left="0" w:right="0"/>
        <w:rPr>
          <w:rFonts w:ascii="Arial" w:hAnsi="Arial" w:cs="Arial"/>
        </w:rPr>
      </w:pPr>
      <w:r w:rsidRPr="005B50D5">
        <w:rPr>
          <w:rFonts w:ascii="Arial" w:hAnsi="Arial" w:cs="Arial"/>
        </w:rPr>
        <w:t>C.C No. 19.395.114 de Bogotá D.C</w:t>
      </w:r>
    </w:p>
    <w:bookmarkEnd w:id="0"/>
    <w:p w14:paraId="4448B9DC" w14:textId="5F10F147" w:rsidR="00CD3B19" w:rsidRPr="00F64251" w:rsidRDefault="00EE59EF" w:rsidP="000E2F18">
      <w:pPr>
        <w:pStyle w:val="Sinespaciado"/>
        <w:spacing w:line="312" w:lineRule="auto"/>
        <w:ind w:left="0" w:right="0" w:firstLine="0"/>
      </w:pPr>
      <w:r w:rsidRPr="005B50D5">
        <w:rPr>
          <w:rFonts w:ascii="Arial" w:hAnsi="Arial" w:cs="Arial"/>
        </w:rPr>
        <w:t>T.P. No. 39.116 del C.S. de la J.</w:t>
      </w:r>
    </w:p>
    <w:sectPr w:rsidR="00CD3B19" w:rsidRPr="00F64251" w:rsidSect="00F64251">
      <w:headerReference w:type="default" r:id="rId17"/>
      <w:footerReference w:type="default" r:id="rId18"/>
      <w:pgSz w:w="12240" w:h="20160" w:code="5"/>
      <w:pgMar w:top="1701" w:right="964" w:bottom="1588" w:left="964" w:header="283"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E436E" w14:textId="77777777" w:rsidR="00822B3A" w:rsidRDefault="00822B3A" w:rsidP="0025591F">
      <w:r>
        <w:separator/>
      </w:r>
    </w:p>
  </w:endnote>
  <w:endnote w:type="continuationSeparator" w:id="0">
    <w:p w14:paraId="12BC0328" w14:textId="77777777" w:rsidR="00822B3A" w:rsidRDefault="00822B3A"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altName w:val="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966F" w14:textId="50C0867A" w:rsidR="003F26B0" w:rsidRPr="00957ECF" w:rsidRDefault="00F64251" w:rsidP="00957ECF">
    <w:pPr>
      <w:rPr>
        <w:color w:val="222A35" w:themeColor="text2" w:themeShade="80"/>
      </w:rPr>
    </w:pPr>
    <w:r>
      <w:rPr>
        <w:noProof/>
      </w:rPr>
      <mc:AlternateContent>
        <mc:Choice Requires="wps">
          <w:drawing>
            <wp:anchor distT="0" distB="0" distL="114300" distR="114300" simplePos="0" relativeHeight="251663359" behindDoc="1" locked="0" layoutInCell="1" allowOverlap="1" wp14:anchorId="53F14F1B" wp14:editId="1E5BE35F">
              <wp:simplePos x="0" y="0"/>
              <wp:positionH relativeFrom="margin">
                <wp:posOffset>3905250</wp:posOffset>
              </wp:positionH>
              <wp:positionV relativeFrom="paragraph">
                <wp:posOffset>-462280</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14F1B" id="Rectángulo 4" o:spid="_x0000_s1026" style="position:absolute;margin-left:307.5pt;margin-top:-36.4pt;width:147.45pt;height:49.4pt;z-index:-25165312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" filled="f" stroked="f" strokeweight="1pt">
              <v:textbo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Cra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anchorx="margin"/>
            </v:rect>
          </w:pict>
        </mc:Fallback>
      </mc:AlternateContent>
    </w:r>
    <w:r>
      <w:rPr>
        <w:noProof/>
      </w:rPr>
      <mc:AlternateContent>
        <mc:Choice Requires="wps">
          <w:drawing>
            <wp:anchor distT="0" distB="0" distL="114300" distR="114300" simplePos="0" relativeHeight="251661309" behindDoc="1" locked="0" layoutInCell="1" allowOverlap="1" wp14:anchorId="5FBCB1CF" wp14:editId="584BB36D">
              <wp:simplePos x="0" y="0"/>
              <wp:positionH relativeFrom="margin">
                <wp:posOffset>475615</wp:posOffset>
              </wp:positionH>
              <wp:positionV relativeFrom="paragraph">
                <wp:posOffset>-355600</wp:posOffset>
              </wp:positionV>
              <wp:extent cx="704850" cy="283210"/>
              <wp:effectExtent l="0" t="0" r="0" b="2540"/>
              <wp:wrapNone/>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BBB6CA" w14:textId="7346F573" w:rsidR="00416F84" w:rsidRPr="00DF71AF" w:rsidRDefault="00F64251" w:rsidP="000B00A8">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VJRA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CB1CF" id="Rectángulo 5" o:spid="_x0000_s1027" style="position:absolute;margin-left:37.45pt;margin-top:-28pt;width:55.5pt;height:22.3pt;z-index:-2516551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" filled="f" stroked="f" strokeweight="1pt">
              <v:textbox>
                <w:txbxContent>
                  <w:p w14:paraId="33BBB6CA" w14:textId="7346F573" w:rsidR="00416F84" w:rsidRPr="00DF71AF" w:rsidRDefault="00F64251" w:rsidP="000B00A8">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VJRA</w:t>
                    </w:r>
                  </w:p>
                </w:txbxContent>
              </v:textbox>
              <w10:wrap anchorx="margin"/>
            </v:rect>
          </w:pict>
        </mc:Fallback>
      </mc:AlternateContent>
    </w:r>
    <w:r>
      <w:rPr>
        <w:noProof/>
      </w:rPr>
      <w:drawing>
        <wp:anchor distT="0" distB="0" distL="114300" distR="114300" simplePos="0" relativeHeight="251662334" behindDoc="0" locked="0" layoutInCell="1" allowOverlap="1" wp14:anchorId="73AC22FD" wp14:editId="038052A6">
          <wp:simplePos x="0" y="0"/>
          <wp:positionH relativeFrom="margin">
            <wp:posOffset>5707380</wp:posOffset>
          </wp:positionH>
          <wp:positionV relativeFrom="page">
            <wp:posOffset>11868150</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57ECF">
      <w:rPr>
        <w:color w:val="222A35" w:themeColor="text2" w:themeShade="80"/>
      </w:rPr>
      <w:t xml:space="preserve">                                         </w:t>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4F5DA" w14:textId="77777777" w:rsidR="00822B3A" w:rsidRDefault="00822B3A" w:rsidP="0025591F">
      <w:r>
        <w:separator/>
      </w:r>
    </w:p>
  </w:footnote>
  <w:footnote w:type="continuationSeparator" w:id="0">
    <w:p w14:paraId="488514F3" w14:textId="77777777" w:rsidR="00822B3A" w:rsidRDefault="00822B3A" w:rsidP="0025591F">
      <w:r>
        <w:continuationSeparator/>
      </w:r>
    </w:p>
  </w:footnote>
  <w:footnote w:id="1">
    <w:p w14:paraId="6AE22CB5" w14:textId="0912E157" w:rsidR="00240610" w:rsidRPr="00810692" w:rsidRDefault="00240610">
      <w:pPr>
        <w:pStyle w:val="Textonotapie"/>
        <w:rPr>
          <w:rFonts w:ascii="Arial" w:hAnsi="Arial" w:cs="Arial"/>
          <w:sz w:val="16"/>
          <w:szCs w:val="16"/>
        </w:rPr>
      </w:pPr>
      <w:r w:rsidRPr="00810692">
        <w:rPr>
          <w:rStyle w:val="Refdenotaalpie"/>
          <w:rFonts w:ascii="Arial" w:hAnsi="Arial" w:cs="Arial"/>
          <w:sz w:val="16"/>
          <w:szCs w:val="16"/>
        </w:rPr>
        <w:footnoteRef/>
      </w:r>
      <w:r w:rsidRPr="00810692">
        <w:rPr>
          <w:rFonts w:ascii="Arial" w:hAnsi="Arial" w:cs="Arial"/>
          <w:sz w:val="16"/>
          <w:szCs w:val="16"/>
        </w:rPr>
        <w:t xml:space="preserve"> Oficiar a la Procuraduría 29 Judicial II para Asuntos Administrativos, para que remitiera con destino al proceso, informe que absolviese el cuestionario establecido en el escrito de contestación</w:t>
      </w:r>
    </w:p>
  </w:footnote>
  <w:footnote w:id="2">
    <w:p w14:paraId="6202BCEB" w14:textId="55CAE1F8" w:rsidR="00810692" w:rsidRDefault="00810692">
      <w:pPr>
        <w:pStyle w:val="Textonotapie"/>
      </w:pPr>
      <w:r w:rsidRPr="00810692">
        <w:rPr>
          <w:rStyle w:val="Refdenotaalpie"/>
          <w:rFonts w:ascii="Arial" w:hAnsi="Arial" w:cs="Arial"/>
          <w:sz w:val="16"/>
          <w:szCs w:val="16"/>
        </w:rPr>
        <w:footnoteRef/>
      </w:r>
      <w:r w:rsidRPr="00810692">
        <w:rPr>
          <w:rFonts w:ascii="Arial" w:hAnsi="Arial" w:cs="Arial"/>
          <w:sz w:val="16"/>
          <w:szCs w:val="16"/>
        </w:rPr>
        <w:t xml:space="preserve"> Giacomette Ferrer, Ana. Teoría General de la Prueba Judicial. Segunda Edición. Bogotá.2003.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C4B8E" w14:textId="7C4C4FF4" w:rsidR="00FA4FFB" w:rsidRDefault="00957ECF">
    <w:pPr>
      <w:pStyle w:val="Encabezado"/>
    </w:pPr>
    <w:r>
      <w:rPr>
        <w:noProof/>
      </w:rPr>
      <w:drawing>
        <wp:anchor distT="0" distB="0" distL="114300" distR="114300" simplePos="0" relativeHeight="251666432" behindDoc="0" locked="0" layoutInCell="1" allowOverlap="1" wp14:anchorId="16A449D7" wp14:editId="53A65DD9">
          <wp:simplePos x="0" y="0"/>
          <wp:positionH relativeFrom="margin">
            <wp:posOffset>4686300</wp:posOffset>
          </wp:positionH>
          <wp:positionV relativeFrom="paragraph">
            <wp:posOffset>-635</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853B7"/>
    <w:multiLevelType w:val="hybridMultilevel"/>
    <w:tmpl w:val="89B69C16"/>
    <w:lvl w:ilvl="0" w:tplc="7A66FEC8">
      <w:start w:val="1"/>
      <w:numFmt w:val="decimal"/>
      <w:lvlText w:val="%1."/>
      <w:lvlJc w:val="left"/>
      <w:pPr>
        <w:ind w:left="720" w:hanging="360"/>
      </w:pPr>
    </w:lvl>
    <w:lvl w:ilvl="1" w:tplc="CE24D418">
      <w:start w:val="1"/>
      <w:numFmt w:val="lowerLetter"/>
      <w:lvlText w:val="%2."/>
      <w:lvlJc w:val="left"/>
      <w:pPr>
        <w:ind w:left="1440" w:hanging="360"/>
      </w:pPr>
    </w:lvl>
    <w:lvl w:ilvl="2" w:tplc="3E4AEF40">
      <w:start w:val="1"/>
      <w:numFmt w:val="lowerRoman"/>
      <w:lvlText w:val="%3."/>
      <w:lvlJc w:val="right"/>
      <w:pPr>
        <w:ind w:left="2160" w:hanging="180"/>
      </w:pPr>
    </w:lvl>
    <w:lvl w:ilvl="3" w:tplc="2B3CFFF6">
      <w:start w:val="1"/>
      <w:numFmt w:val="decimal"/>
      <w:lvlText w:val="%4."/>
      <w:lvlJc w:val="left"/>
      <w:pPr>
        <w:ind w:left="2880" w:hanging="360"/>
      </w:pPr>
    </w:lvl>
    <w:lvl w:ilvl="4" w:tplc="4C782990">
      <w:start w:val="1"/>
      <w:numFmt w:val="lowerLetter"/>
      <w:lvlText w:val="%5."/>
      <w:lvlJc w:val="left"/>
      <w:pPr>
        <w:ind w:left="3600" w:hanging="360"/>
      </w:pPr>
    </w:lvl>
    <w:lvl w:ilvl="5" w:tplc="DA80164E">
      <w:start w:val="1"/>
      <w:numFmt w:val="lowerRoman"/>
      <w:lvlText w:val="%6."/>
      <w:lvlJc w:val="right"/>
      <w:pPr>
        <w:ind w:left="4320" w:hanging="180"/>
      </w:pPr>
    </w:lvl>
    <w:lvl w:ilvl="6" w:tplc="0ADE39D6">
      <w:start w:val="1"/>
      <w:numFmt w:val="decimal"/>
      <w:lvlText w:val="%7."/>
      <w:lvlJc w:val="left"/>
      <w:pPr>
        <w:ind w:left="5040" w:hanging="360"/>
      </w:pPr>
    </w:lvl>
    <w:lvl w:ilvl="7" w:tplc="4C70D970">
      <w:start w:val="1"/>
      <w:numFmt w:val="lowerLetter"/>
      <w:lvlText w:val="%8."/>
      <w:lvlJc w:val="left"/>
      <w:pPr>
        <w:ind w:left="5760" w:hanging="360"/>
      </w:pPr>
    </w:lvl>
    <w:lvl w:ilvl="8" w:tplc="5B0E7FD4">
      <w:start w:val="1"/>
      <w:numFmt w:val="lowerRoman"/>
      <w:lvlText w:val="%9."/>
      <w:lvlJc w:val="right"/>
      <w:pPr>
        <w:ind w:left="6480" w:hanging="180"/>
      </w:pPr>
    </w:lvl>
  </w:abstractNum>
  <w:abstractNum w:abstractNumId="1"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BE8780A"/>
    <w:multiLevelType w:val="hybridMultilevel"/>
    <w:tmpl w:val="D8EC76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F5B4BC0"/>
    <w:multiLevelType w:val="hybridMultilevel"/>
    <w:tmpl w:val="70BAF6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4856901">
    <w:abstractNumId w:val="1"/>
  </w:num>
  <w:num w:numId="2" w16cid:durableId="1889142803">
    <w:abstractNumId w:val="2"/>
  </w:num>
  <w:num w:numId="3" w16cid:durableId="1162502229">
    <w:abstractNumId w:val="0"/>
  </w:num>
  <w:num w:numId="4" w16cid:durableId="9742608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018F8"/>
    <w:rsid w:val="00005101"/>
    <w:rsid w:val="00010D92"/>
    <w:rsid w:val="0002390D"/>
    <w:rsid w:val="0003111F"/>
    <w:rsid w:val="00031EEE"/>
    <w:rsid w:val="00036FCE"/>
    <w:rsid w:val="00041DA7"/>
    <w:rsid w:val="000557D7"/>
    <w:rsid w:val="00070626"/>
    <w:rsid w:val="000B00A8"/>
    <w:rsid w:val="000C2815"/>
    <w:rsid w:val="000E2F18"/>
    <w:rsid w:val="000E6FFE"/>
    <w:rsid w:val="00131B8E"/>
    <w:rsid w:val="001333D7"/>
    <w:rsid w:val="00164E8F"/>
    <w:rsid w:val="001871D3"/>
    <w:rsid w:val="001925A0"/>
    <w:rsid w:val="00194282"/>
    <w:rsid w:val="00194DAC"/>
    <w:rsid w:val="001A6F30"/>
    <w:rsid w:val="001C3882"/>
    <w:rsid w:val="001D54E5"/>
    <w:rsid w:val="0020186D"/>
    <w:rsid w:val="00234651"/>
    <w:rsid w:val="00234F3F"/>
    <w:rsid w:val="00240610"/>
    <w:rsid w:val="00254E27"/>
    <w:rsid w:val="0025591F"/>
    <w:rsid w:val="00267DDC"/>
    <w:rsid w:val="00281D90"/>
    <w:rsid w:val="00297655"/>
    <w:rsid w:val="002B5E76"/>
    <w:rsid w:val="002C0139"/>
    <w:rsid w:val="002C1393"/>
    <w:rsid w:val="002C38D2"/>
    <w:rsid w:val="002C3F8F"/>
    <w:rsid w:val="002F430B"/>
    <w:rsid w:val="003141B0"/>
    <w:rsid w:val="003674C4"/>
    <w:rsid w:val="00374FB5"/>
    <w:rsid w:val="00374FD5"/>
    <w:rsid w:val="00375AFE"/>
    <w:rsid w:val="003811C8"/>
    <w:rsid w:val="003823FB"/>
    <w:rsid w:val="00395D72"/>
    <w:rsid w:val="003A306A"/>
    <w:rsid w:val="003C5BCE"/>
    <w:rsid w:val="003D2930"/>
    <w:rsid w:val="003D35D7"/>
    <w:rsid w:val="003E7F42"/>
    <w:rsid w:val="003F26B0"/>
    <w:rsid w:val="00416F84"/>
    <w:rsid w:val="0042497F"/>
    <w:rsid w:val="00424DB6"/>
    <w:rsid w:val="00470810"/>
    <w:rsid w:val="0047145C"/>
    <w:rsid w:val="0048616E"/>
    <w:rsid w:val="004874C3"/>
    <w:rsid w:val="004A356B"/>
    <w:rsid w:val="004A4A6A"/>
    <w:rsid w:val="004A693E"/>
    <w:rsid w:val="004C01CE"/>
    <w:rsid w:val="004C41DB"/>
    <w:rsid w:val="004D1389"/>
    <w:rsid w:val="0050092B"/>
    <w:rsid w:val="00505F3C"/>
    <w:rsid w:val="0053659E"/>
    <w:rsid w:val="00543F6F"/>
    <w:rsid w:val="00583D20"/>
    <w:rsid w:val="005A0A03"/>
    <w:rsid w:val="005A0E6F"/>
    <w:rsid w:val="005A27BB"/>
    <w:rsid w:val="005A3F2C"/>
    <w:rsid w:val="005B5782"/>
    <w:rsid w:val="005B60CC"/>
    <w:rsid w:val="005C0157"/>
    <w:rsid w:val="005C5EE0"/>
    <w:rsid w:val="005D08C2"/>
    <w:rsid w:val="005D34E8"/>
    <w:rsid w:val="005D7117"/>
    <w:rsid w:val="0060331F"/>
    <w:rsid w:val="00627349"/>
    <w:rsid w:val="00634B92"/>
    <w:rsid w:val="00637020"/>
    <w:rsid w:val="006454F8"/>
    <w:rsid w:val="006459E7"/>
    <w:rsid w:val="00667C49"/>
    <w:rsid w:val="006722DD"/>
    <w:rsid w:val="00672FA0"/>
    <w:rsid w:val="0067499E"/>
    <w:rsid w:val="006A0FDA"/>
    <w:rsid w:val="006A68EE"/>
    <w:rsid w:val="006C208A"/>
    <w:rsid w:val="006C3935"/>
    <w:rsid w:val="006D5AFF"/>
    <w:rsid w:val="006F3F7B"/>
    <w:rsid w:val="00701FEC"/>
    <w:rsid w:val="00706F07"/>
    <w:rsid w:val="0071526E"/>
    <w:rsid w:val="00762B3A"/>
    <w:rsid w:val="007721BA"/>
    <w:rsid w:val="00783103"/>
    <w:rsid w:val="00786476"/>
    <w:rsid w:val="00793C8E"/>
    <w:rsid w:val="007A5C48"/>
    <w:rsid w:val="007C1A65"/>
    <w:rsid w:val="007D04DB"/>
    <w:rsid w:val="007F632D"/>
    <w:rsid w:val="007F6A39"/>
    <w:rsid w:val="00810692"/>
    <w:rsid w:val="00815BB9"/>
    <w:rsid w:val="00822B3A"/>
    <w:rsid w:val="0082757B"/>
    <w:rsid w:val="00831CB9"/>
    <w:rsid w:val="008510D2"/>
    <w:rsid w:val="008830A7"/>
    <w:rsid w:val="00883B69"/>
    <w:rsid w:val="00890861"/>
    <w:rsid w:val="008A1971"/>
    <w:rsid w:val="008A3096"/>
    <w:rsid w:val="008A3EE5"/>
    <w:rsid w:val="008C3929"/>
    <w:rsid w:val="008D5B3A"/>
    <w:rsid w:val="008E4E08"/>
    <w:rsid w:val="008F01B3"/>
    <w:rsid w:val="008F1E2F"/>
    <w:rsid w:val="0090145C"/>
    <w:rsid w:val="009276A0"/>
    <w:rsid w:val="00934146"/>
    <w:rsid w:val="00935F51"/>
    <w:rsid w:val="009479AF"/>
    <w:rsid w:val="00957ECF"/>
    <w:rsid w:val="00970DE3"/>
    <w:rsid w:val="00980A6B"/>
    <w:rsid w:val="00997C0E"/>
    <w:rsid w:val="009F7B17"/>
    <w:rsid w:val="00A70118"/>
    <w:rsid w:val="00A7220B"/>
    <w:rsid w:val="00A877E6"/>
    <w:rsid w:val="00A904E7"/>
    <w:rsid w:val="00AA4CD6"/>
    <w:rsid w:val="00AB0CC4"/>
    <w:rsid w:val="00AB3A2C"/>
    <w:rsid w:val="00AD03AA"/>
    <w:rsid w:val="00AD0A06"/>
    <w:rsid w:val="00AD52BE"/>
    <w:rsid w:val="00AF407C"/>
    <w:rsid w:val="00B067FE"/>
    <w:rsid w:val="00B11225"/>
    <w:rsid w:val="00B20189"/>
    <w:rsid w:val="00B34D44"/>
    <w:rsid w:val="00B34F94"/>
    <w:rsid w:val="00B54DCC"/>
    <w:rsid w:val="00B55403"/>
    <w:rsid w:val="00B56807"/>
    <w:rsid w:val="00B623DE"/>
    <w:rsid w:val="00B72329"/>
    <w:rsid w:val="00B73B51"/>
    <w:rsid w:val="00B832C1"/>
    <w:rsid w:val="00B90EDF"/>
    <w:rsid w:val="00BA33E1"/>
    <w:rsid w:val="00BB3BF4"/>
    <w:rsid w:val="00BB7105"/>
    <w:rsid w:val="00BC66D9"/>
    <w:rsid w:val="00BD192A"/>
    <w:rsid w:val="00BE5549"/>
    <w:rsid w:val="00BE5FD4"/>
    <w:rsid w:val="00BE6214"/>
    <w:rsid w:val="00BF1A90"/>
    <w:rsid w:val="00C10134"/>
    <w:rsid w:val="00C16176"/>
    <w:rsid w:val="00C254FB"/>
    <w:rsid w:val="00C352E8"/>
    <w:rsid w:val="00C47302"/>
    <w:rsid w:val="00C53500"/>
    <w:rsid w:val="00C553D5"/>
    <w:rsid w:val="00C604DC"/>
    <w:rsid w:val="00C6309B"/>
    <w:rsid w:val="00C70FF5"/>
    <w:rsid w:val="00C77CCC"/>
    <w:rsid w:val="00CC74C4"/>
    <w:rsid w:val="00CD3B19"/>
    <w:rsid w:val="00D14BED"/>
    <w:rsid w:val="00D23A48"/>
    <w:rsid w:val="00D27D96"/>
    <w:rsid w:val="00D37609"/>
    <w:rsid w:val="00D50541"/>
    <w:rsid w:val="00D51E83"/>
    <w:rsid w:val="00D52040"/>
    <w:rsid w:val="00D81C15"/>
    <w:rsid w:val="00DA15D4"/>
    <w:rsid w:val="00DB34C9"/>
    <w:rsid w:val="00DF71AF"/>
    <w:rsid w:val="00E034A7"/>
    <w:rsid w:val="00E23DED"/>
    <w:rsid w:val="00E43BA7"/>
    <w:rsid w:val="00E63CC0"/>
    <w:rsid w:val="00E73255"/>
    <w:rsid w:val="00E81392"/>
    <w:rsid w:val="00EA10C1"/>
    <w:rsid w:val="00EB06B6"/>
    <w:rsid w:val="00EB1D93"/>
    <w:rsid w:val="00EC2B3D"/>
    <w:rsid w:val="00EC434B"/>
    <w:rsid w:val="00EC5AFA"/>
    <w:rsid w:val="00EE40E3"/>
    <w:rsid w:val="00EE59EF"/>
    <w:rsid w:val="00F036F7"/>
    <w:rsid w:val="00F04FFB"/>
    <w:rsid w:val="00F121A5"/>
    <w:rsid w:val="00F13D06"/>
    <w:rsid w:val="00F64251"/>
    <w:rsid w:val="00F95354"/>
    <w:rsid w:val="00FA4FFB"/>
    <w:rsid w:val="00FB0FE9"/>
    <w:rsid w:val="00FC58D7"/>
    <w:rsid w:val="00FE0981"/>
    <w:rsid w:val="00FE10B5"/>
    <w:rsid w:val="00FE5E2E"/>
    <w:rsid w:val="00FF1D8D"/>
    <w:rsid w:val="00FF3050"/>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5FCD"/>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customStyle="1" w:styleId="Standard">
    <w:name w:val="Standard"/>
    <w:rsid w:val="00EE59EF"/>
    <w:pPr>
      <w:suppressAutoHyphens/>
      <w:autoSpaceDN w:val="0"/>
      <w:spacing w:after="200" w:line="276" w:lineRule="auto"/>
      <w:textAlignment w:val="baseline"/>
    </w:pPr>
    <w:rPr>
      <w:rFonts w:ascii="Calibri" w:eastAsia="Calibri" w:hAnsi="Calibri" w:cs="Tahoma"/>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E59EF"/>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Sinespaciado">
    <w:name w:val="No Spacing"/>
    <w:qFormat/>
    <w:rsid w:val="00EE59EF"/>
    <w:pPr>
      <w:spacing w:after="0" w:line="240" w:lineRule="auto"/>
      <w:ind w:left="55" w:right="45" w:hanging="10"/>
      <w:jc w:val="both"/>
    </w:pPr>
    <w:rPr>
      <w:rFonts w:ascii="Calibri" w:eastAsia="Calibri" w:hAnsi="Calibri" w:cs="Calibri"/>
      <w:color w:val="000000"/>
      <w:lang w:eastAsia="es-CO"/>
    </w:rPr>
  </w:style>
  <w:style w:type="paragraph" w:styleId="NormalWeb">
    <w:name w:val="Normal (Web)"/>
    <w:basedOn w:val="Normal"/>
    <w:uiPriority w:val="99"/>
    <w:unhideWhenUsed/>
    <w:qFormat/>
    <w:rsid w:val="00EE59EF"/>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Default">
    <w:name w:val="Default"/>
    <w:rsid w:val="00EE59EF"/>
    <w:pPr>
      <w:autoSpaceDE w:val="0"/>
      <w:autoSpaceDN w:val="0"/>
      <w:adjustRightInd w:val="0"/>
      <w:spacing w:after="0" w:line="240" w:lineRule="auto"/>
    </w:pPr>
    <w:rPr>
      <w:rFonts w:ascii="Arial" w:eastAsia="Calibri" w:hAnsi="Arial" w:cs="Arial"/>
      <w:color w:val="000000"/>
      <w:sz w:val="24"/>
      <w:szCs w:val="24"/>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nhideWhenUsed/>
    <w:qFormat/>
    <w:rsid w:val="00EE59EF"/>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qFormat/>
    <w:rsid w:val="00EE59EF"/>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4"/>
    <w:basedOn w:val="Fuentedeprrafopredeter"/>
    <w:link w:val="4GChar"/>
    <w:unhideWhenUsed/>
    <w:qFormat/>
    <w:rsid w:val="00EE59E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EE59EF"/>
    <w:pPr>
      <w:widowControl/>
      <w:autoSpaceDE/>
      <w:autoSpaceDN/>
      <w:jc w:val="both"/>
    </w:pPr>
    <w:rPr>
      <w:rFonts w:asciiTheme="minorHAnsi" w:eastAsiaTheme="minorHAnsi" w:hAnsiTheme="minorHAnsi" w:cstheme="minorBidi"/>
      <w:vertAlign w:val="superscript"/>
      <w:lang w:val="es-CO"/>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EE59EF"/>
  </w:style>
  <w:style w:type="table" w:styleId="Tablaconcuadrcula">
    <w:name w:val="Table Grid"/>
    <w:basedOn w:val="Tablanormal"/>
    <w:uiPriority w:val="39"/>
    <w:rsid w:val="00010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81C15"/>
    <w:pPr>
      <w:spacing w:after="0" w:line="240" w:lineRule="auto"/>
    </w:pPr>
    <w:rPr>
      <w:rFonts w:ascii="Arial MT" w:eastAsia="Arial MT" w:hAnsi="Arial MT" w:cs="Arial MT"/>
      <w:lang w:val="es-ES"/>
    </w:rPr>
  </w:style>
  <w:style w:type="character" w:styleId="Refdecomentario">
    <w:name w:val="annotation reference"/>
    <w:basedOn w:val="Fuentedeprrafopredeter"/>
    <w:uiPriority w:val="99"/>
    <w:semiHidden/>
    <w:unhideWhenUsed/>
    <w:rsid w:val="00DA15D4"/>
    <w:rPr>
      <w:sz w:val="16"/>
      <w:szCs w:val="16"/>
    </w:rPr>
  </w:style>
  <w:style w:type="paragraph" w:styleId="Textocomentario">
    <w:name w:val="annotation text"/>
    <w:basedOn w:val="Normal"/>
    <w:link w:val="TextocomentarioCar"/>
    <w:uiPriority w:val="99"/>
    <w:semiHidden/>
    <w:unhideWhenUsed/>
    <w:rsid w:val="00DA15D4"/>
    <w:rPr>
      <w:sz w:val="20"/>
      <w:szCs w:val="20"/>
    </w:rPr>
  </w:style>
  <w:style w:type="character" w:customStyle="1" w:styleId="TextocomentarioCar">
    <w:name w:val="Texto comentario Car"/>
    <w:basedOn w:val="Fuentedeprrafopredeter"/>
    <w:link w:val="Textocomentario"/>
    <w:uiPriority w:val="99"/>
    <w:semiHidden/>
    <w:rsid w:val="00DA15D4"/>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DA15D4"/>
    <w:rPr>
      <w:b/>
      <w:bCs/>
    </w:rPr>
  </w:style>
  <w:style w:type="character" w:customStyle="1" w:styleId="AsuntodelcomentarioCar">
    <w:name w:val="Asunto del comentario Car"/>
    <w:basedOn w:val="TextocomentarioCar"/>
    <w:link w:val="Asuntodelcomentario"/>
    <w:uiPriority w:val="99"/>
    <w:semiHidden/>
    <w:rsid w:val="00DA15D4"/>
    <w:rPr>
      <w:rFonts w:ascii="Arial MT" w:eastAsia="Arial MT" w:hAnsi="Arial MT" w:cs="Arial MT"/>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05ma@cendoj.ramajudicial.gov.co"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notificaciones@gha.com.co"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o%20round\Documents\GHA\gha%20trabajos\area%20talento%20humano\plantilla%20Membreteada\uso%20juridic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5</TotalTime>
  <Pages>5</Pages>
  <Words>2077</Words>
  <Characters>11425</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 round</dc:creator>
  <cp:keywords/>
  <dc:description/>
  <cp:lastModifiedBy>Javier Rivera Agredo</cp:lastModifiedBy>
  <cp:revision>17</cp:revision>
  <cp:lastPrinted>2025-07-08T18:14:00Z</cp:lastPrinted>
  <dcterms:created xsi:type="dcterms:W3CDTF">2025-07-08T17:25:00Z</dcterms:created>
  <dcterms:modified xsi:type="dcterms:W3CDTF">2025-07-08T18:14:00Z</dcterms:modified>
</cp:coreProperties>
</file>