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C047" w14:textId="77777777" w:rsidR="000A6BAA" w:rsidRPr="00FC73C1" w:rsidRDefault="00513A9E">
      <w:pPr>
        <w:widowControl w:val="0"/>
        <w:autoSpaceDE w:val="0"/>
        <w:autoSpaceDN w:val="0"/>
        <w:adjustRightInd w:val="0"/>
        <w:spacing w:after="0" w:line="240" w:lineRule="auto"/>
        <w:rPr>
          <w:rFonts w:ascii="Times New Roman" w:hAnsi="Times New Roman" w:cs="Times New Roman"/>
          <w:sz w:val="28"/>
          <w:szCs w:val="28"/>
        </w:rPr>
      </w:pPr>
      <w:r w:rsidRPr="00FC73C1">
        <w:rPr>
          <w:rFonts w:ascii="Times New Roman" w:hAnsi="Times New Roman" w:cs="Times New Roman"/>
          <w:sz w:val="28"/>
          <w:szCs w:val="24"/>
        </w:rPr>
        <w:t xml:space="preserve"> </w:t>
      </w:r>
    </w:p>
    <w:p w14:paraId="7E54274D" w14:textId="77777777" w:rsidR="000A6BAA" w:rsidRPr="00FC73C1" w:rsidRDefault="000A6BAA">
      <w:pPr>
        <w:widowControl w:val="0"/>
        <w:autoSpaceDE w:val="0"/>
        <w:autoSpaceDN w:val="0"/>
        <w:adjustRightInd w:val="0"/>
        <w:spacing w:after="0" w:line="240" w:lineRule="auto"/>
        <w:rPr>
          <w:rFonts w:ascii="Times New Roman" w:hAnsi="Times New Roman" w:cs="Times New Roman"/>
          <w:sz w:val="28"/>
          <w:szCs w:val="28"/>
        </w:rPr>
      </w:pPr>
    </w:p>
    <w:p w14:paraId="7D74A80F" w14:textId="77777777" w:rsidR="000A6BAA" w:rsidRPr="00FC73C1" w:rsidRDefault="00513A9E">
      <w:pPr>
        <w:widowControl w:val="0"/>
        <w:autoSpaceDE w:val="0"/>
        <w:autoSpaceDN w:val="0"/>
        <w:adjustRightInd w:val="0"/>
        <w:spacing w:after="0" w:line="240" w:lineRule="auto"/>
        <w:jc w:val="center"/>
        <w:rPr>
          <w:rFonts w:ascii="Times New Roman" w:hAnsi="Times New Roman" w:cs="Times New Roman"/>
          <w:b/>
          <w:bCs/>
          <w:sz w:val="28"/>
          <w:szCs w:val="28"/>
        </w:rPr>
      </w:pPr>
      <w:r w:rsidRPr="00FC73C1">
        <w:rPr>
          <w:rFonts w:ascii="Times New Roman" w:hAnsi="Times New Roman" w:cs="Times New Roman"/>
          <w:b/>
          <w:bCs/>
          <w:sz w:val="28"/>
          <w:szCs w:val="28"/>
        </w:rPr>
        <w:t xml:space="preserve">TEMAS-SUBTEMAS </w:t>
      </w:r>
    </w:p>
    <w:p w14:paraId="7F6047A6" w14:textId="77777777" w:rsidR="000A6BAA" w:rsidRPr="00FC73C1" w:rsidRDefault="000A6BAA">
      <w:pPr>
        <w:widowControl w:val="0"/>
        <w:autoSpaceDE w:val="0"/>
        <w:autoSpaceDN w:val="0"/>
        <w:adjustRightInd w:val="0"/>
        <w:spacing w:after="0" w:line="240" w:lineRule="auto"/>
        <w:jc w:val="center"/>
        <w:rPr>
          <w:rFonts w:ascii="Times New Roman" w:hAnsi="Times New Roman" w:cs="Times New Roman"/>
          <w:b/>
          <w:bCs/>
          <w:sz w:val="28"/>
          <w:szCs w:val="28"/>
        </w:rPr>
      </w:pPr>
    </w:p>
    <w:p w14:paraId="2BA9A36B" w14:textId="77777777" w:rsidR="000A6BAA" w:rsidRPr="00FC73C1" w:rsidRDefault="00513A9E">
      <w:pPr>
        <w:widowControl w:val="0"/>
        <w:autoSpaceDE w:val="0"/>
        <w:autoSpaceDN w:val="0"/>
        <w:adjustRightInd w:val="0"/>
        <w:spacing w:after="0" w:line="240" w:lineRule="auto"/>
        <w:jc w:val="center"/>
        <w:rPr>
          <w:rFonts w:ascii="Times New Roman" w:hAnsi="Times New Roman" w:cs="Times New Roman"/>
          <w:sz w:val="28"/>
          <w:szCs w:val="28"/>
        </w:rPr>
      </w:pPr>
      <w:r w:rsidRPr="00FC73C1">
        <w:rPr>
          <w:rFonts w:ascii="Times New Roman" w:hAnsi="Times New Roman" w:cs="Times New Roman"/>
          <w:b/>
          <w:bCs/>
          <w:sz w:val="28"/>
          <w:szCs w:val="28"/>
        </w:rPr>
        <w:t xml:space="preserve">Auto A-512/24 </w:t>
      </w:r>
    </w:p>
    <w:p w14:paraId="25EEF9F1" w14:textId="77777777" w:rsidR="000A6BAA" w:rsidRPr="00FC73C1" w:rsidRDefault="000A6BAA">
      <w:pPr>
        <w:widowControl w:val="0"/>
        <w:autoSpaceDE w:val="0"/>
        <w:autoSpaceDN w:val="0"/>
        <w:adjustRightInd w:val="0"/>
        <w:spacing w:after="0" w:line="240" w:lineRule="auto"/>
        <w:jc w:val="both"/>
        <w:rPr>
          <w:rFonts w:ascii="Times New Roman" w:hAnsi="Times New Roman" w:cs="Times New Roman"/>
          <w:sz w:val="28"/>
          <w:szCs w:val="28"/>
        </w:rPr>
      </w:pPr>
    </w:p>
    <w:p w14:paraId="5BF7639F" w14:textId="77777777" w:rsidR="000A6BAA" w:rsidRPr="00FC73C1" w:rsidRDefault="00513A9E">
      <w:pPr>
        <w:widowControl w:val="0"/>
        <w:autoSpaceDE w:val="0"/>
        <w:autoSpaceDN w:val="0"/>
        <w:adjustRightInd w:val="0"/>
        <w:spacing w:after="0" w:line="240" w:lineRule="auto"/>
        <w:jc w:val="both"/>
        <w:rPr>
          <w:rFonts w:ascii="Times New Roman" w:hAnsi="Times New Roman" w:cs="Times New Roman"/>
          <w:sz w:val="28"/>
          <w:szCs w:val="28"/>
        </w:rPr>
      </w:pPr>
      <w:r w:rsidRPr="00FC73C1">
        <w:rPr>
          <w:rFonts w:ascii="Times New Roman" w:hAnsi="Times New Roman" w:cs="Times New Roman"/>
          <w:b/>
          <w:bCs/>
          <w:sz w:val="28"/>
          <w:szCs w:val="28"/>
        </w:rPr>
        <w:t>COMPETENCIA DE LA JURISDICCIÓN ORDINARIA CIVIL</w:t>
      </w:r>
      <w:r w:rsidRPr="00FC73C1">
        <w:rPr>
          <w:rFonts w:ascii="Times New Roman" w:hAnsi="Times New Roman" w:cs="Times New Roman"/>
          <w:sz w:val="28"/>
          <w:szCs w:val="28"/>
        </w:rPr>
        <w:t xml:space="preserve">-Conflictos sobre responsabilidad civil extracontractual </w:t>
      </w:r>
    </w:p>
    <w:p w14:paraId="3CB5B922" w14:textId="77777777" w:rsidR="000A6BAA" w:rsidRPr="00FC73C1" w:rsidRDefault="000A6BAA">
      <w:pPr>
        <w:widowControl w:val="0"/>
        <w:autoSpaceDE w:val="0"/>
        <w:autoSpaceDN w:val="0"/>
        <w:adjustRightInd w:val="0"/>
        <w:spacing w:after="0" w:line="240" w:lineRule="auto"/>
        <w:jc w:val="both"/>
        <w:rPr>
          <w:rFonts w:ascii="Times New Roman" w:hAnsi="Times New Roman" w:cs="Times New Roman"/>
          <w:sz w:val="28"/>
          <w:szCs w:val="28"/>
        </w:rPr>
      </w:pPr>
    </w:p>
    <w:p w14:paraId="228C162F" w14:textId="77777777" w:rsidR="000A6BAA" w:rsidRPr="00FC73C1" w:rsidRDefault="00513A9E">
      <w:pPr>
        <w:widowControl w:val="0"/>
        <w:autoSpaceDE w:val="0"/>
        <w:autoSpaceDN w:val="0"/>
        <w:adjustRightInd w:val="0"/>
        <w:spacing w:after="0" w:line="240" w:lineRule="auto"/>
        <w:jc w:val="both"/>
        <w:rPr>
          <w:rFonts w:ascii="Times New Roman" w:hAnsi="Times New Roman" w:cs="Times New Roman"/>
          <w:sz w:val="28"/>
          <w:szCs w:val="28"/>
        </w:rPr>
      </w:pPr>
      <w:r w:rsidRPr="00FC73C1">
        <w:rPr>
          <w:rFonts w:ascii="Times New Roman" w:hAnsi="Times New Roman" w:cs="Times New Roman"/>
          <w:b/>
          <w:bCs/>
          <w:sz w:val="28"/>
          <w:szCs w:val="28"/>
        </w:rPr>
        <w:t>FUERO DE ATRACCION</w:t>
      </w:r>
      <w:r w:rsidRPr="00FC73C1">
        <w:rPr>
          <w:rFonts w:ascii="Times New Roman" w:hAnsi="Times New Roman" w:cs="Times New Roman"/>
          <w:sz w:val="28"/>
          <w:szCs w:val="28"/>
        </w:rPr>
        <w:t>-Alcance para alterar la competencia de la jurisdicción ordinaria</w:t>
      </w:r>
    </w:p>
    <w:p w14:paraId="733BD1D4" w14:textId="77777777" w:rsidR="000A6BAA" w:rsidRPr="00FC73C1" w:rsidRDefault="000A6BAA">
      <w:pPr>
        <w:widowControl w:val="0"/>
        <w:autoSpaceDE w:val="0"/>
        <w:autoSpaceDN w:val="0"/>
        <w:adjustRightInd w:val="0"/>
        <w:spacing w:after="0" w:line="240" w:lineRule="auto"/>
        <w:jc w:val="both"/>
        <w:rPr>
          <w:rFonts w:ascii="Times New Roman" w:hAnsi="Times New Roman" w:cs="Times New Roman"/>
          <w:sz w:val="28"/>
          <w:szCs w:val="28"/>
        </w:rPr>
      </w:pPr>
    </w:p>
    <w:p w14:paraId="58ED9A2A" w14:textId="77777777" w:rsidR="000A6BAA" w:rsidRPr="00FC73C1" w:rsidRDefault="00513A9E">
      <w:pPr>
        <w:widowControl w:val="0"/>
        <w:autoSpaceDE w:val="0"/>
        <w:autoSpaceDN w:val="0"/>
        <w:adjustRightInd w:val="0"/>
        <w:spacing w:after="0" w:line="240" w:lineRule="auto"/>
        <w:jc w:val="both"/>
        <w:rPr>
          <w:rFonts w:ascii="Times New Roman" w:hAnsi="Times New Roman" w:cs="Times New Roman"/>
          <w:sz w:val="28"/>
          <w:szCs w:val="28"/>
        </w:rPr>
      </w:pPr>
      <w:r w:rsidRPr="00FC73C1">
        <w:rPr>
          <w:rFonts w:ascii="Times New Roman" w:hAnsi="Times New Roman" w:cs="Times New Roman"/>
          <w:i/>
          <w:iCs/>
          <w:sz w:val="28"/>
          <w:szCs w:val="28"/>
        </w:rPr>
        <w:t xml:space="preserve"> (...) Cuando una demanda se dirija, de forma concomitante, contra personas de derecho privado y público, se aplicará el fuero de atracción y, en consecuencia, se reconocerá competencia a la jurisdicción contencioso administrativa, únicamente, en los eventos donde, a partir de un análisis conjunto de los hechos, las pretensiones y las pruebas que obren en el expediente, logre advertirse que: (a) es posible inferir razonablemente la existencia de una probabilidad mínimamente seria de que las entidades públicas sean condenadas; (b) el demandante imputó acciones u omisiones por parte de entes públicos y particulares, con suficientes fundamentos fácticos y jurídicos; y, (c) los hechos que dieron origen a la demanda sean los mismos, de modo que, se pueda evidenciar que los dos sujetos, eventualmente, contribuyeron con su conducta a generar el resultado, y esta es la concausa eficiente del daño que se reclama o que fundamenta la responsabilidad solidaria (...)</w:t>
      </w:r>
    </w:p>
    <w:p w14:paraId="2E4029AE" w14:textId="77777777" w:rsidR="000A6BAA" w:rsidRPr="00FC73C1" w:rsidRDefault="000A6BAA">
      <w:pPr>
        <w:widowControl w:val="0"/>
        <w:autoSpaceDE w:val="0"/>
        <w:autoSpaceDN w:val="0"/>
        <w:adjustRightInd w:val="0"/>
        <w:spacing w:after="0" w:line="240" w:lineRule="auto"/>
        <w:jc w:val="both"/>
        <w:rPr>
          <w:rFonts w:ascii="Times New Roman" w:hAnsi="Times New Roman" w:cs="Times New Roman"/>
          <w:sz w:val="28"/>
          <w:szCs w:val="28"/>
        </w:rPr>
      </w:pPr>
    </w:p>
    <w:p w14:paraId="6E8BCBAE" w14:textId="77777777" w:rsidR="000A6BAA" w:rsidRPr="00FC73C1"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4DF8B8F6">
          <v:rect id="_x0000_i1025" style="width:0;height:1.5pt" o:hralign="center" o:hrstd="t" o:hr="t" fillcolor="#a0a0a0" stroked="f"/>
        </w:pict>
      </w:r>
    </w:p>
    <w:p w14:paraId="0411B964" w14:textId="77777777" w:rsidR="00000000" w:rsidRPr="00FC73C1" w:rsidRDefault="00FC73C1" w:rsidP="008E3D44">
      <w:pPr>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REPÚBLICA DE COLOMBIA</w:t>
      </w:r>
    </w:p>
    <w:p w14:paraId="3701E973" w14:textId="77777777" w:rsidR="00000000" w:rsidRPr="00FC73C1" w:rsidRDefault="00FC73C1" w:rsidP="008E3D44">
      <w:pPr>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noProof/>
          <w:color w:val="000000" w:themeColor="text1"/>
          <w:sz w:val="28"/>
          <w:szCs w:val="28"/>
        </w:rPr>
        <w:drawing>
          <wp:inline distT="0" distB="0" distL="0" distR="0" wp14:anchorId="59DC931A" wp14:editId="7E042F33">
            <wp:extent cx="786765" cy="733425"/>
            <wp:effectExtent l="0" t="0" r="0"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733425"/>
                    </a:xfrm>
                    <a:prstGeom prst="rect">
                      <a:avLst/>
                    </a:prstGeom>
                    <a:noFill/>
                  </pic:spPr>
                </pic:pic>
              </a:graphicData>
            </a:graphic>
          </wp:inline>
        </w:drawing>
      </w:r>
    </w:p>
    <w:p w14:paraId="5F65BC7D" w14:textId="77777777" w:rsidR="00000000" w:rsidRPr="00FC73C1" w:rsidRDefault="00FC73C1" w:rsidP="008E3D44">
      <w:pPr>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CORTE CONSTITUCIONAL</w:t>
      </w:r>
    </w:p>
    <w:p w14:paraId="5CFCEDD6" w14:textId="77777777" w:rsidR="00000000" w:rsidRPr="00FC73C1" w:rsidRDefault="00FC73C1" w:rsidP="008E3D44">
      <w:pPr>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SALA PLENA</w:t>
      </w:r>
    </w:p>
    <w:p w14:paraId="6E3D1031" w14:textId="77777777" w:rsidR="00000000" w:rsidRPr="00FC73C1" w:rsidRDefault="00000000" w:rsidP="008E3D44">
      <w:pPr>
        <w:jc w:val="center"/>
        <w:rPr>
          <w:rFonts w:ascii="Times New Roman" w:hAnsi="Times New Roman" w:cs="Times New Roman"/>
          <w:b/>
          <w:bCs/>
          <w:color w:val="000000" w:themeColor="text1"/>
          <w:sz w:val="28"/>
          <w:szCs w:val="28"/>
          <w:lang w:val="es-ES_tradnl"/>
        </w:rPr>
      </w:pPr>
    </w:p>
    <w:p w14:paraId="37A325C2" w14:textId="77777777" w:rsidR="00000000" w:rsidRPr="00FC73C1" w:rsidRDefault="00FC73C1" w:rsidP="008E3D44">
      <w:pPr>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AUTO 512 DE 2024</w:t>
      </w:r>
    </w:p>
    <w:p w14:paraId="08EC43FE" w14:textId="77777777" w:rsidR="00000000" w:rsidRPr="00FC73C1" w:rsidRDefault="00000000" w:rsidP="008E3D44">
      <w:pPr>
        <w:jc w:val="both"/>
        <w:rPr>
          <w:rFonts w:ascii="Times New Roman" w:hAnsi="Times New Roman" w:cs="Times New Roman"/>
          <w:color w:val="000000" w:themeColor="text1"/>
          <w:sz w:val="28"/>
          <w:szCs w:val="28"/>
          <w:lang w:val="es-ES_tradnl"/>
        </w:rPr>
      </w:pPr>
    </w:p>
    <w:p w14:paraId="6AF929CF" w14:textId="77777777" w:rsidR="00000000" w:rsidRPr="00FC73C1" w:rsidRDefault="00FC73C1" w:rsidP="008E3D44">
      <w:pPr>
        <w:tabs>
          <w:tab w:val="left" w:pos="4253"/>
        </w:tabs>
        <w:ind w:left="4253"/>
        <w:jc w:val="both"/>
        <w:rPr>
          <w:rFonts w:ascii="Times New Roman" w:hAnsi="Times New Roman" w:cs="Times New Roman"/>
          <w:color w:val="000000" w:themeColor="text1"/>
          <w:sz w:val="28"/>
          <w:szCs w:val="28"/>
          <w:lang w:val="es-ES_tradnl"/>
        </w:rPr>
      </w:pPr>
      <w:r w:rsidRPr="00FC73C1">
        <w:rPr>
          <w:rFonts w:ascii="Times New Roman" w:hAnsi="Times New Roman" w:cs="Times New Roman"/>
          <w:b/>
          <w:color w:val="000000" w:themeColor="text1"/>
          <w:sz w:val="28"/>
          <w:szCs w:val="28"/>
          <w:lang w:val="es-ES_tradnl"/>
        </w:rPr>
        <w:t>Referencia</w:t>
      </w:r>
      <w:r w:rsidRPr="00FC73C1">
        <w:rPr>
          <w:rFonts w:ascii="Times New Roman" w:hAnsi="Times New Roman" w:cs="Times New Roman"/>
          <w:color w:val="000000" w:themeColor="text1"/>
          <w:sz w:val="28"/>
          <w:szCs w:val="28"/>
          <w:lang w:val="es-ES_tradnl"/>
        </w:rPr>
        <w:t>: Expediente CJU-4374.</w:t>
      </w:r>
    </w:p>
    <w:p w14:paraId="73C5CF6D" w14:textId="77777777" w:rsidR="00000000" w:rsidRPr="00FC73C1" w:rsidRDefault="00000000" w:rsidP="008E3D44">
      <w:pPr>
        <w:tabs>
          <w:tab w:val="left" w:pos="4253"/>
        </w:tabs>
        <w:ind w:left="4253"/>
        <w:jc w:val="both"/>
        <w:rPr>
          <w:rFonts w:ascii="Times New Roman" w:hAnsi="Times New Roman" w:cs="Times New Roman"/>
          <w:color w:val="000000" w:themeColor="text1"/>
          <w:sz w:val="28"/>
          <w:szCs w:val="28"/>
          <w:lang w:val="es-ES_tradnl"/>
        </w:rPr>
      </w:pPr>
    </w:p>
    <w:p w14:paraId="06B371BA" w14:textId="77777777" w:rsidR="00000000" w:rsidRPr="00FC73C1" w:rsidRDefault="00FC73C1" w:rsidP="008E3D44">
      <w:pPr>
        <w:tabs>
          <w:tab w:val="left" w:pos="4253"/>
        </w:tabs>
        <w:ind w:left="4253"/>
        <w:jc w:val="both"/>
        <w:rPr>
          <w:rFonts w:ascii="Times New Roman" w:hAnsi="Times New Roman" w:cs="Times New Roman"/>
          <w:color w:val="000000" w:themeColor="text1"/>
          <w:sz w:val="28"/>
          <w:szCs w:val="28"/>
          <w:lang w:val="es-ES"/>
        </w:rPr>
      </w:pPr>
      <w:r w:rsidRPr="00FC73C1">
        <w:rPr>
          <w:rFonts w:ascii="Times New Roman" w:hAnsi="Times New Roman" w:cs="Times New Roman"/>
          <w:b/>
          <w:bCs/>
          <w:color w:val="000000" w:themeColor="text1"/>
          <w:sz w:val="28"/>
          <w:szCs w:val="28"/>
          <w:lang w:val="es-ES"/>
        </w:rPr>
        <w:t>Asunto:</w:t>
      </w:r>
      <w:r w:rsidRPr="00FC73C1">
        <w:rPr>
          <w:rFonts w:ascii="Times New Roman" w:hAnsi="Times New Roman" w:cs="Times New Roman"/>
          <w:color w:val="000000" w:themeColor="text1"/>
          <w:sz w:val="28"/>
          <w:szCs w:val="28"/>
          <w:lang w:val="es-ES"/>
        </w:rPr>
        <w:t xml:space="preserve"> Conflicto de jurisdicciones suscitado entre el Juzgado 19 Administrativo del Circuito de Santiago de Cali y el Juzgado 18 Civil del Circuito de la misma ciudad.</w:t>
      </w:r>
    </w:p>
    <w:p w14:paraId="2D1E9A0E" w14:textId="77777777" w:rsidR="00000000" w:rsidRPr="00FC73C1" w:rsidRDefault="00000000" w:rsidP="008E3D44">
      <w:pPr>
        <w:tabs>
          <w:tab w:val="left" w:pos="4253"/>
        </w:tabs>
        <w:ind w:left="4253"/>
        <w:jc w:val="both"/>
        <w:rPr>
          <w:rFonts w:ascii="Times New Roman" w:hAnsi="Times New Roman" w:cs="Times New Roman"/>
          <w:color w:val="000000" w:themeColor="text1"/>
          <w:sz w:val="28"/>
          <w:szCs w:val="28"/>
          <w:lang w:val="es-ES_tradnl"/>
        </w:rPr>
      </w:pPr>
    </w:p>
    <w:p w14:paraId="0A08C862" w14:textId="77777777" w:rsidR="00000000" w:rsidRPr="00FC73C1" w:rsidRDefault="00FC73C1" w:rsidP="008E3D44">
      <w:pPr>
        <w:tabs>
          <w:tab w:val="left" w:pos="4253"/>
          <w:tab w:val="left" w:pos="7660"/>
        </w:tabs>
        <w:ind w:left="4253"/>
        <w:jc w:val="both"/>
        <w:rPr>
          <w:rFonts w:ascii="Times New Roman" w:hAnsi="Times New Roman" w:cs="Times New Roman"/>
          <w:b/>
          <w:color w:val="000000" w:themeColor="text1"/>
          <w:sz w:val="28"/>
          <w:szCs w:val="28"/>
          <w:lang w:val="es-ES_tradnl"/>
        </w:rPr>
      </w:pPr>
      <w:r w:rsidRPr="00FC73C1">
        <w:rPr>
          <w:rFonts w:ascii="Times New Roman" w:hAnsi="Times New Roman" w:cs="Times New Roman"/>
          <w:b/>
          <w:color w:val="000000" w:themeColor="text1"/>
          <w:sz w:val="28"/>
          <w:szCs w:val="28"/>
          <w:lang w:val="es-ES_tradnl"/>
        </w:rPr>
        <w:t>Magistrado ponente:</w:t>
      </w:r>
    </w:p>
    <w:p w14:paraId="0DFBFB0C" w14:textId="77777777" w:rsidR="00000000" w:rsidRPr="00FC73C1" w:rsidRDefault="00FC73C1" w:rsidP="008E3D44">
      <w:pPr>
        <w:tabs>
          <w:tab w:val="left" w:pos="4253"/>
        </w:tabs>
        <w:ind w:left="4253"/>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Vladimir Fernández Andrade.</w:t>
      </w:r>
    </w:p>
    <w:p w14:paraId="16DAAB9E" w14:textId="77777777" w:rsidR="00000000" w:rsidRPr="00FC73C1" w:rsidRDefault="00000000" w:rsidP="008E3D44">
      <w:pPr>
        <w:jc w:val="both"/>
        <w:rPr>
          <w:rFonts w:ascii="Times New Roman" w:hAnsi="Times New Roman" w:cs="Times New Roman"/>
          <w:color w:val="000000" w:themeColor="text1"/>
          <w:sz w:val="28"/>
          <w:lang w:val="es-ES_tradnl"/>
        </w:rPr>
      </w:pPr>
    </w:p>
    <w:p w14:paraId="5DF67EF9" w14:textId="77777777" w:rsidR="00000000" w:rsidRPr="00FC73C1" w:rsidRDefault="00FC73C1" w:rsidP="008E3D44">
      <w:pPr>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Bogotá D.C., trece (13) de marzo de dos mil veinticuatro (2024).</w:t>
      </w:r>
    </w:p>
    <w:p w14:paraId="54720799" w14:textId="77777777" w:rsidR="00000000" w:rsidRPr="00FC73C1" w:rsidRDefault="00000000" w:rsidP="008E3D44">
      <w:pPr>
        <w:pStyle w:val="Style6"/>
        <w:widowControl/>
        <w:spacing w:line="240" w:lineRule="auto"/>
        <w:rPr>
          <w:rFonts w:ascii="Times New Roman" w:hAnsi="Times New Roman" w:cs="Times New Roman"/>
          <w:color w:val="000000" w:themeColor="text1"/>
          <w:sz w:val="28"/>
          <w:szCs w:val="28"/>
          <w:lang w:val="es-ES_tradnl"/>
        </w:rPr>
      </w:pPr>
    </w:p>
    <w:p w14:paraId="359A5D10" w14:textId="77777777" w:rsidR="00000000" w:rsidRPr="00FC73C1" w:rsidRDefault="00FC73C1" w:rsidP="008E3D44">
      <w:pPr>
        <w:pStyle w:val="Style6"/>
        <w:spacing w:line="240" w:lineRule="auto"/>
        <w:rPr>
          <w:rFonts w:ascii="Times New Roman" w:hAnsi="Times New Roman" w:cs="Times New Roman"/>
          <w:color w:val="000000" w:themeColor="text1"/>
          <w:sz w:val="28"/>
          <w:szCs w:val="28"/>
          <w:lang w:val="es-ES_tradnl" w:eastAsia="es-ES_tradnl"/>
        </w:rPr>
      </w:pPr>
      <w:r w:rsidRPr="00FC73C1">
        <w:rPr>
          <w:rStyle w:val="FontStyle12"/>
          <w:color w:val="000000" w:themeColor="text1"/>
          <w:sz w:val="28"/>
          <w:szCs w:val="28"/>
          <w:lang w:val="es-ES_tradnl" w:eastAsia="es-ES_tradnl"/>
        </w:rPr>
        <w:t xml:space="preserve">La Sala Plena de la Corte Constitucional, en cumplimiento de sus atribuciones constitucionales y legales, en particular, la prevista por el numeral 11 del artículo 241 de la Constitución política, </w:t>
      </w:r>
      <w:r w:rsidRPr="00FC73C1">
        <w:rPr>
          <w:rFonts w:ascii="Times New Roman" w:hAnsi="Times New Roman" w:cs="Times New Roman"/>
          <w:color w:val="000000" w:themeColor="text1"/>
          <w:sz w:val="28"/>
          <w:szCs w:val="28"/>
          <w:lang w:val="es-ES_tradnl" w:eastAsia="es-ES_tradnl"/>
        </w:rPr>
        <w:t>profiere el presente auto respecto del asunto de la referencia, de acuerdo con los siguientes:</w:t>
      </w:r>
    </w:p>
    <w:p w14:paraId="7DF0F88A" w14:textId="77777777" w:rsidR="00000000" w:rsidRPr="00FC73C1" w:rsidRDefault="00000000" w:rsidP="008E3D44">
      <w:pPr>
        <w:pStyle w:val="Style6"/>
        <w:spacing w:line="240" w:lineRule="auto"/>
        <w:rPr>
          <w:rFonts w:ascii="Times New Roman" w:hAnsi="Times New Roman" w:cs="Times New Roman"/>
          <w:color w:val="000000" w:themeColor="text1"/>
          <w:sz w:val="28"/>
          <w:szCs w:val="28"/>
          <w:lang w:val="es-ES_tradnl" w:eastAsia="es-ES_tradnl"/>
        </w:rPr>
      </w:pPr>
    </w:p>
    <w:p w14:paraId="207BBC26" w14:textId="77777777" w:rsidR="00000000" w:rsidRPr="00FC73C1" w:rsidRDefault="00FC73C1" w:rsidP="008E3D44">
      <w:pPr>
        <w:pStyle w:val="Sinespaciado"/>
        <w:numPr>
          <w:ilvl w:val="0"/>
          <w:numId w:val="1"/>
        </w:numPr>
        <w:jc w:val="center"/>
        <w:rPr>
          <w:rStyle w:val="FontStyle11"/>
          <w:b w:val="0"/>
          <w:color w:val="000000" w:themeColor="text1"/>
          <w:sz w:val="28"/>
          <w:szCs w:val="28"/>
          <w:lang w:val="es-ES_tradnl" w:eastAsia="es-ES_tradnl"/>
        </w:rPr>
      </w:pPr>
      <w:r w:rsidRPr="00FC73C1">
        <w:rPr>
          <w:rStyle w:val="FontStyle11"/>
          <w:color w:val="000000" w:themeColor="text1"/>
          <w:sz w:val="28"/>
          <w:szCs w:val="28"/>
          <w:lang w:val="es-ES_tradnl" w:eastAsia="es-ES_tradnl"/>
        </w:rPr>
        <w:t>ANTECEDENTES</w:t>
      </w:r>
    </w:p>
    <w:p w14:paraId="45EDB494" w14:textId="77777777" w:rsidR="00000000" w:rsidRPr="00FC73C1" w:rsidRDefault="00000000" w:rsidP="008E3D44">
      <w:pPr>
        <w:pStyle w:val="Sinespaciado"/>
        <w:rPr>
          <w:rStyle w:val="FontStyle11"/>
          <w:b w:val="0"/>
          <w:color w:val="000000" w:themeColor="text1"/>
          <w:sz w:val="28"/>
          <w:szCs w:val="28"/>
          <w:lang w:val="es-ES_tradnl" w:eastAsia="es-ES_tradnl"/>
        </w:rPr>
      </w:pPr>
    </w:p>
    <w:p w14:paraId="4B356323"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shd w:val="clear" w:color="auto" w:fill="FFFFFF"/>
          <w:lang w:val="es-ES_tradnl"/>
        </w:rPr>
        <w:t xml:space="preserve">El 18 de septiembre de 2008 a través del medio de control de reparación directa, el señor Rubén Darío Camacho Mosquera instauró demanda en contra del Distrito Especial de Santiago de Cali, el Consorcio </w:t>
      </w:r>
      <w:proofErr w:type="spellStart"/>
      <w:r w:rsidRPr="00FC73C1">
        <w:rPr>
          <w:rFonts w:ascii="Times New Roman" w:hAnsi="Times New Roman" w:cs="Times New Roman"/>
          <w:color w:val="000000" w:themeColor="text1"/>
          <w:sz w:val="28"/>
          <w:szCs w:val="28"/>
          <w:shd w:val="clear" w:color="auto" w:fill="FFFFFF"/>
          <w:lang w:val="es-ES_tradnl"/>
        </w:rPr>
        <w:t>Sercali</w:t>
      </w:r>
      <w:proofErr w:type="spellEnd"/>
      <w:r w:rsidRPr="00FC73C1">
        <w:rPr>
          <w:rStyle w:val="Refdenotaalpie"/>
          <w:rFonts w:ascii="Times New Roman" w:hAnsi="Times New Roman" w:cs="Times New Roman"/>
          <w:color w:val="000000" w:themeColor="text1"/>
          <w:sz w:val="28"/>
          <w:szCs w:val="24"/>
          <w:shd w:val="clear" w:color="auto" w:fill="FFFFFF"/>
          <w:lang w:val="es-ES_tradnl"/>
        </w:rPr>
        <w:footnoteReference w:id="1"/>
      </w:r>
      <w:r w:rsidRPr="00FC73C1">
        <w:rPr>
          <w:rFonts w:ascii="Times New Roman" w:hAnsi="Times New Roman" w:cs="Times New Roman"/>
          <w:color w:val="000000" w:themeColor="text1"/>
          <w:sz w:val="28"/>
          <w:szCs w:val="28"/>
          <w:shd w:val="clear" w:color="auto" w:fill="FFFFFF"/>
          <w:lang w:val="es-ES_tradnl"/>
        </w:rPr>
        <w:t xml:space="preserve">, las aseguradoras llamadas en garantía Liberty Seguros de Vida S.A y Royal &amp; </w:t>
      </w:r>
      <w:proofErr w:type="spellStart"/>
      <w:r w:rsidRPr="00FC73C1">
        <w:rPr>
          <w:rFonts w:ascii="Times New Roman" w:hAnsi="Times New Roman" w:cs="Times New Roman"/>
          <w:color w:val="000000" w:themeColor="text1"/>
          <w:sz w:val="28"/>
          <w:szCs w:val="28"/>
          <w:shd w:val="clear" w:color="auto" w:fill="FFFFFF"/>
          <w:lang w:val="es-ES_tradnl"/>
        </w:rPr>
        <w:t>Sun</w:t>
      </w:r>
      <w:proofErr w:type="spellEnd"/>
      <w:r w:rsidRPr="00FC73C1">
        <w:rPr>
          <w:rFonts w:ascii="Times New Roman" w:hAnsi="Times New Roman" w:cs="Times New Roman"/>
          <w:color w:val="000000" w:themeColor="text1"/>
          <w:sz w:val="28"/>
          <w:szCs w:val="28"/>
          <w:shd w:val="clear" w:color="auto" w:fill="FFFFFF"/>
          <w:lang w:val="es-ES_tradnl"/>
        </w:rPr>
        <w:t xml:space="preserve"> Alliance Seguros S.A. Su pretensión principal es que se declare a las demandadas administrativa y extracontractualmente responsables </w:t>
      </w:r>
      <w:proofErr w:type="gramStart"/>
      <w:r w:rsidRPr="00FC73C1">
        <w:rPr>
          <w:rFonts w:ascii="Times New Roman" w:hAnsi="Times New Roman" w:cs="Times New Roman"/>
          <w:color w:val="000000" w:themeColor="text1"/>
          <w:sz w:val="28"/>
          <w:szCs w:val="28"/>
          <w:shd w:val="clear" w:color="auto" w:fill="FFFFFF"/>
          <w:lang w:val="es-ES_tradnl"/>
        </w:rPr>
        <w:t>y</w:t>
      </w:r>
      <w:proofErr w:type="gramEnd"/>
      <w:r w:rsidRPr="00FC73C1">
        <w:rPr>
          <w:rFonts w:ascii="Times New Roman" w:hAnsi="Times New Roman" w:cs="Times New Roman"/>
          <w:color w:val="000000" w:themeColor="text1"/>
          <w:sz w:val="28"/>
          <w:szCs w:val="28"/>
          <w:shd w:val="clear" w:color="auto" w:fill="FFFFFF"/>
          <w:lang w:val="es-ES_tradnl"/>
        </w:rPr>
        <w:t xml:space="preserve"> en consecuencia, se condenen al pago solidario con ocasión de los perjuicios de orden material, morales, objetivados, subjetivados, actuales y futuros que se </w:t>
      </w:r>
      <w:r w:rsidRPr="00FC73C1">
        <w:rPr>
          <w:rFonts w:ascii="Times New Roman" w:hAnsi="Times New Roman" w:cs="Times New Roman"/>
          <w:color w:val="000000" w:themeColor="text1"/>
          <w:sz w:val="28"/>
          <w:szCs w:val="28"/>
          <w:shd w:val="clear" w:color="auto" w:fill="FFFFFF"/>
          <w:lang w:val="es-ES_tradnl"/>
        </w:rPr>
        <w:lastRenderedPageBreak/>
        <w:t>causaron derivados del accidente de tránsito que sufrió el accionante el 18 de septiembre de 2006.</w:t>
      </w:r>
    </w:p>
    <w:p w14:paraId="5A291998"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lang w:val="es-ES_tradnl"/>
        </w:rPr>
      </w:pPr>
    </w:p>
    <w:p w14:paraId="75C7BAED"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i/>
          <w:iCs/>
          <w:color w:val="000000" w:themeColor="text1"/>
          <w:sz w:val="28"/>
          <w:szCs w:val="28"/>
          <w:lang w:val="es-ES"/>
        </w:rPr>
      </w:pPr>
      <w:r w:rsidRPr="00FC73C1">
        <w:rPr>
          <w:rFonts w:ascii="Times New Roman" w:hAnsi="Times New Roman" w:cs="Times New Roman"/>
          <w:color w:val="000000" w:themeColor="text1"/>
          <w:sz w:val="28"/>
          <w:szCs w:val="28"/>
          <w:shd w:val="clear" w:color="auto" w:fill="FFFFFF"/>
          <w:lang w:val="es-ES"/>
        </w:rPr>
        <w:t xml:space="preserve">Sobre el particular, el señor Camacho Mosquera afirmó que el vehículo que le accidentó era manejado por un trabajador del Consorcio </w:t>
      </w:r>
      <w:proofErr w:type="spellStart"/>
      <w:r w:rsidRPr="00FC73C1">
        <w:rPr>
          <w:rFonts w:ascii="Times New Roman" w:hAnsi="Times New Roman" w:cs="Times New Roman"/>
          <w:color w:val="000000" w:themeColor="text1"/>
          <w:sz w:val="28"/>
          <w:szCs w:val="28"/>
          <w:shd w:val="clear" w:color="auto" w:fill="FFFFFF"/>
          <w:lang w:val="es-ES"/>
        </w:rPr>
        <w:t>Sercali</w:t>
      </w:r>
      <w:proofErr w:type="spellEnd"/>
      <w:r w:rsidRPr="00FC73C1">
        <w:rPr>
          <w:rFonts w:ascii="Times New Roman" w:hAnsi="Times New Roman" w:cs="Times New Roman"/>
          <w:color w:val="000000" w:themeColor="text1"/>
          <w:sz w:val="28"/>
          <w:szCs w:val="28"/>
          <w:shd w:val="clear" w:color="auto" w:fill="FFFFFF"/>
          <w:lang w:val="es-ES"/>
        </w:rPr>
        <w:t>, sociedad que en su momento había suscrito un contrato con el Distrito Especial de Santiago de Cali</w:t>
      </w:r>
      <w:r w:rsidRPr="00FC73C1">
        <w:rPr>
          <w:rStyle w:val="Refdenotaalpie"/>
          <w:rFonts w:ascii="Times New Roman" w:hAnsi="Times New Roman" w:cs="Times New Roman"/>
          <w:color w:val="000000" w:themeColor="text1"/>
          <w:sz w:val="28"/>
          <w:shd w:val="clear" w:color="auto" w:fill="FFFFFF"/>
          <w:lang w:val="es-ES"/>
        </w:rPr>
        <w:footnoteReference w:id="2"/>
      </w:r>
      <w:r w:rsidRPr="00FC73C1">
        <w:rPr>
          <w:rFonts w:ascii="Times New Roman" w:hAnsi="Times New Roman" w:cs="Times New Roman"/>
          <w:color w:val="000000" w:themeColor="text1"/>
          <w:sz w:val="28"/>
          <w:szCs w:val="28"/>
          <w:shd w:val="clear" w:color="auto" w:fill="FFFFFF"/>
          <w:lang w:val="es-ES"/>
        </w:rPr>
        <w:t>. En su criterio, dicho Consorcio incurrió en responsabilidad de tipo directo que se evidencia en una</w:t>
      </w:r>
      <w:r w:rsidRPr="00FC73C1">
        <w:rPr>
          <w:rFonts w:ascii="Times New Roman" w:hAnsi="Times New Roman" w:cs="Times New Roman"/>
          <w:i/>
          <w:iCs/>
          <w:color w:val="000000" w:themeColor="text1"/>
          <w:sz w:val="28"/>
          <w:szCs w:val="28"/>
          <w:shd w:val="clear" w:color="auto" w:fill="FFFFFF"/>
          <w:lang w:val="es-ES"/>
        </w:rPr>
        <w:t xml:space="preserve"> </w:t>
      </w:r>
      <w:r w:rsidRPr="00FC73C1">
        <w:rPr>
          <w:rFonts w:ascii="Times New Roman" w:hAnsi="Times New Roman" w:cs="Times New Roman"/>
          <w:color w:val="000000" w:themeColor="text1"/>
          <w:sz w:val="28"/>
          <w:szCs w:val="28"/>
          <w:shd w:val="clear" w:color="auto" w:fill="FFFFFF"/>
          <w:lang w:val="es-ES"/>
        </w:rPr>
        <w:t>“</w:t>
      </w:r>
      <w:r w:rsidRPr="00FC73C1">
        <w:rPr>
          <w:rFonts w:ascii="Times New Roman" w:hAnsi="Times New Roman" w:cs="Times New Roman"/>
          <w:i/>
          <w:iCs/>
          <w:color w:val="000000" w:themeColor="text1"/>
          <w:sz w:val="28"/>
          <w:szCs w:val="28"/>
          <w:shd w:val="clear" w:color="auto" w:fill="FFFFFF"/>
          <w:lang w:val="es-ES"/>
        </w:rPr>
        <w:t>falla de la administración</w:t>
      </w:r>
      <w:r w:rsidRPr="00FC73C1">
        <w:rPr>
          <w:rFonts w:ascii="Times New Roman" w:hAnsi="Times New Roman" w:cs="Times New Roman"/>
          <w:color w:val="000000" w:themeColor="text1"/>
          <w:sz w:val="28"/>
          <w:szCs w:val="28"/>
          <w:shd w:val="clear" w:color="auto" w:fill="FFFFFF"/>
          <w:lang w:val="es-ES"/>
        </w:rPr>
        <w:t>”</w:t>
      </w:r>
      <w:r w:rsidRPr="00FC73C1">
        <w:rPr>
          <w:rFonts w:ascii="Times New Roman" w:hAnsi="Times New Roman" w:cs="Times New Roman"/>
          <w:i/>
          <w:iCs/>
          <w:color w:val="000000" w:themeColor="text1"/>
          <w:sz w:val="28"/>
          <w:szCs w:val="28"/>
          <w:shd w:val="clear" w:color="auto" w:fill="FFFFFF"/>
          <w:lang w:val="es-ES"/>
        </w:rPr>
        <w:t xml:space="preserve"> </w:t>
      </w:r>
      <w:r w:rsidRPr="00FC73C1">
        <w:rPr>
          <w:rFonts w:ascii="Times New Roman" w:hAnsi="Times New Roman" w:cs="Times New Roman"/>
          <w:color w:val="000000" w:themeColor="text1"/>
          <w:sz w:val="28"/>
          <w:szCs w:val="28"/>
          <w:shd w:val="clear" w:color="auto" w:fill="FFFFFF"/>
          <w:lang w:val="es-ES"/>
        </w:rPr>
        <w:t>ligada a la conducta desplegada por el conductor del vehículo.</w:t>
      </w:r>
    </w:p>
    <w:p w14:paraId="0A5B06B8"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lang w:val="es-ES_tradnl"/>
        </w:rPr>
      </w:pPr>
    </w:p>
    <w:p w14:paraId="611D749E"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 xml:space="preserve">El 06 de febrero de 2023, el Juzgado 19 Administrativo del Circuito Santiago de Cali profirió sentencia de primera instancia en la que negó las pretensiones en cuanto al </w:t>
      </w:r>
      <w:r w:rsidRPr="00FC73C1">
        <w:rPr>
          <w:rFonts w:ascii="Times New Roman" w:hAnsi="Times New Roman" w:cs="Times New Roman"/>
          <w:color w:val="000000" w:themeColor="text1"/>
          <w:sz w:val="28"/>
          <w:szCs w:val="28"/>
          <w:shd w:val="clear" w:color="auto" w:fill="FFFFFF"/>
          <w:lang w:val="es-ES_tradnl"/>
        </w:rPr>
        <w:t>Distrito Especial de Santiago de Cali,</w:t>
      </w:r>
      <w:r w:rsidRPr="00FC73C1">
        <w:rPr>
          <w:rFonts w:ascii="Times New Roman" w:hAnsi="Times New Roman" w:cs="Times New Roman"/>
          <w:color w:val="000000" w:themeColor="text1"/>
          <w:sz w:val="28"/>
          <w:szCs w:val="28"/>
          <w:lang w:val="es-ES_tradnl"/>
        </w:rPr>
        <w:t xml:space="preserve"> declaró probada la excepción por falta de jurisdicción para conocer de la demanda y ordenó la remisión del asunto a los juzgados civiles del circuito de la misma ciudad. En su </w:t>
      </w:r>
      <w:r w:rsidRPr="00FC73C1">
        <w:rPr>
          <w:rFonts w:ascii="Times New Roman" w:hAnsi="Times New Roman" w:cs="Times New Roman"/>
          <w:color w:val="000000" w:themeColor="text1"/>
          <w:sz w:val="28"/>
          <w:szCs w:val="28"/>
          <w:shd w:val="clear" w:color="auto" w:fill="FFFFFF"/>
          <w:lang w:val="es-ES_tradnl"/>
        </w:rPr>
        <w:t>criterio, a partir de la aplicación de la figura del fuero de atracción a este asunto y pronunciamientos del Consejo de Estado sobre la materia</w:t>
      </w:r>
      <w:r w:rsidRPr="00FC73C1">
        <w:rPr>
          <w:rStyle w:val="Refdenotaalpie"/>
          <w:rFonts w:ascii="Times New Roman" w:hAnsi="Times New Roman" w:cs="Times New Roman"/>
          <w:color w:val="000000" w:themeColor="text1"/>
          <w:sz w:val="28"/>
          <w:szCs w:val="24"/>
          <w:shd w:val="clear" w:color="auto" w:fill="FFFFFF"/>
          <w:lang w:val="es-ES_tradnl"/>
        </w:rPr>
        <w:footnoteReference w:id="3"/>
      </w:r>
      <w:r w:rsidRPr="00FC73C1">
        <w:rPr>
          <w:rFonts w:ascii="Times New Roman" w:hAnsi="Times New Roman" w:cs="Times New Roman"/>
          <w:color w:val="000000" w:themeColor="text1"/>
          <w:sz w:val="28"/>
          <w:szCs w:val="28"/>
          <w:shd w:val="clear" w:color="auto" w:fill="FFFFFF"/>
          <w:lang w:val="es-ES_tradnl"/>
        </w:rPr>
        <w:t>, no es posible activar la competencia de la Jurisdicción de lo Contencioso Administrativo debido a que “</w:t>
      </w:r>
      <w:r w:rsidRPr="00FC73C1">
        <w:rPr>
          <w:rFonts w:ascii="Times New Roman" w:hAnsi="Times New Roman" w:cs="Times New Roman"/>
          <w:i/>
          <w:iCs/>
          <w:color w:val="000000" w:themeColor="text1"/>
          <w:sz w:val="28"/>
          <w:szCs w:val="28"/>
          <w:shd w:val="clear" w:color="auto" w:fill="FFFFFF"/>
          <w:lang w:val="es-ES_tradnl"/>
        </w:rPr>
        <w:t>no se encontró forma de endilgarle responsabilidad al hoy Distrito de Santiago de Cali</w:t>
      </w:r>
      <w:r w:rsidRPr="00FC73C1">
        <w:rPr>
          <w:rFonts w:ascii="Times New Roman" w:hAnsi="Times New Roman" w:cs="Times New Roman"/>
          <w:color w:val="000000" w:themeColor="text1"/>
          <w:sz w:val="28"/>
          <w:szCs w:val="28"/>
          <w:shd w:val="clear" w:color="auto" w:fill="FFFFFF"/>
          <w:lang w:val="es-ES_tradnl"/>
        </w:rPr>
        <w:t>”, por lo que “l</w:t>
      </w:r>
      <w:r w:rsidRPr="00FC73C1">
        <w:rPr>
          <w:rFonts w:ascii="Times New Roman" w:hAnsi="Times New Roman" w:cs="Times New Roman"/>
          <w:i/>
          <w:iCs/>
          <w:color w:val="000000" w:themeColor="text1"/>
          <w:sz w:val="28"/>
          <w:szCs w:val="28"/>
          <w:shd w:val="clear" w:color="auto" w:fill="FFFFFF"/>
          <w:lang w:val="es-ES_tradnl"/>
        </w:rPr>
        <w:t>a responsabilidad de los particulares que componen el extremo pasivo de la litis será definida por la jurisdicción ordinaria</w:t>
      </w:r>
      <w:r w:rsidRPr="00FC73C1">
        <w:rPr>
          <w:rFonts w:ascii="Times New Roman" w:hAnsi="Times New Roman" w:cs="Times New Roman"/>
          <w:color w:val="000000" w:themeColor="text1"/>
          <w:sz w:val="28"/>
          <w:szCs w:val="28"/>
          <w:shd w:val="clear" w:color="auto" w:fill="FFFFFF"/>
          <w:lang w:val="es-ES_tradnl"/>
        </w:rPr>
        <w:t>”.</w:t>
      </w:r>
      <w:bookmarkStart w:id="0" w:name="_Ref127460063"/>
    </w:p>
    <w:p w14:paraId="420FBEF2"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lang w:val="es-ES_tradnl"/>
        </w:rPr>
      </w:pPr>
    </w:p>
    <w:p w14:paraId="711D12D1"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 xml:space="preserve">El asunto fue repartido al Juzgado 18 Civil del Circuito de Santiago de Cali </w:t>
      </w:r>
      <w:proofErr w:type="gramStart"/>
      <w:r w:rsidRPr="00FC73C1">
        <w:rPr>
          <w:rFonts w:ascii="Times New Roman" w:hAnsi="Times New Roman" w:cs="Times New Roman"/>
          <w:color w:val="000000" w:themeColor="text1"/>
          <w:sz w:val="28"/>
          <w:szCs w:val="28"/>
          <w:lang w:val="es-ES_tradnl"/>
        </w:rPr>
        <w:t>que</w:t>
      </w:r>
      <w:proofErr w:type="gramEnd"/>
      <w:r w:rsidRPr="00FC73C1">
        <w:rPr>
          <w:rFonts w:ascii="Times New Roman" w:hAnsi="Times New Roman" w:cs="Times New Roman"/>
          <w:color w:val="000000" w:themeColor="text1"/>
          <w:sz w:val="28"/>
          <w:szCs w:val="28"/>
          <w:lang w:val="es-ES_tradnl"/>
        </w:rPr>
        <w:t xml:space="preserve"> a través del auto del 16 de junio de 2023, rechazó la demanda por falta de jurisdicción, suscitó conflicto negativo de competencia y remitió el expediente a esta corporación. Sustentó su decisión en pronunciamientos del Consejo de Estado</w:t>
      </w:r>
      <w:r w:rsidRPr="00FC73C1">
        <w:rPr>
          <w:rStyle w:val="Refdenotaalpie"/>
          <w:rFonts w:ascii="Times New Roman" w:hAnsi="Times New Roman" w:cs="Times New Roman"/>
          <w:color w:val="000000" w:themeColor="text1"/>
          <w:sz w:val="28"/>
          <w:szCs w:val="24"/>
          <w:lang w:val="es-ES_tradnl"/>
        </w:rPr>
        <w:footnoteReference w:id="4"/>
      </w:r>
      <w:r w:rsidRPr="00FC73C1">
        <w:rPr>
          <w:rFonts w:ascii="Times New Roman" w:hAnsi="Times New Roman" w:cs="Times New Roman"/>
          <w:color w:val="000000" w:themeColor="text1"/>
          <w:sz w:val="28"/>
          <w:szCs w:val="28"/>
          <w:lang w:val="es-ES_tradnl"/>
        </w:rPr>
        <w:t xml:space="preserve"> en los </w:t>
      </w:r>
      <w:proofErr w:type="gramStart"/>
      <w:r w:rsidRPr="00FC73C1">
        <w:rPr>
          <w:rFonts w:ascii="Times New Roman" w:hAnsi="Times New Roman" w:cs="Times New Roman"/>
          <w:color w:val="000000" w:themeColor="text1"/>
          <w:sz w:val="28"/>
          <w:szCs w:val="28"/>
          <w:lang w:val="es-ES_tradnl"/>
        </w:rPr>
        <w:t>que</w:t>
      </w:r>
      <w:proofErr w:type="gramEnd"/>
      <w:r w:rsidRPr="00FC73C1">
        <w:rPr>
          <w:rFonts w:ascii="Times New Roman" w:hAnsi="Times New Roman" w:cs="Times New Roman"/>
          <w:color w:val="000000" w:themeColor="text1"/>
          <w:sz w:val="28"/>
          <w:szCs w:val="28"/>
          <w:lang w:val="es-ES_tradnl"/>
        </w:rPr>
        <w:t xml:space="preserve"> en su criterio, explican que la “</w:t>
      </w:r>
      <w:r w:rsidRPr="00FC73C1">
        <w:rPr>
          <w:rFonts w:ascii="Times New Roman" w:hAnsi="Times New Roman" w:cs="Times New Roman"/>
          <w:i/>
          <w:iCs/>
          <w:color w:val="000000" w:themeColor="text1"/>
          <w:sz w:val="28"/>
          <w:szCs w:val="28"/>
          <w:lang w:val="es-ES_tradnl"/>
        </w:rPr>
        <w:t>jurisdicción en razón del fuero de atracción no está condicionada al éxito de las pretensiones, pues no se trata de una competencia ‘provisional’, ajena al esquema de la teoría del proceso</w:t>
      </w:r>
      <w:r w:rsidRPr="00FC73C1">
        <w:rPr>
          <w:rFonts w:ascii="Times New Roman" w:hAnsi="Times New Roman" w:cs="Times New Roman"/>
          <w:color w:val="000000" w:themeColor="text1"/>
          <w:sz w:val="28"/>
          <w:szCs w:val="28"/>
          <w:lang w:val="es-ES_tradnl"/>
        </w:rPr>
        <w:t xml:space="preserve">”. Así, debido a que el juez administrativo se </w:t>
      </w:r>
      <w:r w:rsidRPr="00FC73C1">
        <w:rPr>
          <w:rFonts w:ascii="Times New Roman" w:hAnsi="Times New Roman" w:cs="Times New Roman"/>
          <w:color w:val="000000" w:themeColor="text1"/>
          <w:sz w:val="28"/>
          <w:szCs w:val="28"/>
          <w:lang w:val="es-ES_tradnl"/>
        </w:rPr>
        <w:lastRenderedPageBreak/>
        <w:t>le atribuyó la competencia inicial de conocer sobre las pretensiones “</w:t>
      </w:r>
      <w:r w:rsidRPr="00FC73C1">
        <w:rPr>
          <w:rFonts w:ascii="Times New Roman" w:hAnsi="Times New Roman" w:cs="Times New Roman"/>
          <w:i/>
          <w:iCs/>
          <w:color w:val="000000" w:themeColor="text1"/>
          <w:sz w:val="28"/>
          <w:szCs w:val="28"/>
          <w:lang w:val="es-ES_tradnl"/>
        </w:rPr>
        <w:t>en virtud del fuero de atracción, este mismo juez tiene la facultad-deber de concluir con la contienda en su integralidad, pues está emitiendo sentencia, no calificando la demanda</w:t>
      </w:r>
      <w:r w:rsidRPr="00FC73C1">
        <w:rPr>
          <w:rFonts w:ascii="Times New Roman" w:hAnsi="Times New Roman" w:cs="Times New Roman"/>
          <w:color w:val="000000" w:themeColor="text1"/>
          <w:sz w:val="28"/>
          <w:szCs w:val="28"/>
          <w:lang w:val="es-ES_tradnl"/>
        </w:rPr>
        <w:t>”</w:t>
      </w:r>
      <w:r w:rsidRPr="00FC73C1">
        <w:rPr>
          <w:rStyle w:val="Refdenotaalpie"/>
          <w:rFonts w:ascii="Times New Roman" w:hAnsi="Times New Roman" w:cs="Times New Roman"/>
          <w:color w:val="000000" w:themeColor="text1"/>
          <w:sz w:val="28"/>
          <w:szCs w:val="24"/>
          <w:lang w:val="es-ES_tradnl"/>
        </w:rPr>
        <w:footnoteReference w:id="5"/>
      </w:r>
      <w:r w:rsidRPr="00FC73C1">
        <w:rPr>
          <w:rFonts w:ascii="Times New Roman" w:hAnsi="Times New Roman" w:cs="Times New Roman"/>
          <w:color w:val="000000" w:themeColor="text1"/>
          <w:sz w:val="28"/>
          <w:szCs w:val="28"/>
          <w:lang w:val="es-ES_tradnl"/>
        </w:rPr>
        <w:t>.</w:t>
      </w:r>
    </w:p>
    <w:bookmarkEnd w:id="0"/>
    <w:p w14:paraId="0367D204" w14:textId="77777777" w:rsidR="00000000" w:rsidRPr="00FC73C1" w:rsidRDefault="00000000" w:rsidP="008E3D44">
      <w:pPr>
        <w:rPr>
          <w:rStyle w:val="FontStyle11"/>
          <w:b w:val="0"/>
          <w:bCs w:val="0"/>
          <w:color w:val="000000" w:themeColor="text1"/>
          <w:sz w:val="28"/>
          <w:szCs w:val="28"/>
          <w:lang w:val="es-ES_tradnl"/>
        </w:rPr>
      </w:pPr>
    </w:p>
    <w:p w14:paraId="40F0A11F"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Style w:val="FontStyle11"/>
          <w:b w:val="0"/>
          <w:bCs w:val="0"/>
          <w:color w:val="000000" w:themeColor="text1"/>
          <w:sz w:val="28"/>
          <w:szCs w:val="28"/>
          <w:lang w:val="es-ES_tradnl"/>
        </w:rPr>
        <w:t>Una vez remitido el asunto a esta corporación, el expediente fue repartido al magistrado sustanciador el 16 de agosto de 2023 y enviado al despacho el día dos días después</w:t>
      </w:r>
      <w:r w:rsidRPr="00FC73C1">
        <w:rPr>
          <w:rStyle w:val="Refdenotaalpie"/>
          <w:rFonts w:ascii="Times New Roman" w:hAnsi="Times New Roman" w:cs="Times New Roman"/>
          <w:color w:val="000000" w:themeColor="text1"/>
          <w:sz w:val="28"/>
          <w:szCs w:val="28"/>
          <w:lang w:val="es-ES_tradnl"/>
        </w:rPr>
        <w:footnoteReference w:id="6"/>
      </w:r>
      <w:r w:rsidRPr="00FC73C1">
        <w:rPr>
          <w:rFonts w:ascii="Times New Roman" w:hAnsi="Times New Roman" w:cs="Times New Roman"/>
          <w:color w:val="000000" w:themeColor="text1"/>
          <w:sz w:val="28"/>
          <w:szCs w:val="28"/>
          <w:lang w:val="es-ES_tradnl"/>
        </w:rPr>
        <w:t>.</w:t>
      </w:r>
    </w:p>
    <w:p w14:paraId="6A61E88B" w14:textId="77777777" w:rsidR="00000000" w:rsidRPr="00FC73C1" w:rsidRDefault="00000000" w:rsidP="008E3D44">
      <w:pPr>
        <w:pStyle w:val="Prrafodelista"/>
        <w:spacing w:after="0" w:line="240" w:lineRule="auto"/>
        <w:ind w:left="0"/>
        <w:jc w:val="both"/>
        <w:rPr>
          <w:rFonts w:ascii="Times New Roman" w:hAnsi="Times New Roman" w:cs="Times New Roman"/>
          <w:i/>
          <w:iCs/>
          <w:color w:val="000000" w:themeColor="text1"/>
          <w:sz w:val="28"/>
          <w:szCs w:val="28"/>
          <w:lang w:val="es-ES_tradnl"/>
        </w:rPr>
      </w:pPr>
    </w:p>
    <w:p w14:paraId="492304DF" w14:textId="77777777" w:rsidR="00000000" w:rsidRPr="00FC73C1" w:rsidRDefault="00FC73C1" w:rsidP="008E3D44">
      <w:pPr>
        <w:pStyle w:val="Prrafodelista"/>
        <w:numPr>
          <w:ilvl w:val="0"/>
          <w:numId w:val="1"/>
        </w:numPr>
        <w:spacing w:after="0" w:line="240" w:lineRule="auto"/>
        <w:ind w:left="0"/>
        <w:jc w:val="center"/>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CONSIDERACIONES DE LA CORTE CONSTITUCIONAL</w:t>
      </w:r>
    </w:p>
    <w:p w14:paraId="5F7EB9D3" w14:textId="77777777" w:rsidR="00000000" w:rsidRPr="00FC73C1" w:rsidRDefault="00000000" w:rsidP="008E3D44">
      <w:pPr>
        <w:jc w:val="both"/>
        <w:rPr>
          <w:rFonts w:ascii="Times New Roman" w:hAnsi="Times New Roman" w:cs="Times New Roman"/>
          <w:i/>
          <w:iCs/>
          <w:color w:val="000000" w:themeColor="text1"/>
          <w:sz w:val="28"/>
          <w:szCs w:val="28"/>
          <w:lang w:val="es-ES_tradnl"/>
        </w:rPr>
      </w:pPr>
    </w:p>
    <w:p w14:paraId="1BABB330" w14:textId="77777777" w:rsidR="00000000" w:rsidRPr="00FC73C1" w:rsidRDefault="00FC73C1" w:rsidP="008E3D44">
      <w:pPr>
        <w:pStyle w:val="Prrafodelista"/>
        <w:numPr>
          <w:ilvl w:val="0"/>
          <w:numId w:val="3"/>
        </w:numPr>
        <w:spacing w:after="0" w:line="240" w:lineRule="auto"/>
        <w:ind w:left="1276" w:hanging="709"/>
        <w:jc w:val="both"/>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Competencia.</w:t>
      </w:r>
    </w:p>
    <w:p w14:paraId="2506029E"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shd w:val="clear" w:color="auto" w:fill="FFFFFF"/>
          <w:lang w:val="es-ES_tradnl"/>
        </w:rPr>
      </w:pPr>
    </w:p>
    <w:p w14:paraId="729F3A7E"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i/>
          <w:iCs/>
          <w:color w:val="000000" w:themeColor="text1"/>
          <w:sz w:val="28"/>
          <w:szCs w:val="28"/>
          <w:lang w:val="es-ES_tradnl"/>
        </w:rPr>
      </w:pPr>
      <w:r w:rsidRPr="00FC73C1">
        <w:rPr>
          <w:rFonts w:ascii="Times New Roman" w:hAnsi="Times New Roman" w:cs="Times New Roman"/>
          <w:color w:val="000000" w:themeColor="text1"/>
          <w:sz w:val="28"/>
          <w:szCs w:val="28"/>
          <w:shd w:val="clear" w:color="auto" w:fill="FFFFFF"/>
          <w:lang w:val="es-ES_tradnl"/>
        </w:rPr>
        <w:t>La Corte Constitucional es competente para resolver los conflictos entre jurisdicciones, de conformidad con el numeral 11 del artículo 241 de la Constitución Política, adicionado por el artículo 14 del Acto Legislativo 02 de 2015</w:t>
      </w:r>
      <w:r w:rsidRPr="00FC73C1">
        <w:rPr>
          <w:rFonts w:ascii="Times New Roman" w:hAnsi="Times New Roman" w:cs="Times New Roman"/>
          <w:color w:val="000000" w:themeColor="text1"/>
          <w:sz w:val="28"/>
          <w:szCs w:val="24"/>
          <w:shd w:val="clear" w:color="auto" w:fill="FFFFFF"/>
          <w:lang w:val="es-ES_tradnl"/>
        </w:rPr>
        <w:t>.</w:t>
      </w:r>
    </w:p>
    <w:p w14:paraId="6193DE78" w14:textId="77777777" w:rsidR="00000000" w:rsidRPr="00FC73C1" w:rsidRDefault="00000000" w:rsidP="008E3D44">
      <w:pPr>
        <w:pStyle w:val="Prrafodelista"/>
        <w:spacing w:after="0" w:line="240" w:lineRule="auto"/>
        <w:ind w:left="0"/>
        <w:jc w:val="both"/>
        <w:rPr>
          <w:rFonts w:ascii="Times New Roman" w:hAnsi="Times New Roman" w:cs="Times New Roman"/>
          <w:i/>
          <w:iCs/>
          <w:color w:val="000000" w:themeColor="text1"/>
          <w:sz w:val="28"/>
          <w:szCs w:val="28"/>
          <w:lang w:val="es-ES_tradnl"/>
        </w:rPr>
      </w:pPr>
    </w:p>
    <w:p w14:paraId="00CA949D" w14:textId="77777777" w:rsidR="00000000" w:rsidRPr="00FC73C1" w:rsidRDefault="00FC73C1" w:rsidP="008E3D44">
      <w:pPr>
        <w:pStyle w:val="Prrafodelista"/>
        <w:numPr>
          <w:ilvl w:val="0"/>
          <w:numId w:val="3"/>
        </w:numPr>
        <w:spacing w:after="0" w:line="240" w:lineRule="auto"/>
        <w:ind w:left="1276" w:hanging="709"/>
        <w:jc w:val="both"/>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Presupuestos del conflicto entre jurisdicciones.</w:t>
      </w:r>
    </w:p>
    <w:p w14:paraId="76B3F78A" w14:textId="77777777" w:rsidR="00000000" w:rsidRPr="00FC73C1" w:rsidRDefault="00000000" w:rsidP="008E3D44">
      <w:pPr>
        <w:pStyle w:val="Prrafodelista"/>
        <w:spacing w:after="0" w:line="240" w:lineRule="auto"/>
        <w:ind w:left="0"/>
        <w:jc w:val="both"/>
        <w:rPr>
          <w:rFonts w:ascii="Times New Roman" w:hAnsi="Times New Roman" w:cs="Times New Roman"/>
          <w:i/>
          <w:iCs/>
          <w:color w:val="000000" w:themeColor="text1"/>
          <w:sz w:val="28"/>
          <w:szCs w:val="28"/>
          <w:lang w:val="es-ES_tradnl"/>
        </w:rPr>
      </w:pPr>
    </w:p>
    <w:p w14:paraId="712C654A"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i/>
          <w:iCs/>
          <w:color w:val="000000" w:themeColor="text1"/>
          <w:sz w:val="28"/>
          <w:szCs w:val="32"/>
          <w:lang w:val="es-ES_tradnl"/>
        </w:rPr>
      </w:pPr>
      <w:r w:rsidRPr="00FC73C1">
        <w:rPr>
          <w:rFonts w:ascii="Times New Roman" w:eastAsiaTheme="minorHAnsi" w:hAnsi="Times New Roman" w:cs="Times New Roman"/>
          <w:iCs/>
          <w:color w:val="000000" w:themeColor="text1"/>
          <w:sz w:val="28"/>
          <w:szCs w:val="24"/>
          <w:lang w:val="es-ES_tradnl"/>
        </w:rPr>
        <w:t>Los conflictos de competencia entre jurisdicciones se presentan cuando dos o más autoridades que administran justicia y pertenecen a distintas jurisdicciones, “</w:t>
      </w:r>
      <w:r w:rsidRPr="00FC73C1">
        <w:rPr>
          <w:rFonts w:ascii="Times New Roman" w:eastAsiaTheme="minorHAnsi" w:hAnsi="Times New Roman" w:cs="Times New Roman"/>
          <w:i/>
          <w:color w:val="000000" w:themeColor="text1"/>
          <w:sz w:val="28"/>
          <w:szCs w:val="24"/>
          <w:lang w:val="es-ES_tradnl"/>
        </w:rPr>
        <w:t>se disputan el conocimiento de un proceso, bien sea porque estiman que a ninguna le corresponde (negativo), o porque consideran que es de su exclusiva incumbencia (positivo)</w:t>
      </w:r>
      <w:r w:rsidRPr="00FC73C1">
        <w:rPr>
          <w:rFonts w:ascii="Times New Roman" w:eastAsiaTheme="minorHAnsi" w:hAnsi="Times New Roman" w:cs="Times New Roman"/>
          <w:iCs/>
          <w:color w:val="000000" w:themeColor="text1"/>
          <w:sz w:val="28"/>
          <w:szCs w:val="24"/>
          <w:lang w:val="es-ES_tradnl"/>
        </w:rPr>
        <w:t>”</w:t>
      </w:r>
      <w:r w:rsidRPr="00FC73C1">
        <w:rPr>
          <w:rStyle w:val="Refdenotaalpie"/>
          <w:rFonts w:ascii="Times New Roman" w:eastAsiaTheme="minorHAnsi" w:hAnsi="Times New Roman" w:cs="Times New Roman"/>
          <w:iCs/>
          <w:color w:val="000000" w:themeColor="text1"/>
          <w:sz w:val="28"/>
          <w:szCs w:val="24"/>
          <w:lang w:val="es-ES_tradnl"/>
        </w:rPr>
        <w:footnoteReference w:id="7"/>
      </w:r>
      <w:r w:rsidRPr="00FC73C1">
        <w:rPr>
          <w:rFonts w:ascii="Times New Roman" w:eastAsiaTheme="minorHAnsi" w:hAnsi="Times New Roman" w:cs="Times New Roman"/>
          <w:iCs/>
          <w:color w:val="000000" w:themeColor="text1"/>
          <w:sz w:val="28"/>
          <w:szCs w:val="24"/>
          <w:lang w:val="es-ES_tradnl"/>
        </w:rPr>
        <w:t>. De manera reiterada, la Corte ha considerado que para que se configure estos conflictos, es necesario que se acrediten tres presupuestos: subjetivo, objetivo y normativo, los cuales se explican en el siguiente cuadro:</w:t>
      </w:r>
    </w:p>
    <w:p w14:paraId="4F36AC83" w14:textId="77777777" w:rsidR="00000000" w:rsidRPr="00FC73C1" w:rsidRDefault="00000000" w:rsidP="008E3D44">
      <w:pPr>
        <w:pStyle w:val="Prrafodelista"/>
        <w:spacing w:after="0" w:line="240" w:lineRule="auto"/>
        <w:rPr>
          <w:rFonts w:ascii="Times New Roman" w:hAnsi="Times New Roman" w:cs="Times New Roman"/>
          <w:color w:val="000000" w:themeColor="text1"/>
          <w:sz w:val="28"/>
          <w:shd w:val="clear" w:color="auto" w:fill="FFFFFF"/>
          <w:lang w:val="es-ES_tradnl"/>
        </w:rPr>
      </w:pPr>
    </w:p>
    <w:tbl>
      <w:tblPr>
        <w:tblStyle w:val="Tablaconcuadrcula"/>
        <w:tblW w:w="0" w:type="auto"/>
        <w:jc w:val="center"/>
        <w:tblLook w:val="04A0" w:firstRow="1" w:lastRow="0" w:firstColumn="1" w:lastColumn="0" w:noHBand="0" w:noVBand="1"/>
      </w:tblPr>
      <w:tblGrid>
        <w:gridCol w:w="1551"/>
        <w:gridCol w:w="7277"/>
      </w:tblGrid>
      <w:tr w:rsidR="00742E32" w:rsidRPr="00FC73C1" w14:paraId="2AC48C41" w14:textId="77777777" w:rsidTr="00FC5911">
        <w:trPr>
          <w:jc w:val="center"/>
        </w:trPr>
        <w:tc>
          <w:tcPr>
            <w:tcW w:w="9282" w:type="dxa"/>
            <w:gridSpan w:val="2"/>
            <w:shd w:val="clear" w:color="auto" w:fill="E7E6E6" w:themeFill="background2"/>
            <w:vAlign w:val="center"/>
          </w:tcPr>
          <w:p w14:paraId="7F84F554" w14:textId="77777777" w:rsidR="00000000" w:rsidRPr="00FC73C1" w:rsidRDefault="00FC73C1" w:rsidP="008E3D44">
            <w:pPr>
              <w:pStyle w:val="Prrafodelista"/>
              <w:ind w:left="0"/>
              <w:jc w:val="center"/>
              <w:rPr>
                <w:rFonts w:ascii="Times New Roman" w:hAnsi="Times New Roman" w:cs="Times New Roman"/>
                <w:color w:val="000000" w:themeColor="text1"/>
                <w:sz w:val="28"/>
                <w:szCs w:val="24"/>
                <w:shd w:val="clear" w:color="auto" w:fill="FFFFFF"/>
                <w:lang w:val="es-ES_tradnl"/>
              </w:rPr>
            </w:pPr>
            <w:r w:rsidRPr="00FC73C1">
              <w:rPr>
                <w:rFonts w:ascii="Times New Roman" w:eastAsia="Times New Roman" w:hAnsi="Times New Roman" w:cs="Times New Roman"/>
                <w:b/>
                <w:color w:val="000000" w:themeColor="text1"/>
                <w:sz w:val="28"/>
                <w:szCs w:val="24"/>
                <w:lang w:val="es-ES_tradnl"/>
              </w:rPr>
              <w:t>Presupuestos que acreditan un conflicto entre jurisdicciones</w:t>
            </w:r>
          </w:p>
        </w:tc>
      </w:tr>
      <w:tr w:rsidR="00742E32" w:rsidRPr="00FC73C1" w14:paraId="5324D6F3" w14:textId="77777777" w:rsidTr="00FC5911">
        <w:trPr>
          <w:jc w:val="center"/>
        </w:trPr>
        <w:tc>
          <w:tcPr>
            <w:tcW w:w="1555" w:type="dxa"/>
            <w:shd w:val="clear" w:color="auto" w:fill="F2F2F2" w:themeFill="background1" w:themeFillShade="F2"/>
            <w:vAlign w:val="center"/>
          </w:tcPr>
          <w:p w14:paraId="51457374" w14:textId="77777777" w:rsidR="00000000" w:rsidRPr="00FC73C1" w:rsidRDefault="00FC73C1" w:rsidP="008E3D44">
            <w:pPr>
              <w:pStyle w:val="Sinespaciado"/>
              <w:jc w:val="center"/>
              <w:rPr>
                <w:b/>
                <w:bCs/>
                <w:color w:val="000000" w:themeColor="text1"/>
                <w:szCs w:val="24"/>
                <w:lang w:val="es-ES_tradnl"/>
              </w:rPr>
            </w:pPr>
            <w:r w:rsidRPr="00FC73C1">
              <w:rPr>
                <w:b/>
                <w:bCs/>
                <w:color w:val="000000" w:themeColor="text1"/>
                <w:szCs w:val="24"/>
                <w:lang w:val="es-ES_tradnl"/>
              </w:rPr>
              <w:t>Subjetivo</w:t>
            </w:r>
          </w:p>
        </w:tc>
        <w:tc>
          <w:tcPr>
            <w:tcW w:w="7727" w:type="dxa"/>
            <w:vAlign w:val="center"/>
          </w:tcPr>
          <w:p w14:paraId="706AFACF" w14:textId="77777777" w:rsidR="00000000" w:rsidRPr="00FC73C1" w:rsidRDefault="00FC73C1" w:rsidP="008E3D44">
            <w:pPr>
              <w:pStyle w:val="Prrafodelista"/>
              <w:ind w:left="0"/>
              <w:jc w:val="both"/>
              <w:rPr>
                <w:rFonts w:ascii="Times New Roman" w:hAnsi="Times New Roman" w:cs="Times New Roman"/>
                <w:color w:val="000000" w:themeColor="text1"/>
                <w:sz w:val="28"/>
                <w:szCs w:val="24"/>
                <w:shd w:val="clear" w:color="auto" w:fill="FFFFFF"/>
                <w:lang w:val="es-ES_tradnl"/>
              </w:rPr>
            </w:pPr>
            <w:r w:rsidRPr="00FC73C1">
              <w:rPr>
                <w:rFonts w:ascii="Times New Roman" w:eastAsia="Times New Roman" w:hAnsi="Times New Roman" w:cs="Times New Roman"/>
                <w:color w:val="000000" w:themeColor="text1"/>
                <w:sz w:val="28"/>
                <w:szCs w:val="24"/>
                <w:lang w:val="es-ES_tradnl"/>
              </w:rPr>
              <w:t>Exige que la controversia se suscite, por al menos, dos autoridades que administren justicia y pertenezcan a diferentes jurisdicciones</w:t>
            </w:r>
            <w:r w:rsidRPr="00FC73C1">
              <w:rPr>
                <w:rFonts w:ascii="Times New Roman" w:eastAsia="Times New Roman" w:hAnsi="Times New Roman" w:cs="Times New Roman"/>
                <w:color w:val="000000" w:themeColor="text1"/>
                <w:sz w:val="28"/>
                <w:szCs w:val="24"/>
                <w:vertAlign w:val="superscript"/>
                <w:lang w:val="es-ES_tradnl"/>
              </w:rPr>
              <w:footnoteReference w:id="8"/>
            </w:r>
            <w:r w:rsidRPr="00FC73C1">
              <w:rPr>
                <w:rFonts w:ascii="Times New Roman" w:eastAsia="Times New Roman" w:hAnsi="Times New Roman" w:cs="Times New Roman"/>
                <w:color w:val="000000" w:themeColor="text1"/>
                <w:sz w:val="28"/>
                <w:szCs w:val="24"/>
                <w:lang w:val="es-ES_tradnl"/>
              </w:rPr>
              <w:t>.</w:t>
            </w:r>
          </w:p>
        </w:tc>
      </w:tr>
      <w:tr w:rsidR="00742E32" w:rsidRPr="00FC73C1" w14:paraId="768F7148" w14:textId="77777777" w:rsidTr="00FC5911">
        <w:trPr>
          <w:jc w:val="center"/>
        </w:trPr>
        <w:tc>
          <w:tcPr>
            <w:tcW w:w="1555" w:type="dxa"/>
            <w:shd w:val="clear" w:color="auto" w:fill="F2F2F2" w:themeFill="background1" w:themeFillShade="F2"/>
            <w:vAlign w:val="center"/>
          </w:tcPr>
          <w:p w14:paraId="47571CF1" w14:textId="77777777" w:rsidR="00000000" w:rsidRPr="00FC73C1" w:rsidRDefault="00FC73C1" w:rsidP="008E3D44">
            <w:pPr>
              <w:pStyle w:val="Sinespaciado"/>
              <w:jc w:val="center"/>
              <w:rPr>
                <w:b/>
                <w:bCs/>
                <w:color w:val="000000" w:themeColor="text1"/>
                <w:szCs w:val="24"/>
                <w:lang w:val="es-ES_tradnl"/>
              </w:rPr>
            </w:pPr>
            <w:r w:rsidRPr="00FC73C1">
              <w:rPr>
                <w:b/>
                <w:bCs/>
                <w:color w:val="000000" w:themeColor="text1"/>
                <w:szCs w:val="24"/>
                <w:lang w:val="es-ES_tradnl"/>
              </w:rPr>
              <w:lastRenderedPageBreak/>
              <w:t>Objetivo</w:t>
            </w:r>
          </w:p>
        </w:tc>
        <w:tc>
          <w:tcPr>
            <w:tcW w:w="7727" w:type="dxa"/>
            <w:vAlign w:val="center"/>
          </w:tcPr>
          <w:p w14:paraId="73FE1C45" w14:textId="77777777" w:rsidR="00000000" w:rsidRPr="00FC73C1" w:rsidRDefault="00FC73C1" w:rsidP="008E3D44">
            <w:pPr>
              <w:pStyle w:val="Prrafodelista"/>
              <w:ind w:left="0"/>
              <w:jc w:val="both"/>
              <w:rPr>
                <w:rFonts w:ascii="Times New Roman" w:hAnsi="Times New Roman" w:cs="Times New Roman"/>
                <w:color w:val="000000" w:themeColor="text1"/>
                <w:sz w:val="28"/>
                <w:szCs w:val="24"/>
                <w:shd w:val="clear" w:color="auto" w:fill="FFFFFF"/>
                <w:lang w:val="es-ES_tradnl"/>
              </w:rPr>
            </w:pPr>
            <w:r w:rsidRPr="00FC73C1">
              <w:rPr>
                <w:rFonts w:ascii="Times New Roman" w:hAnsi="Times New Roman" w:cs="Times New Roman"/>
                <w:color w:val="000000" w:themeColor="text1"/>
                <w:sz w:val="28"/>
                <w:szCs w:val="24"/>
                <w:shd w:val="clear" w:color="auto" w:fill="FFFFFF"/>
                <w:lang w:val="es-ES_tradnl"/>
              </w:rPr>
              <w:t xml:space="preserve">Implica que </w:t>
            </w:r>
            <w:r w:rsidRPr="00FC73C1">
              <w:rPr>
                <w:rFonts w:ascii="Times New Roman" w:eastAsia="Times New Roman" w:hAnsi="Times New Roman" w:cs="Times New Roman"/>
                <w:color w:val="000000" w:themeColor="text1"/>
                <w:sz w:val="28"/>
                <w:szCs w:val="24"/>
                <w:lang w:val="es-ES_tradnl"/>
              </w:rPr>
              <w:t xml:space="preserve">la disputa debe recaer sobre el conocimiento de una causa de naturaleza judicial, no política o administrativa, es decir, </w:t>
            </w:r>
            <w:r w:rsidRPr="00FC73C1">
              <w:rPr>
                <w:rFonts w:ascii="Times New Roman" w:hAnsi="Times New Roman" w:cs="Times New Roman"/>
                <w:color w:val="000000" w:themeColor="text1"/>
                <w:sz w:val="28"/>
                <w:szCs w:val="24"/>
                <w:shd w:val="clear" w:color="auto" w:fill="FFFFFF"/>
                <w:lang w:val="es-ES_tradnl"/>
              </w:rPr>
              <w:t>que pueda verificarse que está en desarrollo un proceso, un incidente o cualquier otro trámite de naturaleza jurisdiccional</w:t>
            </w:r>
            <w:r w:rsidRPr="00FC73C1">
              <w:rPr>
                <w:rStyle w:val="Refdenotaalpie"/>
                <w:rFonts w:ascii="Times New Roman" w:eastAsiaTheme="minorHAnsi" w:hAnsi="Times New Roman" w:cs="Times New Roman"/>
                <w:color w:val="000000" w:themeColor="text1"/>
                <w:sz w:val="28"/>
                <w:szCs w:val="24"/>
                <w:lang w:val="es-ES_tradnl"/>
              </w:rPr>
              <w:footnoteReference w:id="9"/>
            </w:r>
            <w:r w:rsidRPr="00FC73C1">
              <w:rPr>
                <w:rFonts w:ascii="Times New Roman" w:hAnsi="Times New Roman" w:cs="Times New Roman"/>
                <w:color w:val="000000" w:themeColor="text1"/>
                <w:sz w:val="28"/>
                <w:szCs w:val="24"/>
                <w:shd w:val="clear" w:color="auto" w:fill="FFFFFF"/>
                <w:lang w:val="es-ES_tradnl"/>
              </w:rPr>
              <w:t>.</w:t>
            </w:r>
          </w:p>
        </w:tc>
      </w:tr>
      <w:tr w:rsidR="00742E32" w:rsidRPr="00FC73C1" w14:paraId="0A25CD20" w14:textId="77777777" w:rsidTr="00FC5911">
        <w:trPr>
          <w:jc w:val="center"/>
        </w:trPr>
        <w:tc>
          <w:tcPr>
            <w:tcW w:w="1555" w:type="dxa"/>
            <w:shd w:val="clear" w:color="auto" w:fill="F2F2F2" w:themeFill="background1" w:themeFillShade="F2"/>
            <w:vAlign w:val="center"/>
          </w:tcPr>
          <w:p w14:paraId="77F9DED9" w14:textId="77777777" w:rsidR="00000000" w:rsidRPr="00FC73C1" w:rsidRDefault="00FC73C1" w:rsidP="008E3D44">
            <w:pPr>
              <w:pStyle w:val="Sinespaciado"/>
              <w:jc w:val="center"/>
              <w:rPr>
                <w:b/>
                <w:bCs/>
                <w:color w:val="000000" w:themeColor="text1"/>
                <w:szCs w:val="24"/>
                <w:lang w:val="es-ES_tradnl"/>
              </w:rPr>
            </w:pPr>
            <w:r w:rsidRPr="00FC73C1">
              <w:rPr>
                <w:b/>
                <w:bCs/>
                <w:color w:val="000000" w:themeColor="text1"/>
                <w:szCs w:val="24"/>
                <w:lang w:val="es-ES_tradnl"/>
              </w:rPr>
              <w:t>Normativo</w:t>
            </w:r>
          </w:p>
        </w:tc>
        <w:tc>
          <w:tcPr>
            <w:tcW w:w="7727" w:type="dxa"/>
            <w:vAlign w:val="center"/>
          </w:tcPr>
          <w:p w14:paraId="47E7293C" w14:textId="77777777" w:rsidR="00000000" w:rsidRPr="00FC73C1" w:rsidRDefault="00FC73C1" w:rsidP="008E3D44">
            <w:pPr>
              <w:pStyle w:val="Prrafodelista"/>
              <w:ind w:left="0"/>
              <w:jc w:val="both"/>
              <w:rPr>
                <w:rFonts w:ascii="Times New Roman" w:hAnsi="Times New Roman" w:cs="Times New Roman"/>
                <w:color w:val="000000" w:themeColor="text1"/>
                <w:sz w:val="28"/>
                <w:szCs w:val="24"/>
                <w:shd w:val="clear" w:color="auto" w:fill="FFFFFF"/>
                <w:lang w:val="es-ES_tradnl"/>
              </w:rPr>
            </w:pPr>
            <w:r w:rsidRPr="00FC73C1">
              <w:rPr>
                <w:rFonts w:ascii="Times New Roman" w:hAnsi="Times New Roman" w:cs="Times New Roman"/>
                <w:color w:val="000000" w:themeColor="text1"/>
                <w:sz w:val="28"/>
                <w:szCs w:val="24"/>
                <w:shd w:val="clear" w:color="auto" w:fill="FFFFFF"/>
                <w:lang w:val="es-ES_tradnl"/>
              </w:rPr>
              <w:t>Requiere que las autoridades en colisión hayan manifestado expresamente las razones de índole constitucional o legal, por las cuales consideran que son competentes o no para conocer del asunto concreto</w:t>
            </w:r>
            <w:r w:rsidRPr="00FC73C1">
              <w:rPr>
                <w:rStyle w:val="Refdenotaalpie"/>
                <w:rFonts w:ascii="Times New Roman" w:eastAsiaTheme="minorHAnsi" w:hAnsi="Times New Roman" w:cs="Times New Roman"/>
                <w:color w:val="000000" w:themeColor="text1"/>
                <w:sz w:val="28"/>
                <w:szCs w:val="24"/>
                <w:lang w:val="es-ES_tradnl"/>
              </w:rPr>
              <w:footnoteReference w:id="10"/>
            </w:r>
            <w:r w:rsidRPr="00FC73C1">
              <w:rPr>
                <w:rFonts w:ascii="Times New Roman" w:hAnsi="Times New Roman" w:cs="Times New Roman"/>
                <w:color w:val="000000" w:themeColor="text1"/>
                <w:sz w:val="28"/>
                <w:szCs w:val="24"/>
                <w:shd w:val="clear" w:color="auto" w:fill="FFFFFF"/>
                <w:lang w:val="es-ES_tradnl"/>
              </w:rPr>
              <w:t>.</w:t>
            </w:r>
          </w:p>
        </w:tc>
      </w:tr>
    </w:tbl>
    <w:p w14:paraId="673AEE6F" w14:textId="77777777" w:rsidR="00000000" w:rsidRPr="00FC73C1" w:rsidRDefault="00000000" w:rsidP="008E3D44">
      <w:pPr>
        <w:rPr>
          <w:rFonts w:ascii="Times New Roman" w:eastAsiaTheme="minorHAnsi" w:hAnsi="Times New Roman" w:cs="Times New Roman"/>
          <w:i/>
          <w:iCs/>
          <w:color w:val="000000" w:themeColor="text1"/>
          <w:sz w:val="28"/>
          <w:szCs w:val="28"/>
          <w:u w:val="single"/>
          <w:lang w:val="es-ES_tradnl"/>
        </w:rPr>
      </w:pPr>
    </w:p>
    <w:p w14:paraId="5AD9FFCD" w14:textId="77777777" w:rsidR="00000000" w:rsidRPr="00FC73C1" w:rsidRDefault="00FC73C1" w:rsidP="008E3D44">
      <w:pPr>
        <w:pStyle w:val="Prrafodelista"/>
        <w:numPr>
          <w:ilvl w:val="0"/>
          <w:numId w:val="3"/>
        </w:numPr>
        <w:spacing w:after="0" w:line="240" w:lineRule="auto"/>
        <w:ind w:left="1276" w:hanging="709"/>
        <w:jc w:val="both"/>
        <w:rPr>
          <w:rFonts w:ascii="Times New Roman" w:hAnsi="Times New Roman" w:cs="Times New Roman"/>
          <w:b/>
          <w:bCs/>
          <w:color w:val="000000" w:themeColor="text1"/>
          <w:sz w:val="28"/>
          <w:szCs w:val="28"/>
          <w:shd w:val="clear" w:color="auto" w:fill="FFFFFF"/>
          <w:lang w:val="es-ES_tradnl"/>
        </w:rPr>
      </w:pPr>
      <w:r w:rsidRPr="00FC73C1">
        <w:rPr>
          <w:rFonts w:ascii="Times New Roman" w:hAnsi="Times New Roman" w:cs="Times New Roman"/>
          <w:b/>
          <w:bCs/>
          <w:color w:val="000000" w:themeColor="text1"/>
          <w:sz w:val="28"/>
          <w:szCs w:val="28"/>
          <w:shd w:val="clear" w:color="auto" w:fill="FFFFFF"/>
          <w:lang w:val="es-ES_tradnl"/>
        </w:rPr>
        <w:t>Aplicación del fuero de atracción para resolver conflictos entre jurisdicciones. Reiteración jurisprudencial.</w:t>
      </w:r>
    </w:p>
    <w:p w14:paraId="78372F64" w14:textId="77777777" w:rsidR="00000000" w:rsidRPr="00FC73C1" w:rsidRDefault="00000000" w:rsidP="008E3D44">
      <w:pPr>
        <w:jc w:val="both"/>
        <w:rPr>
          <w:rFonts w:ascii="Times New Roman" w:hAnsi="Times New Roman" w:cs="Times New Roman"/>
          <w:b/>
          <w:bCs/>
          <w:color w:val="000000" w:themeColor="text1"/>
          <w:sz w:val="28"/>
          <w:szCs w:val="28"/>
          <w:shd w:val="clear" w:color="auto" w:fill="FFFFFF"/>
          <w:lang w:val="es-ES_tradnl"/>
        </w:rPr>
      </w:pPr>
    </w:p>
    <w:p w14:paraId="7821F9F3" w14:textId="77777777" w:rsidR="00000000" w:rsidRPr="00FC73C1" w:rsidRDefault="00FC73C1" w:rsidP="008E3D44">
      <w:pPr>
        <w:pStyle w:val="Prrafodelista"/>
        <w:numPr>
          <w:ilvl w:val="0"/>
          <w:numId w:val="2"/>
        </w:numPr>
        <w:shd w:val="clear" w:color="auto" w:fill="FFFFFF" w:themeFill="background1"/>
        <w:spacing w:after="0" w:line="240" w:lineRule="auto"/>
        <w:ind w:left="0" w:firstLine="0"/>
        <w:jc w:val="both"/>
        <w:rPr>
          <w:rFonts w:ascii="Times New Roman" w:hAnsi="Times New Roman" w:cs="Times New Roman"/>
          <w:color w:val="000000" w:themeColor="text1"/>
          <w:sz w:val="28"/>
          <w:szCs w:val="28"/>
          <w:lang w:val="es-CO"/>
        </w:rPr>
      </w:pPr>
      <w:r w:rsidRPr="00FC73C1">
        <w:rPr>
          <w:rFonts w:ascii="Times New Roman" w:hAnsi="Times New Roman" w:cs="Times New Roman"/>
          <w:color w:val="000000" w:themeColor="text1"/>
          <w:sz w:val="28"/>
          <w:szCs w:val="28"/>
          <w:shd w:val="clear" w:color="auto" w:fill="FFFFFF"/>
          <w:lang w:val="es-ES"/>
        </w:rPr>
        <w:t xml:space="preserve">En los </w:t>
      </w:r>
      <w:r w:rsidRPr="00FC73C1">
        <w:rPr>
          <w:rFonts w:ascii="Times New Roman" w:hAnsi="Times New Roman" w:cs="Times New Roman"/>
          <w:b/>
          <w:bCs/>
          <w:color w:val="000000" w:themeColor="text1"/>
          <w:sz w:val="28"/>
          <w:szCs w:val="28"/>
          <w:shd w:val="clear" w:color="auto" w:fill="FFFFFF"/>
          <w:lang w:val="es-ES"/>
        </w:rPr>
        <w:t>autos 646</w:t>
      </w:r>
      <w:r w:rsidRPr="00FC73C1">
        <w:rPr>
          <w:rFonts w:ascii="Times New Roman" w:hAnsi="Times New Roman" w:cs="Times New Roman"/>
          <w:color w:val="000000" w:themeColor="text1"/>
          <w:sz w:val="28"/>
          <w:szCs w:val="28"/>
          <w:shd w:val="clear" w:color="auto" w:fill="FFFFFF"/>
          <w:lang w:val="es-ES"/>
        </w:rPr>
        <w:t xml:space="preserve"> y </w:t>
      </w:r>
      <w:r w:rsidRPr="00FC73C1">
        <w:rPr>
          <w:rFonts w:ascii="Times New Roman" w:hAnsi="Times New Roman" w:cs="Times New Roman"/>
          <w:b/>
          <w:bCs/>
          <w:color w:val="000000" w:themeColor="text1"/>
          <w:sz w:val="28"/>
          <w:szCs w:val="28"/>
          <w:shd w:val="clear" w:color="auto" w:fill="FFFFFF"/>
          <w:lang w:val="es-ES"/>
        </w:rPr>
        <w:t>647</w:t>
      </w:r>
      <w:r w:rsidRPr="00FC73C1">
        <w:rPr>
          <w:rFonts w:ascii="Times New Roman" w:hAnsi="Times New Roman" w:cs="Times New Roman"/>
          <w:color w:val="000000" w:themeColor="text1"/>
          <w:sz w:val="28"/>
          <w:szCs w:val="28"/>
          <w:shd w:val="clear" w:color="auto" w:fill="FFFFFF"/>
          <w:lang w:val="es-ES"/>
        </w:rPr>
        <w:t xml:space="preserve"> </w:t>
      </w:r>
      <w:r w:rsidRPr="00FC73C1">
        <w:rPr>
          <w:rFonts w:ascii="Times New Roman" w:hAnsi="Times New Roman" w:cs="Times New Roman"/>
          <w:b/>
          <w:bCs/>
          <w:color w:val="000000" w:themeColor="text1"/>
          <w:sz w:val="28"/>
          <w:szCs w:val="28"/>
          <w:shd w:val="clear" w:color="auto" w:fill="FFFFFF"/>
          <w:lang w:val="es-ES"/>
        </w:rPr>
        <w:t>de 2021</w:t>
      </w:r>
      <w:r w:rsidRPr="00FC73C1">
        <w:rPr>
          <w:rFonts w:ascii="Times New Roman" w:hAnsi="Times New Roman" w:cs="Times New Roman"/>
          <w:color w:val="000000" w:themeColor="text1"/>
          <w:sz w:val="28"/>
          <w:szCs w:val="28"/>
          <w:shd w:val="clear" w:color="auto" w:fill="FFFFFF"/>
          <w:lang w:val="es-ES"/>
        </w:rPr>
        <w:t>, esta corporación aplicó por primera vez el análisis de la figura del fuero de atracción para dirimir un conflicto entre jurisdicciones. Sobre el particular, la Sala Plena retomó lo desarrollado por el Consejo de Estado y de la Sala Jurisdiccional Disciplinaria del Consejo Superior de la Judicatura sobre el uso de esta figura procesal, advirtiendo que este “</w:t>
      </w:r>
      <w:r w:rsidRPr="00FC73C1">
        <w:rPr>
          <w:rFonts w:ascii="Times New Roman" w:hAnsi="Times New Roman" w:cs="Times New Roman"/>
          <w:i/>
          <w:iCs/>
          <w:color w:val="000000" w:themeColor="text1"/>
          <w:sz w:val="28"/>
          <w:szCs w:val="28"/>
          <w:shd w:val="clear" w:color="auto" w:fill="FFFFFF"/>
          <w:lang w:val="es-CO"/>
        </w:rPr>
        <w:t>no opera de forma automática por el simple hecho de que una entidad pública sea demandada de forma concurrente con sujetos de derecho privado</w:t>
      </w:r>
      <w:r w:rsidRPr="00FC73C1">
        <w:rPr>
          <w:rFonts w:ascii="Times New Roman" w:hAnsi="Times New Roman" w:cs="Times New Roman"/>
          <w:color w:val="000000" w:themeColor="text1"/>
          <w:sz w:val="28"/>
          <w:szCs w:val="28"/>
          <w:shd w:val="clear" w:color="auto" w:fill="FFFFFF"/>
          <w:lang w:val="es-CO"/>
        </w:rPr>
        <w:t>”. Así, para que se de aplicación del fuero es necesario verificar en cada caso concreto que:</w:t>
      </w:r>
    </w:p>
    <w:p w14:paraId="4A7ECB66" w14:textId="77777777" w:rsidR="00000000" w:rsidRPr="00FC73C1" w:rsidRDefault="00000000" w:rsidP="008E3D44">
      <w:pPr>
        <w:pStyle w:val="Prrafodelista"/>
        <w:spacing w:after="0" w:line="240" w:lineRule="auto"/>
        <w:rPr>
          <w:rFonts w:ascii="Times New Roman" w:hAnsi="Times New Roman" w:cs="Times New Roman"/>
          <w:color w:val="000000" w:themeColor="text1"/>
          <w:sz w:val="28"/>
          <w:szCs w:val="28"/>
          <w:lang w:val="es-CO"/>
        </w:rPr>
      </w:pPr>
    </w:p>
    <w:p w14:paraId="7D4DE616" w14:textId="77777777" w:rsidR="00000000" w:rsidRPr="00FC73C1" w:rsidRDefault="00FC73C1" w:rsidP="008E3D44">
      <w:pPr>
        <w:pStyle w:val="Prrafodelista"/>
        <w:shd w:val="clear" w:color="auto" w:fill="FFFFFF"/>
        <w:spacing w:after="0" w:line="240" w:lineRule="auto"/>
        <w:ind w:left="708"/>
        <w:jc w:val="both"/>
        <w:rPr>
          <w:rFonts w:ascii="Times New Roman" w:hAnsi="Times New Roman" w:cs="Times New Roman"/>
          <w:color w:val="000000" w:themeColor="text1"/>
          <w:sz w:val="28"/>
          <w:szCs w:val="28"/>
          <w:lang w:val="es-CO"/>
        </w:rPr>
      </w:pPr>
      <w:r w:rsidRPr="00FC73C1">
        <w:rPr>
          <w:rFonts w:ascii="Times New Roman" w:hAnsi="Times New Roman" w:cs="Times New Roman"/>
          <w:color w:val="000000" w:themeColor="text1"/>
          <w:sz w:val="28"/>
          <w:szCs w:val="28"/>
          <w:lang w:val="es-CO"/>
        </w:rPr>
        <w:t>“</w:t>
      </w:r>
      <w:r w:rsidRPr="00FC73C1">
        <w:rPr>
          <w:rFonts w:ascii="Times New Roman" w:hAnsi="Times New Roman" w:cs="Times New Roman"/>
          <w:i/>
          <w:iCs/>
          <w:color w:val="000000" w:themeColor="text1"/>
          <w:sz w:val="28"/>
          <w:szCs w:val="28"/>
          <w:lang w:val="es-CO"/>
        </w:rPr>
        <w:t>(a) Los hechos y la causa que fundamentan la eventual responsabilidad de los sujetos de derecho privado y las entidades estatales sean los mismos</w:t>
      </w:r>
      <w:r w:rsidRPr="00FC73C1">
        <w:rPr>
          <w:rFonts w:ascii="Times New Roman" w:hAnsi="Times New Roman" w:cs="Times New Roman"/>
          <w:color w:val="000000" w:themeColor="text1"/>
          <w:sz w:val="28"/>
          <w:szCs w:val="28"/>
          <w:lang w:val="es-CO"/>
        </w:rPr>
        <w:t xml:space="preserve">”; </w:t>
      </w:r>
      <w:r w:rsidRPr="00FC73C1">
        <w:rPr>
          <w:rFonts w:ascii="Times New Roman" w:hAnsi="Times New Roman" w:cs="Times New Roman"/>
          <w:i/>
          <w:iCs/>
          <w:color w:val="000000" w:themeColor="text1"/>
          <w:sz w:val="28"/>
          <w:szCs w:val="28"/>
          <w:lang w:val="es-CO"/>
        </w:rPr>
        <w:t>“(b) Los hechos, las pretensiones y las pruebas que obran en el expediente permiten inferir razonablemente que existe una probabilidad “mínimamente seria” de que las entidades estatales, “por cuya implicación en la litis resultaría competente el juez administrativo, sean condenadas</w:t>
      </w:r>
      <w:r w:rsidRPr="00FC73C1">
        <w:rPr>
          <w:rFonts w:ascii="Times New Roman" w:hAnsi="Times New Roman" w:cs="Times New Roman"/>
          <w:color w:val="000000" w:themeColor="text1"/>
          <w:sz w:val="28"/>
          <w:szCs w:val="28"/>
          <w:lang w:val="es-CO"/>
        </w:rPr>
        <w:t xml:space="preserve">” y </w:t>
      </w:r>
      <w:r w:rsidRPr="00FC73C1">
        <w:rPr>
          <w:rFonts w:ascii="Times New Roman" w:hAnsi="Times New Roman" w:cs="Times New Roman"/>
          <w:i/>
          <w:iCs/>
          <w:color w:val="000000" w:themeColor="text1"/>
          <w:sz w:val="28"/>
          <w:szCs w:val="28"/>
          <w:lang w:val="es-CO"/>
        </w:rPr>
        <w:t xml:space="preserve">“(c) El demandante haya planteado fundamentos fácticos y jurídicos para imputar el daño antijurídico a la entidad estatal. En este sentido, de acuerdo con la jurisprudencia del Consejo de Estado, deben existir suficientes elementos de juicio que </w:t>
      </w:r>
      <w:r w:rsidRPr="00FC73C1">
        <w:rPr>
          <w:rFonts w:ascii="Times New Roman" w:hAnsi="Times New Roman" w:cs="Times New Roman"/>
          <w:i/>
          <w:iCs/>
          <w:color w:val="000000" w:themeColor="text1"/>
          <w:sz w:val="28"/>
          <w:szCs w:val="28"/>
          <w:lang w:val="es-CO"/>
        </w:rPr>
        <w:lastRenderedPageBreak/>
        <w:t>permitan concluir, al menos prima facie, que las acciones u omisiones de la entidad estatal demandada fueron “concausa eficiente del daño</w:t>
      </w:r>
      <w:r w:rsidRPr="00FC73C1">
        <w:rPr>
          <w:rFonts w:ascii="Times New Roman" w:hAnsi="Times New Roman" w:cs="Times New Roman"/>
          <w:color w:val="000000" w:themeColor="text1"/>
          <w:sz w:val="28"/>
          <w:szCs w:val="28"/>
          <w:lang w:val="es-CO"/>
        </w:rPr>
        <w:t>”.</w:t>
      </w:r>
    </w:p>
    <w:p w14:paraId="3080D89F" w14:textId="77777777" w:rsidR="00000000" w:rsidRPr="00FC73C1" w:rsidRDefault="00000000" w:rsidP="008E3D44">
      <w:pPr>
        <w:shd w:val="clear" w:color="auto" w:fill="FFFFFF"/>
        <w:jc w:val="both"/>
        <w:rPr>
          <w:rFonts w:ascii="Times New Roman" w:hAnsi="Times New Roman" w:cs="Times New Roman"/>
          <w:color w:val="000000" w:themeColor="text1"/>
          <w:sz w:val="28"/>
          <w:szCs w:val="28"/>
        </w:rPr>
      </w:pPr>
    </w:p>
    <w:p w14:paraId="5A0324B3" w14:textId="77777777" w:rsidR="00000000" w:rsidRPr="00FC73C1" w:rsidRDefault="00FC73C1" w:rsidP="008E3D44">
      <w:pPr>
        <w:pStyle w:val="Prrafodelista"/>
        <w:numPr>
          <w:ilvl w:val="0"/>
          <w:numId w:val="2"/>
        </w:numPr>
        <w:shd w:val="clear" w:color="auto" w:fill="FFFFFF"/>
        <w:spacing w:after="0" w:line="240" w:lineRule="auto"/>
        <w:ind w:left="0" w:firstLine="0"/>
        <w:jc w:val="both"/>
        <w:rPr>
          <w:rFonts w:ascii="Times New Roman" w:hAnsi="Times New Roman" w:cs="Times New Roman"/>
          <w:color w:val="000000" w:themeColor="text1"/>
          <w:sz w:val="28"/>
          <w:szCs w:val="28"/>
          <w:lang w:val="es-CO"/>
        </w:rPr>
      </w:pPr>
      <w:r w:rsidRPr="00FC73C1">
        <w:rPr>
          <w:rFonts w:ascii="Times New Roman" w:hAnsi="Times New Roman" w:cs="Times New Roman"/>
          <w:color w:val="000000" w:themeColor="text1"/>
          <w:sz w:val="28"/>
          <w:szCs w:val="28"/>
          <w:lang w:val="es-CO"/>
        </w:rPr>
        <w:t xml:space="preserve">Así, la </w:t>
      </w:r>
      <w:r w:rsidRPr="00FC73C1">
        <w:rPr>
          <w:rFonts w:ascii="Times New Roman" w:hAnsi="Times New Roman" w:cs="Times New Roman"/>
          <w:color w:val="000000" w:themeColor="text1"/>
          <w:sz w:val="28"/>
          <w:szCs w:val="28"/>
          <w:lang w:val="es-ES_tradnl"/>
        </w:rPr>
        <w:t>aplicación del fuero de atracción en los asuntos donde concomitantemente figuren como demandadas personas de derecho privado y público está sujeto a que se verifique el “</w:t>
      </w:r>
      <w:r w:rsidRPr="00FC73C1">
        <w:rPr>
          <w:rFonts w:ascii="Times New Roman" w:hAnsi="Times New Roman" w:cs="Times New Roman"/>
          <w:i/>
          <w:iCs/>
          <w:color w:val="000000" w:themeColor="text1"/>
          <w:sz w:val="28"/>
          <w:szCs w:val="28"/>
          <w:lang w:val="es-ES_tradnl"/>
        </w:rPr>
        <w:t>factor de conexión</w:t>
      </w:r>
      <w:r w:rsidRPr="00FC73C1">
        <w:rPr>
          <w:rFonts w:ascii="Times New Roman" w:hAnsi="Times New Roman" w:cs="Times New Roman"/>
          <w:color w:val="000000" w:themeColor="text1"/>
          <w:sz w:val="28"/>
          <w:szCs w:val="28"/>
          <w:lang w:val="es-ES_tradnl"/>
        </w:rPr>
        <w:t>” a partir del cual se pueda “</w:t>
      </w:r>
      <w:r w:rsidRPr="00FC73C1">
        <w:rPr>
          <w:rFonts w:ascii="Times New Roman" w:hAnsi="Times New Roman" w:cs="Times New Roman"/>
          <w:i/>
          <w:iCs/>
          <w:color w:val="000000" w:themeColor="text1"/>
          <w:sz w:val="28"/>
          <w:szCs w:val="28"/>
          <w:lang w:val="es-ES_tradnl"/>
        </w:rPr>
        <w:t>inferir razonablemente</w:t>
      </w:r>
      <w:r w:rsidRPr="00FC73C1">
        <w:rPr>
          <w:rFonts w:ascii="Times New Roman" w:hAnsi="Times New Roman" w:cs="Times New Roman"/>
          <w:color w:val="000000" w:themeColor="text1"/>
          <w:sz w:val="28"/>
          <w:szCs w:val="28"/>
          <w:lang w:val="es-ES_tradnl"/>
        </w:rPr>
        <w:t>”, de cara a las pretensiones y del material probatorio la existencia de una probabilidad “</w:t>
      </w:r>
      <w:r w:rsidRPr="00FC73C1">
        <w:rPr>
          <w:rFonts w:ascii="Times New Roman" w:hAnsi="Times New Roman" w:cs="Times New Roman"/>
          <w:i/>
          <w:iCs/>
          <w:color w:val="000000" w:themeColor="text1"/>
          <w:sz w:val="28"/>
          <w:szCs w:val="28"/>
          <w:lang w:val="es-ES_tradnl"/>
        </w:rPr>
        <w:t>mínimamente seria</w:t>
      </w:r>
      <w:r w:rsidRPr="00FC73C1">
        <w:rPr>
          <w:rFonts w:ascii="Times New Roman" w:hAnsi="Times New Roman" w:cs="Times New Roman"/>
          <w:color w:val="000000" w:themeColor="text1"/>
          <w:sz w:val="28"/>
          <w:szCs w:val="28"/>
          <w:lang w:val="es-ES_tradnl"/>
        </w:rPr>
        <w:t>” de que el título de imputación de responsabilidad que se le atribuye a las entidades públicas demandadas es la “</w:t>
      </w:r>
      <w:r w:rsidRPr="00FC73C1">
        <w:rPr>
          <w:rFonts w:ascii="Times New Roman" w:hAnsi="Times New Roman" w:cs="Times New Roman"/>
          <w:i/>
          <w:iCs/>
          <w:color w:val="000000" w:themeColor="text1"/>
          <w:sz w:val="28"/>
          <w:szCs w:val="28"/>
          <w:lang w:val="es-ES_tradnl"/>
        </w:rPr>
        <w:t>concausa eficiente del daño</w:t>
      </w:r>
      <w:r w:rsidRPr="00FC73C1">
        <w:rPr>
          <w:rFonts w:ascii="Times New Roman" w:hAnsi="Times New Roman" w:cs="Times New Roman"/>
          <w:color w:val="000000" w:themeColor="text1"/>
          <w:sz w:val="28"/>
          <w:szCs w:val="28"/>
          <w:lang w:val="es-ES_tradnl"/>
        </w:rPr>
        <w:t>” que se reclama y que, en consecuencia, resulta necesario que sean los jueces administrativos los que conozcan del asunto, aun cuando este debería ser en principio, de competencia de la jurisdicción ordinaria.</w:t>
      </w:r>
    </w:p>
    <w:p w14:paraId="45A3D82B" w14:textId="77777777" w:rsidR="00000000" w:rsidRPr="00FC73C1" w:rsidRDefault="00000000" w:rsidP="008E3D44">
      <w:pPr>
        <w:pStyle w:val="Prrafodelista"/>
        <w:spacing w:after="0" w:line="240" w:lineRule="auto"/>
        <w:ind w:left="0"/>
        <w:jc w:val="both"/>
        <w:rPr>
          <w:rFonts w:ascii="Times New Roman" w:hAnsi="Times New Roman" w:cs="Times New Roman"/>
          <w:i/>
          <w:iCs/>
          <w:color w:val="000000" w:themeColor="text1"/>
          <w:sz w:val="28"/>
          <w:szCs w:val="28"/>
          <w:u w:val="single"/>
          <w:shd w:val="clear" w:color="auto" w:fill="FFFFFF"/>
          <w:lang w:val="es-ES_tradnl"/>
        </w:rPr>
      </w:pPr>
    </w:p>
    <w:p w14:paraId="39A8CE1A"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pacing w:val="-3"/>
          <w:sz w:val="28"/>
          <w:szCs w:val="28"/>
          <w:bdr w:val="none" w:sz="0" w:space="0" w:color="auto" w:frame="1"/>
          <w:lang w:val="es-ES_tradnl"/>
        </w:rPr>
      </w:pPr>
      <w:r w:rsidRPr="00FC73C1">
        <w:rPr>
          <w:rFonts w:ascii="Times New Roman" w:hAnsi="Times New Roman" w:cs="Times New Roman"/>
          <w:color w:val="000000" w:themeColor="text1"/>
          <w:spacing w:val="-3"/>
          <w:sz w:val="28"/>
          <w:szCs w:val="28"/>
          <w:bdr w:val="none" w:sz="0" w:space="0" w:color="auto" w:frame="1"/>
          <w:lang w:val="es-ES_tradnl"/>
        </w:rPr>
        <w:t xml:space="preserve">Con los citados criterios, se pretende que se garantice que </w:t>
      </w:r>
      <w:r w:rsidRPr="00FC73C1">
        <w:rPr>
          <w:rFonts w:ascii="Times New Roman" w:hAnsi="Times New Roman" w:cs="Times New Roman"/>
          <w:color w:val="000000" w:themeColor="text1"/>
          <w:sz w:val="28"/>
          <w:szCs w:val="28"/>
          <w:shd w:val="clear" w:color="auto" w:fill="FFFFFF"/>
          <w:lang w:val="es-CO"/>
        </w:rPr>
        <w:t>la asignación de competencia a la jurisdicción de lo contencioso administrativo “</w:t>
      </w:r>
      <w:r w:rsidRPr="00FC73C1">
        <w:rPr>
          <w:rFonts w:ascii="Times New Roman" w:hAnsi="Times New Roman" w:cs="Times New Roman"/>
          <w:i/>
          <w:iCs/>
          <w:color w:val="000000" w:themeColor="text1"/>
          <w:sz w:val="28"/>
          <w:szCs w:val="28"/>
          <w:shd w:val="clear" w:color="auto" w:fill="FFFFFF"/>
          <w:lang w:val="es-CO"/>
        </w:rPr>
        <w:t>atienda a la realidad de las circunstancias que dieron origen a la controversia</w:t>
      </w:r>
      <w:r w:rsidRPr="00FC73C1">
        <w:rPr>
          <w:rFonts w:ascii="Times New Roman" w:hAnsi="Times New Roman" w:cs="Times New Roman"/>
          <w:color w:val="000000" w:themeColor="text1"/>
          <w:sz w:val="28"/>
          <w:szCs w:val="28"/>
          <w:shd w:val="clear" w:color="auto" w:fill="FFFFFF"/>
          <w:lang w:val="es-CO"/>
        </w:rPr>
        <w:t>” y así, evitar que el demandante pueda escoger el juez de su preferencia con la simple alegación de que una entidad pública pudo haber sido responsable del daño, preservando el carácter de orden público de las normas procesales de competencia.</w:t>
      </w:r>
    </w:p>
    <w:p w14:paraId="1BF7852D"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pacing w:val="-3"/>
          <w:sz w:val="28"/>
          <w:szCs w:val="28"/>
          <w:bdr w:val="none" w:sz="0" w:space="0" w:color="auto" w:frame="1"/>
          <w:lang w:val="es-ES_tradnl"/>
        </w:rPr>
      </w:pPr>
    </w:p>
    <w:p w14:paraId="01BCDF00" w14:textId="77777777" w:rsidR="00000000" w:rsidRPr="00FC73C1" w:rsidRDefault="00FC73C1" w:rsidP="008E3D44">
      <w:pPr>
        <w:pStyle w:val="Prrafodelista"/>
        <w:numPr>
          <w:ilvl w:val="0"/>
          <w:numId w:val="3"/>
        </w:numPr>
        <w:spacing w:after="0" w:line="240" w:lineRule="auto"/>
        <w:ind w:left="1276" w:hanging="709"/>
        <w:jc w:val="both"/>
        <w:rPr>
          <w:rFonts w:ascii="Times New Roman" w:hAnsi="Times New Roman" w:cs="Times New Roman"/>
          <w:b/>
          <w:bCs/>
          <w:color w:val="000000" w:themeColor="text1"/>
          <w:spacing w:val="-3"/>
          <w:sz w:val="28"/>
          <w:szCs w:val="28"/>
          <w:bdr w:val="none" w:sz="0" w:space="0" w:color="auto" w:frame="1"/>
          <w:lang w:val="es-ES_tradnl"/>
        </w:rPr>
      </w:pPr>
      <w:r w:rsidRPr="00FC73C1">
        <w:rPr>
          <w:rFonts w:ascii="Times New Roman" w:hAnsi="Times New Roman" w:cs="Times New Roman"/>
          <w:b/>
          <w:bCs/>
          <w:color w:val="000000" w:themeColor="text1"/>
          <w:spacing w:val="-3"/>
          <w:sz w:val="28"/>
          <w:szCs w:val="28"/>
          <w:bdr w:val="none" w:sz="0" w:space="0" w:color="auto" w:frame="1"/>
          <w:lang w:val="es-ES_tradnl"/>
        </w:rPr>
        <w:t>Examen del caso concreto.</w:t>
      </w:r>
    </w:p>
    <w:p w14:paraId="45C3B9B3"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pacing w:val="-3"/>
          <w:sz w:val="28"/>
          <w:szCs w:val="28"/>
          <w:bdr w:val="none" w:sz="0" w:space="0" w:color="auto" w:frame="1"/>
          <w:lang w:val="es-ES_tradnl"/>
        </w:rPr>
      </w:pPr>
    </w:p>
    <w:p w14:paraId="00B7D270"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i/>
          <w:iCs/>
          <w:color w:val="000000" w:themeColor="text1"/>
          <w:sz w:val="28"/>
          <w:szCs w:val="28"/>
          <w:u w:val="single"/>
          <w:lang w:val="es-ES_tradnl"/>
        </w:rPr>
      </w:pPr>
      <w:r w:rsidRPr="00FC73C1">
        <w:rPr>
          <w:rFonts w:ascii="Times New Roman" w:hAnsi="Times New Roman" w:cs="Times New Roman"/>
          <w:color w:val="000000" w:themeColor="text1"/>
          <w:sz w:val="28"/>
          <w:szCs w:val="28"/>
          <w:lang w:val="es-ES_tradnl"/>
        </w:rPr>
        <w:t>En el asunto objeto de decisión, se cumplen con los tres presupuestos para la configuración de un conflicto de jurisdicciones por las siguientes razones:</w:t>
      </w:r>
    </w:p>
    <w:p w14:paraId="2710C4F7"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lang w:val="es-ES_tradnl"/>
        </w:rPr>
      </w:pPr>
    </w:p>
    <w:p w14:paraId="49610D00" w14:textId="77777777" w:rsidR="00000000" w:rsidRPr="00FC73C1" w:rsidRDefault="00FC73C1" w:rsidP="008E3D44">
      <w:pPr>
        <w:pStyle w:val="Prrafodelista"/>
        <w:numPr>
          <w:ilvl w:val="0"/>
          <w:numId w:val="4"/>
        </w:numPr>
        <w:spacing w:after="0" w:line="240" w:lineRule="auto"/>
        <w:jc w:val="both"/>
        <w:rPr>
          <w:rFonts w:ascii="Times New Roman" w:hAnsi="Times New Roman" w:cs="Times New Roman"/>
          <w:i/>
          <w:iCs/>
          <w:color w:val="000000" w:themeColor="text1"/>
          <w:sz w:val="28"/>
          <w:szCs w:val="28"/>
          <w:u w:val="single"/>
          <w:lang w:val="es-ES"/>
        </w:rPr>
      </w:pPr>
      <w:r w:rsidRPr="00FC73C1">
        <w:rPr>
          <w:rFonts w:ascii="Times New Roman" w:hAnsi="Times New Roman" w:cs="Times New Roman"/>
          <w:i/>
          <w:iCs/>
          <w:color w:val="000000" w:themeColor="text1"/>
          <w:spacing w:val="-3"/>
          <w:sz w:val="28"/>
          <w:szCs w:val="28"/>
          <w:bdr w:val="none" w:sz="0" w:space="0" w:color="auto" w:frame="1"/>
          <w:lang w:val="es-ES"/>
        </w:rPr>
        <w:t>Presupuesto subjetivo</w:t>
      </w:r>
      <w:r w:rsidRPr="00FC73C1">
        <w:rPr>
          <w:rFonts w:ascii="Times New Roman" w:hAnsi="Times New Roman" w:cs="Times New Roman"/>
          <w:color w:val="000000" w:themeColor="text1"/>
          <w:spacing w:val="-3"/>
          <w:sz w:val="28"/>
          <w:szCs w:val="28"/>
          <w:bdr w:val="none" w:sz="0" w:space="0" w:color="auto" w:frame="1"/>
          <w:lang w:val="es-ES"/>
        </w:rPr>
        <w:t xml:space="preserve">: la controversia es suscitada por dos autoridades que integran distintas jurisdicciones. De un lado, se encuentra el </w:t>
      </w:r>
      <w:r w:rsidRPr="00FC73C1">
        <w:rPr>
          <w:rFonts w:ascii="Times New Roman" w:hAnsi="Times New Roman" w:cs="Times New Roman"/>
          <w:color w:val="000000" w:themeColor="text1"/>
          <w:sz w:val="28"/>
          <w:szCs w:val="28"/>
          <w:lang w:val="es-ES"/>
        </w:rPr>
        <w:t>Juzgado 19 Administrativo del Circuito de Santiago de Cali y por el otro, el Juzgado 18 Civil del Circuito de la misma ciudad.</w:t>
      </w:r>
    </w:p>
    <w:p w14:paraId="2B3C931A" w14:textId="77777777" w:rsidR="00000000" w:rsidRPr="00FC73C1" w:rsidRDefault="00000000" w:rsidP="008E3D44">
      <w:pPr>
        <w:pStyle w:val="Prrafodelista"/>
        <w:spacing w:after="0" w:line="240" w:lineRule="auto"/>
        <w:ind w:left="1080"/>
        <w:jc w:val="both"/>
        <w:rPr>
          <w:rFonts w:ascii="Times New Roman" w:hAnsi="Times New Roman" w:cs="Times New Roman"/>
          <w:i/>
          <w:iCs/>
          <w:color w:val="000000" w:themeColor="text1"/>
          <w:sz w:val="28"/>
          <w:szCs w:val="28"/>
          <w:u w:val="single"/>
          <w:lang w:val="es-ES_tradnl"/>
        </w:rPr>
      </w:pPr>
    </w:p>
    <w:p w14:paraId="4DE4235D" w14:textId="77777777" w:rsidR="00000000" w:rsidRPr="00FC73C1" w:rsidRDefault="00FC73C1" w:rsidP="008E3D44">
      <w:pPr>
        <w:pStyle w:val="Prrafodelista"/>
        <w:numPr>
          <w:ilvl w:val="0"/>
          <w:numId w:val="4"/>
        </w:numPr>
        <w:spacing w:after="0" w:line="240" w:lineRule="auto"/>
        <w:jc w:val="both"/>
        <w:rPr>
          <w:rFonts w:ascii="Times New Roman" w:hAnsi="Times New Roman" w:cs="Times New Roman"/>
          <w:i/>
          <w:iCs/>
          <w:color w:val="000000" w:themeColor="text1"/>
          <w:sz w:val="28"/>
          <w:szCs w:val="28"/>
          <w:u w:val="single"/>
          <w:lang w:val="es-ES_tradnl"/>
        </w:rPr>
      </w:pPr>
      <w:r w:rsidRPr="00FC73C1">
        <w:rPr>
          <w:rFonts w:ascii="Times New Roman" w:hAnsi="Times New Roman" w:cs="Times New Roman"/>
          <w:i/>
          <w:iCs/>
          <w:color w:val="000000" w:themeColor="text1"/>
          <w:spacing w:val="-3"/>
          <w:sz w:val="28"/>
          <w:szCs w:val="28"/>
          <w:bdr w:val="none" w:sz="0" w:space="0" w:color="auto" w:frame="1"/>
          <w:lang w:val="es-ES_tradnl"/>
        </w:rPr>
        <w:t xml:space="preserve">Presupuesto objetivo: </w:t>
      </w:r>
      <w:r w:rsidRPr="00FC73C1">
        <w:rPr>
          <w:rFonts w:ascii="Times New Roman" w:hAnsi="Times New Roman" w:cs="Times New Roman"/>
          <w:color w:val="000000" w:themeColor="text1"/>
          <w:sz w:val="28"/>
          <w:szCs w:val="28"/>
          <w:lang w:val="es-ES_tradnl"/>
        </w:rPr>
        <w:t xml:space="preserve">la discusión se suscita en torno a la competencia para conocer y decidir la demanda de reparación directa interpuesta por el señor </w:t>
      </w:r>
      <w:r w:rsidRPr="00FC73C1">
        <w:rPr>
          <w:rFonts w:ascii="Times New Roman" w:hAnsi="Times New Roman" w:cs="Times New Roman"/>
          <w:color w:val="000000" w:themeColor="text1"/>
          <w:sz w:val="28"/>
          <w:szCs w:val="28"/>
          <w:shd w:val="clear" w:color="auto" w:fill="FFFFFF"/>
          <w:lang w:val="es-ES_tradnl"/>
        </w:rPr>
        <w:t xml:space="preserve">Rubén Darío Camacho Mosquera </w:t>
      </w:r>
      <w:r w:rsidRPr="00FC73C1">
        <w:rPr>
          <w:rFonts w:ascii="Times New Roman" w:hAnsi="Times New Roman" w:cs="Times New Roman"/>
          <w:color w:val="000000" w:themeColor="text1"/>
          <w:sz w:val="28"/>
          <w:szCs w:val="28"/>
          <w:lang w:val="es-ES_tradnl"/>
        </w:rPr>
        <w:t xml:space="preserve">en contra del </w:t>
      </w:r>
      <w:r w:rsidRPr="00FC73C1">
        <w:rPr>
          <w:rFonts w:ascii="Times New Roman" w:hAnsi="Times New Roman" w:cs="Times New Roman"/>
          <w:color w:val="000000" w:themeColor="text1"/>
          <w:sz w:val="28"/>
          <w:szCs w:val="28"/>
          <w:shd w:val="clear" w:color="auto" w:fill="FFFFFF"/>
          <w:lang w:val="es-ES_tradnl"/>
        </w:rPr>
        <w:t>Distrito Especial de Santiago de Cali y otros con ocasión de los perjuicios causados al demandante por el accidente de tránsito ocurrido el 18 de septiembre de 2006.</w:t>
      </w:r>
      <w:bookmarkStart w:id="1" w:name="_Hlk127806911"/>
    </w:p>
    <w:p w14:paraId="442D753C" w14:textId="77777777" w:rsidR="00000000" w:rsidRPr="00FC73C1" w:rsidRDefault="00000000" w:rsidP="008E3D44">
      <w:pPr>
        <w:jc w:val="both"/>
        <w:rPr>
          <w:rFonts w:ascii="Times New Roman" w:hAnsi="Times New Roman" w:cs="Times New Roman"/>
          <w:i/>
          <w:iCs/>
          <w:color w:val="000000" w:themeColor="text1"/>
          <w:sz w:val="28"/>
          <w:szCs w:val="28"/>
          <w:u w:val="single"/>
          <w:lang w:val="es-ES_tradnl"/>
        </w:rPr>
      </w:pPr>
    </w:p>
    <w:p w14:paraId="1EF75F75" w14:textId="77777777" w:rsidR="00000000" w:rsidRPr="00FC73C1" w:rsidRDefault="00FC73C1" w:rsidP="008E3D44">
      <w:pPr>
        <w:pStyle w:val="Prrafodelista"/>
        <w:numPr>
          <w:ilvl w:val="0"/>
          <w:numId w:val="4"/>
        </w:numPr>
        <w:spacing w:after="0" w:line="240" w:lineRule="auto"/>
        <w:jc w:val="both"/>
        <w:rPr>
          <w:rFonts w:ascii="Times New Roman" w:hAnsi="Times New Roman" w:cs="Times New Roman"/>
          <w:i/>
          <w:iCs/>
          <w:color w:val="000000" w:themeColor="text1"/>
          <w:sz w:val="28"/>
          <w:szCs w:val="28"/>
          <w:u w:val="single"/>
          <w:lang w:val="es-ES_tradnl"/>
        </w:rPr>
      </w:pPr>
      <w:r w:rsidRPr="00FC73C1">
        <w:rPr>
          <w:rFonts w:ascii="Times New Roman" w:hAnsi="Times New Roman" w:cs="Times New Roman"/>
          <w:i/>
          <w:iCs/>
          <w:color w:val="000000" w:themeColor="text1"/>
          <w:spacing w:val="-3"/>
          <w:sz w:val="28"/>
          <w:szCs w:val="28"/>
          <w:bdr w:val="none" w:sz="0" w:space="0" w:color="auto" w:frame="1"/>
          <w:lang w:val="es-ES_tradnl"/>
        </w:rPr>
        <w:t xml:space="preserve">Presupuesto normativo: </w:t>
      </w:r>
      <w:r w:rsidRPr="00FC73C1">
        <w:rPr>
          <w:rFonts w:ascii="Times New Roman" w:hAnsi="Times New Roman" w:cs="Times New Roman"/>
          <w:color w:val="000000" w:themeColor="text1"/>
          <w:sz w:val="28"/>
          <w:szCs w:val="28"/>
          <w:lang w:val="es-ES_tradnl"/>
        </w:rPr>
        <w:t>las dos autoridades judiciales en conflicto citaron y justificaron su falta de jurisdicción en pronunciamientos del Consejo de Estado y el Consejo Superior de la Judicatura.</w:t>
      </w:r>
    </w:p>
    <w:p w14:paraId="1315CB1F" w14:textId="77777777" w:rsidR="00000000" w:rsidRPr="00FC73C1" w:rsidRDefault="00000000" w:rsidP="008E3D44">
      <w:pPr>
        <w:rPr>
          <w:rFonts w:ascii="Times New Roman" w:hAnsi="Times New Roman" w:cs="Times New Roman"/>
          <w:color w:val="000000" w:themeColor="text1"/>
          <w:sz w:val="28"/>
          <w:szCs w:val="28"/>
          <w:shd w:val="clear" w:color="auto" w:fill="FFFFFF"/>
          <w:lang w:val="es-ES_tradnl"/>
        </w:rPr>
      </w:pPr>
    </w:p>
    <w:p w14:paraId="461E1FE8"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
        </w:rPr>
      </w:pPr>
      <w:r w:rsidRPr="00FC73C1">
        <w:rPr>
          <w:rFonts w:ascii="Times New Roman" w:hAnsi="Times New Roman" w:cs="Times New Roman"/>
          <w:color w:val="000000" w:themeColor="text1"/>
          <w:sz w:val="28"/>
          <w:szCs w:val="28"/>
          <w:lang w:val="es-ES"/>
        </w:rPr>
        <w:t>Superado el anterior el estudio y a partir de la aplicación de la figura del fuero de atracción, la Sala Plena concluye que es la Jurisdicción Ordinaria Civil representada en esta oportunidad por el Juzgado 18 Civil del Circuito de Santiago de Cali, la autoridad judicial competente para conocer la demanda instaurada por el señor Camacho Mosquera en contra del Distrito Especial de Santiago de Cali y otros. Como se pasará a explicar, en esta oportunidad no se acreditaron los tres criterios orientadores del fuero de atracción que le permiten a la Jurisdicción de lo Contencioso Administrativo conocer de la demanda.</w:t>
      </w:r>
    </w:p>
    <w:p w14:paraId="0CBAD13D" w14:textId="77777777" w:rsidR="00000000" w:rsidRPr="00FC73C1" w:rsidRDefault="00000000" w:rsidP="008E3D44">
      <w:pPr>
        <w:rPr>
          <w:rFonts w:ascii="Times New Roman" w:hAnsi="Times New Roman" w:cs="Times New Roman"/>
          <w:color w:val="000000" w:themeColor="text1"/>
          <w:sz w:val="28"/>
          <w:szCs w:val="28"/>
          <w:lang w:val="es-ES_tradnl"/>
        </w:rPr>
      </w:pPr>
    </w:p>
    <w:p w14:paraId="75F9CF59"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
        </w:rPr>
      </w:pPr>
      <w:r w:rsidRPr="00FC73C1">
        <w:rPr>
          <w:rFonts w:ascii="Times New Roman" w:hAnsi="Times New Roman" w:cs="Times New Roman"/>
          <w:color w:val="000000" w:themeColor="text1"/>
          <w:sz w:val="28"/>
          <w:szCs w:val="28"/>
          <w:lang w:val="es-ES"/>
        </w:rPr>
        <w:t>La Corte observa que</w:t>
      </w:r>
      <w:r w:rsidRPr="00FC73C1">
        <w:rPr>
          <w:rFonts w:ascii="Times New Roman" w:hAnsi="Times New Roman" w:cs="Times New Roman"/>
          <w:color w:val="000000" w:themeColor="text1"/>
          <w:sz w:val="28"/>
          <w:szCs w:val="28"/>
          <w:shd w:val="clear" w:color="auto" w:fill="FFFFFF"/>
          <w:lang w:val="es-ES"/>
        </w:rPr>
        <w:t xml:space="preserve"> los hechos y la causa en la que fundamentó el demandante la eventual responsabilidad de la entidad estatal demandada es la misma de los sujetos de derecho privado, puesto que se derivan de los perjuicios que se le ocasionaron a partir del accidente de tránsito del 18 de septiembre de 2006. </w:t>
      </w:r>
      <w:r w:rsidRPr="00FC73C1">
        <w:rPr>
          <w:rFonts w:ascii="Times New Roman" w:hAnsi="Times New Roman" w:cs="Times New Roman"/>
          <w:color w:val="000000" w:themeColor="text1"/>
          <w:sz w:val="28"/>
          <w:szCs w:val="28"/>
          <w:lang w:val="es-ES"/>
        </w:rPr>
        <w:t xml:space="preserve">Sin embargo y tal como concluyó </w:t>
      </w:r>
      <w:r w:rsidRPr="00FC73C1">
        <w:rPr>
          <w:rFonts w:ascii="Times New Roman" w:hAnsi="Times New Roman" w:cs="Times New Roman"/>
          <w:color w:val="000000" w:themeColor="text1"/>
          <w:spacing w:val="-3"/>
          <w:sz w:val="28"/>
          <w:szCs w:val="28"/>
          <w:bdr w:val="none" w:sz="0" w:space="0" w:color="auto" w:frame="1"/>
          <w:lang w:val="es-ES"/>
        </w:rPr>
        <w:t xml:space="preserve">el </w:t>
      </w:r>
      <w:r w:rsidRPr="00FC73C1">
        <w:rPr>
          <w:rFonts w:ascii="Times New Roman" w:hAnsi="Times New Roman" w:cs="Times New Roman"/>
          <w:color w:val="000000" w:themeColor="text1"/>
          <w:sz w:val="28"/>
          <w:szCs w:val="28"/>
          <w:lang w:val="es-ES"/>
        </w:rPr>
        <w:t>Juzgado 19 Administrativo del Circuito de Santiago de Cali en la sentencia de primera instancia proferida el 6 de febrero de 2023, de los hechos, pretensiones y pruebas del expediente: (i) no existe una posibilidad “</w:t>
      </w:r>
      <w:r w:rsidRPr="00FC73C1">
        <w:rPr>
          <w:rFonts w:ascii="Times New Roman" w:hAnsi="Times New Roman" w:cs="Times New Roman"/>
          <w:i/>
          <w:iCs/>
          <w:color w:val="000000" w:themeColor="text1"/>
          <w:sz w:val="28"/>
          <w:szCs w:val="28"/>
          <w:lang w:val="es-ES"/>
        </w:rPr>
        <w:t>mínimamente seria</w:t>
      </w:r>
      <w:r w:rsidRPr="00FC73C1">
        <w:rPr>
          <w:rFonts w:ascii="Times New Roman" w:hAnsi="Times New Roman" w:cs="Times New Roman"/>
          <w:color w:val="000000" w:themeColor="text1"/>
          <w:sz w:val="28"/>
          <w:szCs w:val="28"/>
          <w:lang w:val="es-ES"/>
        </w:rPr>
        <w:t>” de que el Distrito Especial de Santiago de Cali sea condenado; y (</w:t>
      </w:r>
      <w:proofErr w:type="spellStart"/>
      <w:r w:rsidRPr="00FC73C1">
        <w:rPr>
          <w:rFonts w:ascii="Times New Roman" w:hAnsi="Times New Roman" w:cs="Times New Roman"/>
          <w:color w:val="000000" w:themeColor="text1"/>
          <w:sz w:val="28"/>
          <w:szCs w:val="28"/>
          <w:lang w:val="es-ES"/>
        </w:rPr>
        <w:t>ii</w:t>
      </w:r>
      <w:proofErr w:type="spellEnd"/>
      <w:r w:rsidRPr="00FC73C1">
        <w:rPr>
          <w:rFonts w:ascii="Times New Roman" w:hAnsi="Times New Roman" w:cs="Times New Roman"/>
          <w:color w:val="000000" w:themeColor="text1"/>
          <w:sz w:val="28"/>
          <w:szCs w:val="28"/>
          <w:lang w:val="es-ES"/>
        </w:rPr>
        <w:t>) no se plantea de manera explícita la imputación del daño antijurídico a dicha entidad a partir de sus acciones u omisiones.</w:t>
      </w:r>
    </w:p>
    <w:p w14:paraId="0B948066" w14:textId="77777777" w:rsidR="00000000" w:rsidRPr="00FC73C1" w:rsidRDefault="00000000" w:rsidP="008E3D44">
      <w:pPr>
        <w:pStyle w:val="Prrafodelista"/>
        <w:spacing w:after="0" w:line="240" w:lineRule="auto"/>
        <w:ind w:left="0"/>
        <w:jc w:val="both"/>
        <w:rPr>
          <w:rFonts w:ascii="Times New Roman" w:hAnsi="Times New Roman" w:cs="Times New Roman"/>
          <w:color w:val="000000" w:themeColor="text1"/>
          <w:sz w:val="28"/>
          <w:szCs w:val="28"/>
          <w:shd w:val="clear" w:color="auto" w:fill="FFFFFF"/>
          <w:lang w:val="es-CO"/>
        </w:rPr>
      </w:pPr>
    </w:p>
    <w:p w14:paraId="5B0E6E4B"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shd w:val="clear" w:color="auto" w:fill="FFFFFF"/>
          <w:lang w:val="es-CO"/>
        </w:rPr>
        <w:t>Bajo esa línea y en estricto cumplimiento a las reglas que ha fijado la jurisprudencia del Consejo de Estado en relación con el fuero de atracción, en el caso concreto no se cumple con “</w:t>
      </w:r>
      <w:r w:rsidRPr="00FC73C1">
        <w:rPr>
          <w:rFonts w:ascii="Times New Roman" w:hAnsi="Times New Roman" w:cs="Times New Roman"/>
          <w:i/>
          <w:iCs/>
          <w:color w:val="000000" w:themeColor="text1"/>
          <w:sz w:val="28"/>
          <w:szCs w:val="28"/>
          <w:shd w:val="clear" w:color="auto" w:fill="FFFFFF"/>
          <w:lang w:val="es-CO"/>
        </w:rPr>
        <w:t>el factor de conexión</w:t>
      </w:r>
      <w:r w:rsidRPr="00FC73C1">
        <w:rPr>
          <w:rFonts w:ascii="Times New Roman" w:hAnsi="Times New Roman" w:cs="Times New Roman"/>
          <w:color w:val="000000" w:themeColor="text1"/>
          <w:sz w:val="28"/>
          <w:szCs w:val="28"/>
          <w:shd w:val="clear" w:color="auto" w:fill="FFFFFF"/>
          <w:lang w:val="es-CO"/>
        </w:rPr>
        <w:t xml:space="preserve">” requerido para dar aplicación a la aludida figura procesal, debido a que no se advierte la existencia de elementos objetivos circunstanciales que razonablemente, permitan deducir una posible o potencial responsabilidad solidaria del </w:t>
      </w:r>
      <w:r w:rsidRPr="00FC73C1">
        <w:rPr>
          <w:rFonts w:ascii="Times New Roman" w:hAnsi="Times New Roman" w:cs="Times New Roman"/>
          <w:color w:val="000000" w:themeColor="text1"/>
          <w:sz w:val="28"/>
          <w:szCs w:val="28"/>
          <w:lang w:val="es-ES_tradnl"/>
        </w:rPr>
        <w:t xml:space="preserve">Distrito Especial de Santiago de Cali </w:t>
      </w:r>
      <w:r w:rsidRPr="00FC73C1">
        <w:rPr>
          <w:rFonts w:ascii="Times New Roman" w:hAnsi="Times New Roman" w:cs="Times New Roman"/>
          <w:color w:val="000000" w:themeColor="text1"/>
          <w:sz w:val="28"/>
          <w:szCs w:val="28"/>
          <w:shd w:val="clear" w:color="auto" w:fill="FFFFFF"/>
          <w:lang w:val="es-CO"/>
        </w:rPr>
        <w:t xml:space="preserve">en la controversia planteada por el demandante. Esto, debido a que no se avizora que entre el Consorcio </w:t>
      </w:r>
      <w:proofErr w:type="spellStart"/>
      <w:r w:rsidRPr="00FC73C1">
        <w:rPr>
          <w:rFonts w:ascii="Times New Roman" w:hAnsi="Times New Roman" w:cs="Times New Roman"/>
          <w:color w:val="000000" w:themeColor="text1"/>
          <w:sz w:val="28"/>
          <w:szCs w:val="28"/>
          <w:shd w:val="clear" w:color="auto" w:fill="FFFFFF"/>
          <w:lang w:val="es-CO"/>
        </w:rPr>
        <w:t>Sercali</w:t>
      </w:r>
      <w:proofErr w:type="spellEnd"/>
      <w:r w:rsidRPr="00FC73C1">
        <w:rPr>
          <w:rFonts w:ascii="Times New Roman" w:hAnsi="Times New Roman" w:cs="Times New Roman"/>
          <w:color w:val="000000" w:themeColor="text1"/>
          <w:sz w:val="28"/>
          <w:szCs w:val="28"/>
          <w:shd w:val="clear" w:color="auto" w:fill="FFFFFF"/>
          <w:lang w:val="es-CO"/>
        </w:rPr>
        <w:t xml:space="preserve"> y/o las compañías que lo componen exista o haya existido algún tipo de vínculo jurídico o contractual con la entidad territorial referida.</w:t>
      </w:r>
    </w:p>
    <w:p w14:paraId="53AA17A6" w14:textId="77777777" w:rsidR="00000000" w:rsidRPr="00FC73C1" w:rsidRDefault="00000000" w:rsidP="008E3D44">
      <w:pPr>
        <w:rPr>
          <w:rFonts w:ascii="Times New Roman" w:hAnsi="Times New Roman" w:cs="Times New Roman"/>
          <w:color w:val="000000" w:themeColor="text1"/>
          <w:sz w:val="28"/>
          <w:szCs w:val="28"/>
          <w:lang w:val="es-ES_tradnl"/>
        </w:rPr>
      </w:pPr>
    </w:p>
    <w:p w14:paraId="3F5A246E"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lastRenderedPageBreak/>
        <w:t xml:space="preserve">Por último, la Sala recuerda que </w:t>
      </w:r>
      <w:r w:rsidRPr="00FC73C1">
        <w:rPr>
          <w:rFonts w:ascii="Times New Roman" w:hAnsi="Times New Roman" w:cs="Times New Roman"/>
          <w:color w:val="000000" w:themeColor="text1"/>
          <w:sz w:val="28"/>
          <w:szCs w:val="28"/>
          <w:shd w:val="clear" w:color="auto" w:fill="FFFFFF"/>
          <w:lang w:val="es-CO"/>
        </w:rPr>
        <w:t>el análisis del fuero de atracción tiene como único propósito determinar la competencia de la jurisdicción que debe conocer de la causa adelantada por el señor Camacho Mosquera, sin que ello signifique hacer una valoración de fondo respecto del objeto de la controversia y de la eventual responsabilidad que pueda llegar a atribuírsele o probársele a las partes demandadas en la misma.</w:t>
      </w:r>
      <w:r w:rsidRPr="00FC73C1">
        <w:rPr>
          <w:rFonts w:ascii="Times New Roman" w:hAnsi="Times New Roman" w:cs="Times New Roman"/>
          <w:color w:val="000000" w:themeColor="text1"/>
          <w:sz w:val="28"/>
          <w:szCs w:val="28"/>
          <w:lang w:val="es-ES_tradnl"/>
        </w:rPr>
        <w:t xml:space="preserve"> Es así, que la Sala Plena enviará el presente asunto al Juzgado 18 Civil del Circuito de Santiago de Cali para lo de su competencia y para que comunique la presente decisión a las partes y demás interesados.</w:t>
      </w:r>
    </w:p>
    <w:p w14:paraId="003463BC" w14:textId="77777777" w:rsidR="00000000" w:rsidRPr="00FC73C1" w:rsidRDefault="00000000" w:rsidP="008E3D44">
      <w:pPr>
        <w:rPr>
          <w:rFonts w:ascii="Times New Roman" w:hAnsi="Times New Roman" w:cs="Times New Roman"/>
          <w:color w:val="000000" w:themeColor="text1"/>
          <w:sz w:val="28"/>
          <w:szCs w:val="28"/>
          <w:lang w:val="es-ES_tradnl"/>
        </w:rPr>
      </w:pPr>
    </w:p>
    <w:p w14:paraId="74E2D99E" w14:textId="77777777" w:rsidR="00000000" w:rsidRPr="00FC73C1" w:rsidRDefault="00FC73C1" w:rsidP="008E3D44">
      <w:pPr>
        <w:pStyle w:val="Prrafodelista"/>
        <w:numPr>
          <w:ilvl w:val="0"/>
          <w:numId w:val="3"/>
        </w:numPr>
        <w:spacing w:after="0" w:line="240" w:lineRule="auto"/>
        <w:ind w:left="1276" w:hanging="709"/>
        <w:jc w:val="both"/>
        <w:rPr>
          <w:rFonts w:ascii="Times New Roman" w:hAnsi="Times New Roman" w:cs="Times New Roman"/>
          <w:b/>
          <w:bCs/>
          <w:color w:val="000000" w:themeColor="text1"/>
          <w:sz w:val="28"/>
          <w:szCs w:val="28"/>
          <w:lang w:val="es-ES_tradnl"/>
        </w:rPr>
      </w:pPr>
      <w:r w:rsidRPr="00FC73C1">
        <w:rPr>
          <w:rFonts w:ascii="Times New Roman" w:hAnsi="Times New Roman" w:cs="Times New Roman"/>
          <w:b/>
          <w:bCs/>
          <w:color w:val="000000" w:themeColor="text1"/>
          <w:sz w:val="28"/>
          <w:szCs w:val="28"/>
          <w:lang w:val="es-ES_tradnl"/>
        </w:rPr>
        <w:t>Regla de decisión.</w:t>
      </w:r>
    </w:p>
    <w:bookmarkEnd w:id="1"/>
    <w:p w14:paraId="3DC376B0" w14:textId="77777777" w:rsidR="00000000" w:rsidRPr="00FC73C1" w:rsidRDefault="00000000" w:rsidP="008E3D44">
      <w:pPr>
        <w:rPr>
          <w:rFonts w:ascii="Times New Roman" w:hAnsi="Times New Roman" w:cs="Times New Roman"/>
          <w:color w:val="000000" w:themeColor="text1"/>
          <w:sz w:val="28"/>
          <w:szCs w:val="28"/>
          <w:lang w:val="es-ES_tradnl"/>
        </w:rPr>
      </w:pPr>
    </w:p>
    <w:p w14:paraId="0EAD2292" w14:textId="77777777" w:rsidR="00000000" w:rsidRPr="00FC73C1" w:rsidRDefault="00FC73C1" w:rsidP="008E3D44">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shd w:val="clear" w:color="auto" w:fill="FFFFFF"/>
          <w:lang w:val="es-ES_tradnl"/>
        </w:rPr>
      </w:pPr>
      <w:r w:rsidRPr="00FC73C1">
        <w:rPr>
          <w:rFonts w:ascii="Times New Roman" w:hAnsi="Times New Roman" w:cs="Times New Roman"/>
          <w:color w:val="000000" w:themeColor="text1"/>
          <w:sz w:val="28"/>
          <w:szCs w:val="28"/>
          <w:shd w:val="clear" w:color="auto" w:fill="FFFFFF"/>
          <w:lang w:val="es-ES_tradnl"/>
        </w:rPr>
        <w:t xml:space="preserve">Cuando una demanda se dirija, de forma concomitante, contra personas de derecho privado y público, se aplicará el fuero de atracción y, en consecuencia, se reconocerá competencia a la jurisdicción contencioso administrativa, </w:t>
      </w:r>
      <w:r w:rsidRPr="00FC73C1">
        <w:rPr>
          <w:rFonts w:ascii="Times New Roman" w:hAnsi="Times New Roman" w:cs="Times New Roman"/>
          <w:color w:val="000000" w:themeColor="text1"/>
          <w:sz w:val="28"/>
          <w:szCs w:val="28"/>
          <w:u w:val="single"/>
          <w:shd w:val="clear" w:color="auto" w:fill="FFFFFF"/>
          <w:lang w:val="es-ES_tradnl"/>
        </w:rPr>
        <w:t>únicamente</w:t>
      </w:r>
      <w:r w:rsidRPr="00FC73C1">
        <w:rPr>
          <w:rFonts w:ascii="Times New Roman" w:hAnsi="Times New Roman" w:cs="Times New Roman"/>
          <w:color w:val="000000" w:themeColor="text1"/>
          <w:sz w:val="28"/>
          <w:szCs w:val="28"/>
          <w:shd w:val="clear" w:color="auto" w:fill="FFFFFF"/>
          <w:lang w:val="es-ES_tradnl"/>
        </w:rPr>
        <w:t>, en los eventos donde, a partir de un análisis conjunto de los hechos, las pretensiones y las pruebas que obren en el expediente, logre advertirse que: (a) es posible inferir razonablemente la existencia de una probabilidad mínimamente seria de que las entidades públicas sean condenadas; (b) el demandante imputó acciones u omisiones por parte de entes públicos y particulares, con suficientes fundamentos fácticos y jurídicos; y, (c) los hechos que dieron origen a la demanda sean los mismos, de modo que, se pueda evidenciar que los dos sujetos, eventualmente, contribuyeron con su conducta a generar el resultado, y esta es la concausa eficiente del daño que se reclama o que fundamenta la responsabilidad solidaria</w:t>
      </w:r>
      <w:r w:rsidRPr="00FC73C1">
        <w:rPr>
          <w:rStyle w:val="Refdenotaalpie"/>
          <w:rFonts w:ascii="Times New Roman" w:hAnsi="Times New Roman" w:cs="Times New Roman"/>
          <w:color w:val="000000" w:themeColor="text1"/>
          <w:sz w:val="28"/>
          <w:szCs w:val="24"/>
          <w:shd w:val="clear" w:color="auto" w:fill="FFFFFF"/>
          <w:lang w:val="es-ES_tradnl"/>
        </w:rPr>
        <w:footnoteReference w:id="11"/>
      </w:r>
      <w:r w:rsidRPr="00FC73C1">
        <w:rPr>
          <w:rFonts w:ascii="Times New Roman" w:hAnsi="Times New Roman" w:cs="Times New Roman"/>
          <w:color w:val="000000" w:themeColor="text1"/>
          <w:sz w:val="28"/>
          <w:szCs w:val="28"/>
          <w:shd w:val="clear" w:color="auto" w:fill="FFFFFF"/>
          <w:lang w:val="es-ES_tradnl"/>
        </w:rPr>
        <w:t>.</w:t>
      </w:r>
    </w:p>
    <w:p w14:paraId="2313EC58" w14:textId="77777777" w:rsidR="00000000" w:rsidRPr="00FC73C1" w:rsidRDefault="00000000" w:rsidP="008E3D44">
      <w:pPr>
        <w:pStyle w:val="Prrafodelista"/>
        <w:spacing w:after="0" w:line="240" w:lineRule="auto"/>
        <w:ind w:left="0"/>
        <w:jc w:val="both"/>
        <w:rPr>
          <w:rStyle w:val="FontStyle11"/>
          <w:color w:val="000000" w:themeColor="text1"/>
          <w:sz w:val="28"/>
          <w:szCs w:val="28"/>
          <w:shd w:val="clear" w:color="auto" w:fill="FFFFFF"/>
          <w:lang w:val="es-ES_tradnl"/>
        </w:rPr>
      </w:pPr>
    </w:p>
    <w:p w14:paraId="4E5EB360" w14:textId="77777777" w:rsidR="00000000" w:rsidRPr="00FC73C1" w:rsidRDefault="00FC73C1" w:rsidP="008E3D44">
      <w:pPr>
        <w:pStyle w:val="Style5"/>
        <w:widowControl/>
        <w:numPr>
          <w:ilvl w:val="0"/>
          <w:numId w:val="1"/>
        </w:numPr>
        <w:jc w:val="center"/>
        <w:rPr>
          <w:rFonts w:ascii="Times New Roman" w:hAnsi="Times New Roman" w:cs="Times New Roman"/>
          <w:b/>
          <w:bCs/>
          <w:color w:val="000000" w:themeColor="text1"/>
          <w:sz w:val="28"/>
          <w:szCs w:val="28"/>
          <w:lang w:val="es-ES_tradnl" w:eastAsia="es-ES_tradnl"/>
        </w:rPr>
      </w:pPr>
      <w:r w:rsidRPr="00FC73C1">
        <w:rPr>
          <w:rStyle w:val="FontStyle11"/>
          <w:color w:val="000000" w:themeColor="text1"/>
          <w:sz w:val="28"/>
          <w:szCs w:val="28"/>
          <w:lang w:val="es-ES_tradnl" w:eastAsia="es-ES_tradnl"/>
        </w:rPr>
        <w:t>DECISIÓN</w:t>
      </w:r>
    </w:p>
    <w:p w14:paraId="221447B0" w14:textId="77777777" w:rsidR="00000000" w:rsidRPr="00FC73C1" w:rsidRDefault="00000000" w:rsidP="008E3D44">
      <w:pPr>
        <w:jc w:val="both"/>
        <w:rPr>
          <w:rFonts w:ascii="Times New Roman" w:hAnsi="Times New Roman" w:cs="Times New Roman"/>
          <w:b/>
          <w:color w:val="000000" w:themeColor="text1"/>
          <w:sz w:val="28"/>
          <w:szCs w:val="28"/>
          <w:lang w:val="es-ES_tradnl"/>
        </w:rPr>
      </w:pPr>
    </w:p>
    <w:p w14:paraId="7F0EEE4B" w14:textId="77777777" w:rsidR="00000000" w:rsidRPr="00FC73C1" w:rsidRDefault="00FC73C1" w:rsidP="008E3D44">
      <w:pPr>
        <w:jc w:val="both"/>
        <w:rPr>
          <w:rFonts w:ascii="Times New Roman" w:eastAsiaTheme="minorHAnsi" w:hAnsi="Times New Roman" w:cs="Times New Roman"/>
          <w:color w:val="000000" w:themeColor="text1"/>
          <w:sz w:val="28"/>
          <w:szCs w:val="28"/>
          <w:lang w:val="es-ES_tradnl" w:eastAsia="en-US"/>
        </w:rPr>
      </w:pPr>
      <w:r w:rsidRPr="00FC73C1">
        <w:rPr>
          <w:rFonts w:ascii="Times New Roman" w:eastAsiaTheme="minorHAnsi" w:hAnsi="Times New Roman" w:cs="Times New Roman"/>
          <w:color w:val="000000" w:themeColor="text1"/>
          <w:sz w:val="28"/>
          <w:szCs w:val="28"/>
          <w:lang w:val="es-ES_tradnl" w:eastAsia="en-US"/>
        </w:rPr>
        <w:t>Con base en las anteriores consideraciones, la Sala Plena de la Corte Constitucional,</w:t>
      </w:r>
    </w:p>
    <w:p w14:paraId="7AD8BEC2" w14:textId="77777777" w:rsidR="00000000" w:rsidRPr="00FC73C1" w:rsidRDefault="00000000" w:rsidP="008E3D44">
      <w:pPr>
        <w:rPr>
          <w:rFonts w:ascii="Times New Roman" w:hAnsi="Times New Roman" w:cs="Times New Roman"/>
          <w:b/>
          <w:color w:val="000000" w:themeColor="text1"/>
          <w:sz w:val="28"/>
          <w:szCs w:val="28"/>
          <w:lang w:val="es-ES_tradnl"/>
        </w:rPr>
      </w:pPr>
    </w:p>
    <w:p w14:paraId="681B2112" w14:textId="77777777" w:rsidR="00000000" w:rsidRPr="00FC73C1" w:rsidRDefault="00FC73C1" w:rsidP="008E3D44">
      <w:pPr>
        <w:jc w:val="center"/>
        <w:rPr>
          <w:rFonts w:ascii="Times New Roman" w:hAnsi="Times New Roman" w:cs="Times New Roman"/>
          <w:b/>
          <w:color w:val="000000" w:themeColor="text1"/>
          <w:sz w:val="28"/>
          <w:szCs w:val="28"/>
          <w:lang w:val="es-ES_tradnl"/>
        </w:rPr>
      </w:pPr>
      <w:r w:rsidRPr="00FC73C1">
        <w:rPr>
          <w:rFonts w:ascii="Times New Roman" w:hAnsi="Times New Roman" w:cs="Times New Roman"/>
          <w:b/>
          <w:color w:val="000000" w:themeColor="text1"/>
          <w:sz w:val="28"/>
          <w:szCs w:val="28"/>
          <w:lang w:val="es-ES_tradnl"/>
        </w:rPr>
        <w:t>RESUELVE</w:t>
      </w:r>
    </w:p>
    <w:p w14:paraId="73D08E78" w14:textId="77777777" w:rsidR="00000000" w:rsidRPr="00FC73C1" w:rsidRDefault="00000000" w:rsidP="008E3D44">
      <w:pPr>
        <w:jc w:val="both"/>
        <w:rPr>
          <w:rFonts w:ascii="Times New Roman" w:hAnsi="Times New Roman" w:cs="Times New Roman"/>
          <w:bCs/>
          <w:color w:val="000000" w:themeColor="text1"/>
          <w:sz w:val="28"/>
          <w:szCs w:val="28"/>
          <w:lang w:val="es-ES_tradnl"/>
        </w:rPr>
      </w:pPr>
    </w:p>
    <w:p w14:paraId="22F6971E" w14:textId="77777777" w:rsidR="00000000" w:rsidRPr="00FC73C1" w:rsidRDefault="00FC73C1" w:rsidP="008E3D44">
      <w:pPr>
        <w:tabs>
          <w:tab w:val="left" w:pos="4253"/>
        </w:tabs>
        <w:jc w:val="both"/>
        <w:rPr>
          <w:rFonts w:ascii="Times New Roman" w:hAnsi="Times New Roman" w:cs="Times New Roman"/>
          <w:color w:val="000000" w:themeColor="text1"/>
          <w:sz w:val="28"/>
          <w:szCs w:val="28"/>
          <w:lang w:val="es-ES"/>
        </w:rPr>
      </w:pPr>
      <w:r w:rsidRPr="00FC73C1">
        <w:rPr>
          <w:rFonts w:ascii="Times New Roman" w:hAnsi="Times New Roman" w:cs="Times New Roman"/>
          <w:b/>
          <w:bCs/>
          <w:color w:val="000000" w:themeColor="text1"/>
          <w:sz w:val="28"/>
          <w:szCs w:val="28"/>
          <w:lang w:val="es-ES"/>
        </w:rPr>
        <w:lastRenderedPageBreak/>
        <w:t>Primero: DIRIMIR</w:t>
      </w:r>
      <w:r w:rsidRPr="00FC73C1">
        <w:rPr>
          <w:rFonts w:ascii="Times New Roman" w:hAnsi="Times New Roman" w:cs="Times New Roman"/>
          <w:color w:val="000000" w:themeColor="text1"/>
          <w:sz w:val="28"/>
          <w:szCs w:val="28"/>
          <w:lang w:val="es-ES"/>
        </w:rPr>
        <w:t xml:space="preserve"> el conflicto de jurisdicciones entre el Juzgado 19 Administrativo del Circuito de Santiago de Cali y el Juzgado 18 Civil del Circuito de la misma ciudad, en el sentido de </w:t>
      </w:r>
      <w:r w:rsidRPr="00FC73C1">
        <w:rPr>
          <w:rFonts w:ascii="Times New Roman" w:hAnsi="Times New Roman" w:cs="Times New Roman"/>
          <w:b/>
          <w:bCs/>
          <w:color w:val="000000" w:themeColor="text1"/>
          <w:sz w:val="28"/>
          <w:szCs w:val="28"/>
          <w:lang w:val="es-ES"/>
        </w:rPr>
        <w:t>DECLARAR</w:t>
      </w:r>
      <w:r w:rsidRPr="00FC73C1">
        <w:rPr>
          <w:rFonts w:ascii="Times New Roman" w:hAnsi="Times New Roman" w:cs="Times New Roman"/>
          <w:color w:val="000000" w:themeColor="text1"/>
          <w:sz w:val="28"/>
          <w:szCs w:val="28"/>
          <w:lang w:val="es-ES"/>
        </w:rPr>
        <w:t xml:space="preserve"> </w:t>
      </w:r>
      <w:r w:rsidRPr="00FC73C1">
        <w:rPr>
          <w:rStyle w:val="FontStyle11"/>
          <w:b w:val="0"/>
          <w:bCs w:val="0"/>
          <w:color w:val="000000" w:themeColor="text1"/>
          <w:sz w:val="28"/>
          <w:szCs w:val="28"/>
          <w:lang w:val="es-ES" w:eastAsia="es-ES"/>
        </w:rPr>
        <w:t xml:space="preserve">que el conocimiento de la </w:t>
      </w:r>
      <w:r w:rsidRPr="00FC73C1">
        <w:rPr>
          <w:rFonts w:ascii="Times New Roman" w:hAnsi="Times New Roman" w:cs="Times New Roman"/>
          <w:color w:val="000000" w:themeColor="text1"/>
          <w:sz w:val="28"/>
          <w:szCs w:val="28"/>
          <w:lang w:val="es-ES"/>
        </w:rPr>
        <w:t xml:space="preserve">demanda de reparación directa instaurada por el señor </w:t>
      </w:r>
      <w:r w:rsidRPr="00FC73C1">
        <w:rPr>
          <w:rFonts w:ascii="Times New Roman" w:hAnsi="Times New Roman" w:cs="Times New Roman"/>
          <w:color w:val="000000" w:themeColor="text1"/>
          <w:sz w:val="28"/>
          <w:szCs w:val="28"/>
          <w:shd w:val="clear" w:color="auto" w:fill="FFFFFF"/>
          <w:lang w:val="es-ES"/>
        </w:rPr>
        <w:t>Rubén Darío Camacho Mosquera</w:t>
      </w:r>
      <w:r w:rsidRPr="00FC73C1">
        <w:rPr>
          <w:rFonts w:ascii="Times New Roman" w:hAnsi="Times New Roman" w:cs="Times New Roman"/>
          <w:color w:val="000000" w:themeColor="text1"/>
          <w:sz w:val="28"/>
          <w:szCs w:val="28"/>
          <w:lang w:val="es-ES"/>
        </w:rPr>
        <w:t>, le corresponde tramitarla al Juzgado 18 Civil del Circuito de la misma ciudad.</w:t>
      </w:r>
    </w:p>
    <w:p w14:paraId="691027BF" w14:textId="77777777" w:rsidR="00000000" w:rsidRPr="00FC73C1" w:rsidRDefault="00000000" w:rsidP="008E3D44">
      <w:pPr>
        <w:tabs>
          <w:tab w:val="left" w:pos="4253"/>
        </w:tabs>
        <w:jc w:val="both"/>
        <w:rPr>
          <w:rFonts w:ascii="Times New Roman" w:hAnsi="Times New Roman" w:cs="Times New Roman"/>
          <w:bCs/>
          <w:color w:val="000000" w:themeColor="text1"/>
          <w:sz w:val="28"/>
          <w:szCs w:val="28"/>
          <w:lang w:val="es-ES_tradnl"/>
        </w:rPr>
      </w:pPr>
    </w:p>
    <w:p w14:paraId="2BD1C007" w14:textId="77777777" w:rsidR="00000000" w:rsidRPr="00FC73C1" w:rsidRDefault="00FC73C1" w:rsidP="008E3D44">
      <w:pPr>
        <w:tabs>
          <w:tab w:val="left" w:pos="4253"/>
        </w:tabs>
        <w:jc w:val="both"/>
        <w:rPr>
          <w:rFonts w:ascii="Times New Roman" w:hAnsi="Times New Roman" w:cs="Times New Roman"/>
          <w:color w:val="000000" w:themeColor="text1"/>
          <w:sz w:val="28"/>
          <w:szCs w:val="28"/>
          <w:lang w:val="es-ES_tradnl"/>
        </w:rPr>
      </w:pPr>
      <w:r w:rsidRPr="00FC73C1">
        <w:rPr>
          <w:rFonts w:ascii="Times New Roman" w:hAnsi="Times New Roman" w:cs="Times New Roman"/>
          <w:b/>
          <w:color w:val="000000" w:themeColor="text1"/>
          <w:sz w:val="28"/>
          <w:szCs w:val="28"/>
          <w:lang w:val="es-ES_tradnl"/>
        </w:rPr>
        <w:t>Segundo: REMITIR</w:t>
      </w:r>
      <w:r w:rsidRPr="00FC73C1">
        <w:rPr>
          <w:rFonts w:ascii="Times New Roman" w:hAnsi="Times New Roman" w:cs="Times New Roman"/>
          <w:color w:val="000000" w:themeColor="text1"/>
          <w:sz w:val="28"/>
          <w:szCs w:val="28"/>
          <w:lang w:val="es-ES_tradnl"/>
        </w:rPr>
        <w:t xml:space="preserve"> el expediente CJU-4374 al Juzgado 18 Civil del Circuito de Santiago de Cali para lo de su competencia y para que comunique la presente decisión al Juzgado 19 Administrativo del Circuito de la misma ciudad y demás interesados.</w:t>
      </w:r>
    </w:p>
    <w:p w14:paraId="28C086C4" w14:textId="77777777" w:rsidR="00000000" w:rsidRPr="00FC73C1" w:rsidRDefault="00000000" w:rsidP="008E3D44">
      <w:pPr>
        <w:jc w:val="both"/>
        <w:rPr>
          <w:rFonts w:ascii="Times New Roman" w:hAnsi="Times New Roman" w:cs="Times New Roman"/>
          <w:color w:val="000000" w:themeColor="text1"/>
          <w:sz w:val="28"/>
          <w:szCs w:val="28"/>
          <w:lang w:val="es-ES_tradnl"/>
        </w:rPr>
      </w:pPr>
    </w:p>
    <w:p w14:paraId="7CFEC5D8" w14:textId="77777777" w:rsidR="00000000" w:rsidRPr="00FC73C1" w:rsidRDefault="00FC73C1" w:rsidP="008E3D44">
      <w:pPr>
        <w:jc w:val="both"/>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Notifíquese, comuníquese y cúmplase.</w:t>
      </w:r>
    </w:p>
    <w:p w14:paraId="54F8FBF5" w14:textId="77777777" w:rsidR="00000000" w:rsidRPr="00FC73C1" w:rsidRDefault="00000000" w:rsidP="008E3D44">
      <w:pPr>
        <w:jc w:val="both"/>
        <w:rPr>
          <w:rFonts w:ascii="Times New Roman" w:hAnsi="Times New Roman" w:cs="Times New Roman"/>
          <w:color w:val="000000" w:themeColor="text1"/>
          <w:sz w:val="28"/>
          <w:szCs w:val="28"/>
          <w:lang w:val="es-ES_tradnl"/>
        </w:rPr>
      </w:pPr>
    </w:p>
    <w:p w14:paraId="6EE6D605" w14:textId="77777777" w:rsidR="00000000" w:rsidRPr="00FC73C1" w:rsidRDefault="00000000" w:rsidP="008E3D44">
      <w:pPr>
        <w:jc w:val="both"/>
        <w:rPr>
          <w:rFonts w:ascii="Times New Roman" w:hAnsi="Times New Roman" w:cs="Times New Roman"/>
          <w:color w:val="000000" w:themeColor="text1"/>
          <w:sz w:val="28"/>
          <w:szCs w:val="28"/>
          <w:lang w:val="es-ES_tradnl"/>
        </w:rPr>
      </w:pPr>
    </w:p>
    <w:p w14:paraId="28AD6CDD"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JOSE FERNANDO REYES CUARTAS</w:t>
      </w:r>
    </w:p>
    <w:p w14:paraId="20361542"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Presidente</w:t>
      </w:r>
    </w:p>
    <w:p w14:paraId="55DA3694"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F6CAF0C"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7842CAF"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4B320CC"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NATALIA ÁNGEL CABO</w:t>
      </w:r>
    </w:p>
    <w:p w14:paraId="06FE0941"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Magistrada</w:t>
      </w:r>
    </w:p>
    <w:p w14:paraId="5AB5BF9B"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0984719B"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3907080C"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5DCC8BCD"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JUAN CARLOS CORTÉS GONZÁLEZ</w:t>
      </w:r>
    </w:p>
    <w:p w14:paraId="0B1C1057"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Magistrado</w:t>
      </w:r>
    </w:p>
    <w:p w14:paraId="4EAB9D6A"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8C2D41C"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554FFF87"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90AB136"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DIANA FAJARDO RIVERA</w:t>
      </w:r>
    </w:p>
    <w:p w14:paraId="2A3D5649"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Magistrada</w:t>
      </w:r>
    </w:p>
    <w:p w14:paraId="0E23F721"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14CC60D7"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FABE641"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00AD36C4"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VLADIMIR FERNÁNDEZ ANDRADE</w:t>
      </w:r>
    </w:p>
    <w:p w14:paraId="101AA717"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Magistrado</w:t>
      </w:r>
    </w:p>
    <w:p w14:paraId="6988E56F"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43D6D4FD"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3B5C13C"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0EC2CDAD"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 xml:space="preserve">JORGE ENRIQUE IBÁÑEZ NAJAR </w:t>
      </w:r>
    </w:p>
    <w:p w14:paraId="62592622"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Magistrado</w:t>
      </w:r>
    </w:p>
    <w:p w14:paraId="1118E0B6"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02717159"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551624E5"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4D923C8F"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ANTONIO JOSÉ LIZARAZO OCAMPO</w:t>
      </w:r>
    </w:p>
    <w:p w14:paraId="7E2A22D8"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Magistrado</w:t>
      </w:r>
    </w:p>
    <w:p w14:paraId="3187C410"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40795C93"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0AE1472D"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F743FAB"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PAOLA ANDREA MENESES MOSQUERA</w:t>
      </w:r>
    </w:p>
    <w:p w14:paraId="29BB7769"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Magistrada</w:t>
      </w:r>
    </w:p>
    <w:p w14:paraId="17E0CD64"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6342B6E"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3A72D3FB"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623B26CA"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CRISTINA PARDO SCHLESINGER</w:t>
      </w:r>
    </w:p>
    <w:p w14:paraId="124BEEB9"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Magistrada</w:t>
      </w:r>
    </w:p>
    <w:p w14:paraId="0611F2CC"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99C2970"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6EEA9C4"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3CF3BC9D"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ANDREA LILIANA ROMERO LOPEZ</w:t>
      </w:r>
    </w:p>
    <w:p w14:paraId="6D97A8FA" w14:textId="77777777" w:rsidR="00000000" w:rsidRPr="00FC73C1" w:rsidRDefault="00FC73C1" w:rsidP="00104BF8">
      <w:pPr>
        <w:jc w:val="center"/>
        <w:rPr>
          <w:rFonts w:ascii="Times New Roman" w:hAnsi="Times New Roman" w:cs="Times New Roman"/>
          <w:color w:val="000000" w:themeColor="text1"/>
          <w:sz w:val="28"/>
          <w:szCs w:val="28"/>
          <w:lang w:val="es-ES_tradnl"/>
        </w:rPr>
      </w:pPr>
      <w:r w:rsidRPr="00FC73C1">
        <w:rPr>
          <w:rFonts w:ascii="Times New Roman" w:hAnsi="Times New Roman" w:cs="Times New Roman"/>
          <w:color w:val="000000" w:themeColor="text1"/>
          <w:sz w:val="28"/>
          <w:szCs w:val="28"/>
          <w:lang w:val="es-ES_tradnl"/>
        </w:rPr>
        <w:t>Secretaria General</w:t>
      </w:r>
    </w:p>
    <w:p w14:paraId="6E3A65C5"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515F2695"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4A58113F"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2F9A860A"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5614F38A" w14:textId="77777777" w:rsidR="00000000" w:rsidRPr="00FC73C1" w:rsidRDefault="00000000" w:rsidP="00104BF8">
      <w:pPr>
        <w:jc w:val="center"/>
        <w:rPr>
          <w:rFonts w:ascii="Times New Roman" w:hAnsi="Times New Roman" w:cs="Times New Roman"/>
          <w:color w:val="000000" w:themeColor="text1"/>
          <w:sz w:val="28"/>
          <w:szCs w:val="28"/>
          <w:lang w:val="es-ES_tradnl"/>
        </w:rPr>
      </w:pPr>
    </w:p>
    <w:p w14:paraId="7CCFE107" w14:textId="77777777" w:rsidR="00000000" w:rsidRPr="00FC73C1" w:rsidRDefault="00000000" w:rsidP="00104BF8">
      <w:pPr>
        <w:jc w:val="center"/>
        <w:rPr>
          <w:rFonts w:ascii="Times New Roman" w:hAnsi="Times New Roman" w:cs="Times New Roman"/>
          <w:color w:val="000000" w:themeColor="text1"/>
          <w:sz w:val="28"/>
          <w:szCs w:val="28"/>
          <w:lang w:val="es-ES_tradnl"/>
        </w:rPr>
      </w:pPr>
    </w:p>
    <w:sectPr w:rsidR="00104BF8" w:rsidRPr="00FC73C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E580" w14:textId="77777777" w:rsidR="00A841D5" w:rsidRDefault="00A841D5">
      <w:pPr>
        <w:spacing w:after="0" w:line="240" w:lineRule="auto"/>
      </w:pPr>
      <w:r>
        <w:separator/>
      </w:r>
    </w:p>
  </w:endnote>
  <w:endnote w:type="continuationSeparator" w:id="0">
    <w:p w14:paraId="0030BAB3" w14:textId="77777777" w:rsidR="00A841D5" w:rsidRDefault="00A8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49BF" w14:textId="77777777" w:rsidR="00A841D5" w:rsidRDefault="00A841D5">
      <w:pPr>
        <w:spacing w:after="0" w:line="240" w:lineRule="auto"/>
      </w:pPr>
      <w:r>
        <w:separator/>
      </w:r>
    </w:p>
  </w:footnote>
  <w:footnote w:type="continuationSeparator" w:id="0">
    <w:p w14:paraId="63A9AFCC" w14:textId="77777777" w:rsidR="00A841D5" w:rsidRDefault="00A841D5">
      <w:pPr>
        <w:spacing w:after="0" w:line="240" w:lineRule="auto"/>
      </w:pPr>
      <w:r>
        <w:continuationSeparator/>
      </w:r>
    </w:p>
  </w:footnote>
  <w:footnote w:id="1">
    <w:p w14:paraId="2C3CE15C" w14:textId="77777777" w:rsidR="00000000" w:rsidRPr="00500F2B" w:rsidRDefault="00FC73C1" w:rsidP="008F2A17">
      <w:pPr>
        <w:pStyle w:val="Textonotapie"/>
        <w:jc w:val="both"/>
        <w:rPr>
          <w:lang w:val="es-ES_tradnl"/>
        </w:rPr>
      </w:pPr>
      <w:r>
        <w:rPr>
          <w:rStyle w:val="Refdenotaalpie"/>
        </w:rPr>
        <w:footnoteRef/>
      </w:r>
      <w:r w:rsidRPr="00560BBA">
        <w:rPr>
          <w:lang w:val="es-CO"/>
        </w:rPr>
        <w:t xml:space="preserve"> </w:t>
      </w:r>
      <w:r>
        <w:rPr>
          <w:lang w:val="es-ES_tradnl"/>
        </w:rPr>
        <w:t xml:space="preserve">Consorcio integrado por las sociedades Proyectos de Ingeniería S.A Proing S.A y Disico S.A, archivo </w:t>
      </w:r>
      <w:r>
        <w:rPr>
          <w:lang w:val="es-CO"/>
        </w:rPr>
        <w:t>“001ExpedienteDigitalContenciosoAdtivo.pdf”</w:t>
      </w:r>
      <w:r>
        <w:rPr>
          <w:lang w:val="es-ES_tradnl"/>
        </w:rPr>
        <w:t>, págs. 110 – 125.</w:t>
      </w:r>
    </w:p>
  </w:footnote>
  <w:footnote w:id="2">
    <w:p w14:paraId="369E4237" w14:textId="77777777" w:rsidR="00000000" w:rsidRPr="00846AAE" w:rsidRDefault="00FC73C1" w:rsidP="00742E32">
      <w:pPr>
        <w:pStyle w:val="Textonotapie"/>
        <w:jc w:val="both"/>
        <w:rPr>
          <w:lang w:val="es-CO"/>
        </w:rPr>
      </w:pPr>
      <w:r>
        <w:rPr>
          <w:rStyle w:val="Refdenotaalpie"/>
        </w:rPr>
        <w:footnoteRef/>
      </w:r>
      <w:r w:rsidRPr="00846AAE">
        <w:rPr>
          <w:lang w:val="es-CO"/>
        </w:rPr>
        <w:t xml:space="preserve"> En concreto, advirtió que </w:t>
      </w:r>
      <w:r>
        <w:rPr>
          <w:lang w:val="es-CO"/>
        </w:rPr>
        <w:t>“</w:t>
      </w:r>
      <w:r w:rsidRPr="00846AAE">
        <w:rPr>
          <w:lang w:val="es-CO"/>
        </w:rPr>
        <w:t>el accidente de tránsito cuya custodia del vehículo es de Ser Cali, estaba ejecutando servicios a la alcaldía de Cali, en virtud de la contratación que realiza Sercali con el Municipio (…)”</w:t>
      </w:r>
      <w:r>
        <w:rPr>
          <w:lang w:val="es-CO"/>
        </w:rPr>
        <w:t>. Ibidem, pág. 103.</w:t>
      </w:r>
    </w:p>
  </w:footnote>
  <w:footnote w:id="3">
    <w:p w14:paraId="705F0FDE" w14:textId="77777777" w:rsidR="00000000" w:rsidRPr="00173C61" w:rsidRDefault="00FC73C1" w:rsidP="00742E32">
      <w:pPr>
        <w:pStyle w:val="Textonotapie"/>
        <w:jc w:val="both"/>
        <w:rPr>
          <w:lang w:val="es-CO"/>
        </w:rPr>
      </w:pPr>
      <w:r>
        <w:rPr>
          <w:rStyle w:val="Refdenotaalpie"/>
        </w:rPr>
        <w:footnoteRef/>
      </w:r>
      <w:r w:rsidRPr="00EF0DB1">
        <w:rPr>
          <w:lang w:val="es-CO"/>
        </w:rPr>
        <w:t xml:space="preserve"> </w:t>
      </w:r>
      <w:r>
        <w:rPr>
          <w:lang w:val="es-ES_tradnl"/>
        </w:rPr>
        <w:t xml:space="preserve">Refirió las sentencias con </w:t>
      </w:r>
      <w:r>
        <w:rPr>
          <w:lang w:val="es-CO"/>
        </w:rPr>
        <w:t>radicado</w:t>
      </w:r>
      <w:r w:rsidRPr="00EF0DB1">
        <w:rPr>
          <w:lang w:val="es-CO"/>
        </w:rPr>
        <w:t xml:space="preserve"> número: 25000-23-26-000-1995-00670-01(15526)</w:t>
      </w:r>
      <w:r>
        <w:rPr>
          <w:lang w:val="es-CO"/>
        </w:rPr>
        <w:t xml:space="preserve"> del 29 de agosto de 2007, </w:t>
      </w:r>
      <w:r w:rsidRPr="00173C61">
        <w:rPr>
          <w:lang w:val="es-CO"/>
        </w:rPr>
        <w:t>25000-23-26-000-2005-00996- 01(38806)</w:t>
      </w:r>
      <w:r>
        <w:rPr>
          <w:lang w:val="es-CO"/>
        </w:rPr>
        <w:t xml:space="preserve"> del 5 de diciembre de 2016, </w:t>
      </w:r>
      <w:r w:rsidRPr="00A16A2A">
        <w:rPr>
          <w:lang w:val="es-CO"/>
        </w:rPr>
        <w:t>25000- 23-27-000-2000-0668-01(11687)</w:t>
      </w:r>
      <w:r>
        <w:rPr>
          <w:lang w:val="es-CO"/>
        </w:rPr>
        <w:t xml:space="preserve"> del 30 de marzo de 2001, entre otras.</w:t>
      </w:r>
    </w:p>
  </w:footnote>
  <w:footnote w:id="4">
    <w:p w14:paraId="09F0BA54" w14:textId="77777777" w:rsidR="00000000" w:rsidRPr="007E5A0C" w:rsidRDefault="00FC73C1" w:rsidP="00742E32">
      <w:pPr>
        <w:pStyle w:val="Textonotapie"/>
        <w:jc w:val="both"/>
        <w:rPr>
          <w:lang w:val="es-ES_tradnl"/>
        </w:rPr>
      </w:pPr>
      <w:r>
        <w:rPr>
          <w:rStyle w:val="Refdenotaalpie"/>
        </w:rPr>
        <w:footnoteRef/>
      </w:r>
      <w:r w:rsidRPr="007E5A0C">
        <w:rPr>
          <w:lang w:val="es-CO"/>
        </w:rPr>
        <w:t xml:space="preserve"> </w:t>
      </w:r>
      <w:r>
        <w:rPr>
          <w:lang w:val="es-ES_tradnl"/>
        </w:rPr>
        <w:t>En particular, citó “</w:t>
      </w:r>
      <w:r w:rsidRPr="007E5A0C">
        <w:rPr>
          <w:lang w:val="es-ES_tradnl"/>
        </w:rPr>
        <w:t>la sentencia 12916 del 2003</w:t>
      </w:r>
      <w:r>
        <w:rPr>
          <w:lang w:val="es-ES_tradnl"/>
        </w:rPr>
        <w:t>”.</w:t>
      </w:r>
    </w:p>
  </w:footnote>
  <w:footnote w:id="5">
    <w:p w14:paraId="7328D399" w14:textId="77777777" w:rsidR="00000000" w:rsidRPr="004046BA" w:rsidRDefault="00FC73C1" w:rsidP="00742E32">
      <w:pPr>
        <w:pStyle w:val="Textonotapie"/>
        <w:jc w:val="both"/>
        <w:rPr>
          <w:lang w:val="es-ES_tradnl"/>
        </w:rPr>
      </w:pPr>
      <w:r>
        <w:rPr>
          <w:rStyle w:val="Refdenotaalpie"/>
        </w:rPr>
        <w:footnoteRef/>
      </w:r>
      <w:r>
        <w:rPr>
          <w:lang w:val="es-ES_tradnl"/>
        </w:rPr>
        <w:t xml:space="preserve"> Archivo “029AutoRechazaSuscitaConflicto2023-119.pdf”.</w:t>
      </w:r>
    </w:p>
  </w:footnote>
  <w:footnote w:id="6">
    <w:p w14:paraId="004A7F6F" w14:textId="77777777" w:rsidR="00000000" w:rsidRPr="00570E70" w:rsidRDefault="00FC73C1" w:rsidP="00742E32">
      <w:pPr>
        <w:pStyle w:val="Textonotapie"/>
        <w:jc w:val="both"/>
        <w:rPr>
          <w:lang w:val="es-MX"/>
        </w:rPr>
      </w:pPr>
      <w:r w:rsidRPr="00570E70">
        <w:rPr>
          <w:rStyle w:val="Refdenotaalpie"/>
        </w:rPr>
        <w:footnoteRef/>
      </w:r>
      <w:r w:rsidRPr="00570E70">
        <w:rPr>
          <w:lang w:val="es-CO"/>
        </w:rPr>
        <w:t xml:space="preserve"> </w:t>
      </w:r>
      <w:r w:rsidRPr="00570E70">
        <w:rPr>
          <w:lang w:val="es-MX"/>
        </w:rPr>
        <w:t>Archivo “</w:t>
      </w:r>
      <w:r w:rsidRPr="00BA6DA0">
        <w:rPr>
          <w:lang w:val="es-MX"/>
        </w:rPr>
        <w:t>03CJU</w:t>
      </w:r>
      <w:r>
        <w:rPr>
          <w:lang w:val="es-MX"/>
        </w:rPr>
        <w:t xml:space="preserve">4374 </w:t>
      </w:r>
      <w:r w:rsidRPr="00BA6DA0">
        <w:rPr>
          <w:lang w:val="es-MX"/>
        </w:rPr>
        <w:t>Constancia de Reparto</w:t>
      </w:r>
      <w:r>
        <w:rPr>
          <w:lang w:val="es-MX"/>
        </w:rPr>
        <w:t>.</w:t>
      </w:r>
      <w:r w:rsidRPr="00570E70">
        <w:rPr>
          <w:lang w:val="es-MX"/>
        </w:rPr>
        <w:t>pdf”.</w:t>
      </w:r>
    </w:p>
  </w:footnote>
  <w:footnote w:id="7">
    <w:p w14:paraId="450779B3" w14:textId="77777777" w:rsidR="00000000" w:rsidRPr="0075499C" w:rsidRDefault="00FC73C1" w:rsidP="00742E32">
      <w:pPr>
        <w:pStyle w:val="Sinespaciado"/>
        <w:jc w:val="both"/>
        <w:rPr>
          <w:color w:val="000000" w:themeColor="text1"/>
          <w:sz w:val="20"/>
          <w:szCs w:val="20"/>
        </w:rPr>
      </w:pPr>
      <w:r w:rsidRPr="0075499C">
        <w:rPr>
          <w:rStyle w:val="Refdenotaalpie"/>
          <w:color w:val="000000" w:themeColor="text1"/>
          <w:sz w:val="20"/>
          <w:szCs w:val="20"/>
        </w:rPr>
        <w:footnoteRef/>
      </w:r>
      <w:r w:rsidRPr="0075499C">
        <w:rPr>
          <w:color w:val="000000" w:themeColor="text1"/>
          <w:sz w:val="20"/>
          <w:szCs w:val="20"/>
        </w:rPr>
        <w:t xml:space="preserve"> Corte Constitucional, autos 345 de 2018, 328</w:t>
      </w:r>
      <w:r>
        <w:rPr>
          <w:color w:val="000000" w:themeColor="text1"/>
          <w:sz w:val="20"/>
          <w:szCs w:val="20"/>
        </w:rPr>
        <w:t xml:space="preserve"> de 2019</w:t>
      </w:r>
      <w:r w:rsidRPr="0075499C">
        <w:rPr>
          <w:color w:val="000000" w:themeColor="text1"/>
          <w:sz w:val="20"/>
          <w:szCs w:val="20"/>
        </w:rPr>
        <w:t xml:space="preserve"> y 452 de 2019.</w:t>
      </w:r>
    </w:p>
  </w:footnote>
  <w:footnote w:id="8">
    <w:p w14:paraId="4AD4A098" w14:textId="77777777" w:rsidR="00000000" w:rsidRPr="0030158D" w:rsidRDefault="00FC73C1" w:rsidP="00742E32">
      <w:pPr>
        <w:pBdr>
          <w:top w:val="nil"/>
          <w:left w:val="nil"/>
          <w:bottom w:val="nil"/>
          <w:right w:val="nil"/>
          <w:between w:val="nil"/>
        </w:pBdr>
        <w:contextualSpacing/>
        <w:jc w:val="both"/>
        <w:rPr>
          <w:color w:val="000000"/>
          <w:sz w:val="20"/>
          <w:szCs w:val="20"/>
        </w:rPr>
      </w:pPr>
      <w:r w:rsidRPr="0030158D">
        <w:rPr>
          <w:sz w:val="20"/>
          <w:szCs w:val="20"/>
          <w:vertAlign w:val="superscript"/>
        </w:rPr>
        <w:footnoteRef/>
      </w:r>
      <w:r w:rsidRPr="0030158D">
        <w:rPr>
          <w:color w:val="000000"/>
          <w:sz w:val="20"/>
          <w:szCs w:val="20"/>
        </w:rPr>
        <w:t xml:space="preserve"> Corte Constitucional, </w:t>
      </w:r>
      <w:r>
        <w:rPr>
          <w:color w:val="000000"/>
          <w:sz w:val="20"/>
          <w:szCs w:val="20"/>
        </w:rPr>
        <w:t>A</w:t>
      </w:r>
      <w:r w:rsidRPr="0030158D">
        <w:rPr>
          <w:color w:val="000000"/>
          <w:sz w:val="20"/>
          <w:szCs w:val="20"/>
        </w:rPr>
        <w:t xml:space="preserve">uto 452 de 2019, a través del cual se reitera el </w:t>
      </w:r>
      <w:r>
        <w:rPr>
          <w:color w:val="000000"/>
          <w:sz w:val="20"/>
          <w:szCs w:val="20"/>
        </w:rPr>
        <w:t>A</w:t>
      </w:r>
      <w:r w:rsidRPr="0030158D">
        <w:rPr>
          <w:color w:val="000000"/>
          <w:sz w:val="20"/>
          <w:szCs w:val="20"/>
        </w:rPr>
        <w:t xml:space="preserve">uto 155 de 2019. En </w:t>
      </w:r>
      <w:r>
        <w:rPr>
          <w:color w:val="000000"/>
          <w:sz w:val="20"/>
          <w:szCs w:val="20"/>
        </w:rPr>
        <w:t>idéntico</w:t>
      </w:r>
      <w:r w:rsidRPr="0030158D">
        <w:rPr>
          <w:color w:val="000000"/>
          <w:sz w:val="20"/>
          <w:szCs w:val="20"/>
        </w:rPr>
        <w:t xml:space="preserve"> sentido, </w:t>
      </w:r>
      <w:r>
        <w:rPr>
          <w:color w:val="000000"/>
          <w:sz w:val="20"/>
          <w:szCs w:val="20"/>
        </w:rPr>
        <w:t>A</w:t>
      </w:r>
      <w:r w:rsidRPr="0030158D">
        <w:rPr>
          <w:color w:val="000000"/>
          <w:sz w:val="20"/>
          <w:szCs w:val="20"/>
        </w:rPr>
        <w:t>uto 556 de 2018, reiterado por los autos 691</w:t>
      </w:r>
      <w:r>
        <w:rPr>
          <w:color w:val="000000"/>
          <w:sz w:val="20"/>
          <w:szCs w:val="20"/>
        </w:rPr>
        <w:t xml:space="preserve"> de 2018</w:t>
      </w:r>
      <w:r w:rsidRPr="0030158D">
        <w:rPr>
          <w:color w:val="000000"/>
          <w:sz w:val="20"/>
          <w:szCs w:val="20"/>
        </w:rPr>
        <w:t xml:space="preserve"> y 716 de 2018.</w:t>
      </w:r>
    </w:p>
  </w:footnote>
  <w:footnote w:id="9">
    <w:p w14:paraId="5A21C3E7" w14:textId="77777777" w:rsidR="00000000" w:rsidRPr="0075499C" w:rsidRDefault="00FC73C1" w:rsidP="00742E32">
      <w:pPr>
        <w:pStyle w:val="Sinespaciado"/>
        <w:jc w:val="both"/>
        <w:rPr>
          <w:color w:val="000000" w:themeColor="text1"/>
          <w:sz w:val="20"/>
          <w:szCs w:val="20"/>
          <w:lang w:val="es-ES_tradnl"/>
        </w:rPr>
      </w:pPr>
      <w:r w:rsidRPr="0075499C">
        <w:rPr>
          <w:rStyle w:val="Refdenotaalpie"/>
          <w:color w:val="000000" w:themeColor="text1"/>
          <w:sz w:val="20"/>
          <w:szCs w:val="20"/>
        </w:rPr>
        <w:footnoteRef/>
      </w:r>
      <w:r w:rsidRPr="0075499C">
        <w:rPr>
          <w:color w:val="000000" w:themeColor="text1"/>
          <w:sz w:val="20"/>
          <w:szCs w:val="20"/>
        </w:rPr>
        <w:t xml:space="preserve"> </w:t>
      </w:r>
      <w:r>
        <w:rPr>
          <w:color w:val="000000" w:themeColor="text1"/>
          <w:sz w:val="20"/>
          <w:szCs w:val="20"/>
          <w:lang w:val="es-ES_tradnl"/>
        </w:rPr>
        <w:t>Así las cosas</w:t>
      </w:r>
      <w:r w:rsidRPr="0075499C">
        <w:rPr>
          <w:color w:val="000000" w:themeColor="text1"/>
          <w:sz w:val="20"/>
          <w:szCs w:val="20"/>
          <w:lang w:val="es-ES_tradnl"/>
        </w:rPr>
        <w:t>, no existirá conflicto cuando se evidencie que el litigio no está en trámite o no existe o el debate procesal se centra sobre una causa de carácter administrativo o político, pero no jurisdiccional</w:t>
      </w:r>
      <w:r>
        <w:rPr>
          <w:color w:val="000000" w:themeColor="text1"/>
          <w:sz w:val="20"/>
          <w:szCs w:val="20"/>
          <w:lang w:val="es-ES_tradnl"/>
        </w:rPr>
        <w:t>.</w:t>
      </w:r>
    </w:p>
  </w:footnote>
  <w:footnote w:id="10">
    <w:p w14:paraId="5C656935" w14:textId="77777777" w:rsidR="00000000" w:rsidRPr="0075499C" w:rsidRDefault="00FC73C1" w:rsidP="00742E32">
      <w:pPr>
        <w:pStyle w:val="Sinespaciado"/>
        <w:jc w:val="both"/>
        <w:rPr>
          <w:color w:val="000000" w:themeColor="text1"/>
          <w:sz w:val="20"/>
          <w:szCs w:val="20"/>
        </w:rPr>
      </w:pPr>
      <w:r w:rsidRPr="0075499C">
        <w:rPr>
          <w:rStyle w:val="Refdenotaalpie"/>
          <w:color w:val="000000" w:themeColor="text1"/>
          <w:sz w:val="20"/>
          <w:szCs w:val="20"/>
        </w:rPr>
        <w:footnoteRef/>
      </w:r>
      <w:r w:rsidRPr="0075499C">
        <w:rPr>
          <w:color w:val="000000" w:themeColor="text1"/>
          <w:sz w:val="20"/>
          <w:szCs w:val="20"/>
        </w:rPr>
        <w:t xml:space="preserve"> </w:t>
      </w:r>
      <w:r>
        <w:rPr>
          <w:color w:val="000000" w:themeColor="text1"/>
          <w:sz w:val="20"/>
          <w:szCs w:val="20"/>
        </w:rPr>
        <w:t>No</w:t>
      </w:r>
      <w:r w:rsidRPr="0075499C">
        <w:rPr>
          <w:color w:val="000000" w:themeColor="text1"/>
          <w:sz w:val="20"/>
          <w:szCs w:val="20"/>
        </w:rPr>
        <w:t xml:space="preserve"> existirá conflicto cuando se evidencie que, a pesar de concurrir formalmente dos autoridades judiciales, una de ellas no ha rechazado su competencia o manifestado su intención de asumirla; o la exposición sobre la competencia desplegada por las autoridades en conflicto no tiene, al menos, aparentemente, fundamento normativo alguno, al sustentarse únicamente en argumentos de mera conveniencia.</w:t>
      </w:r>
    </w:p>
  </w:footnote>
  <w:footnote w:id="11">
    <w:p w14:paraId="3981EC7F" w14:textId="77777777" w:rsidR="00000000" w:rsidRPr="008113F5" w:rsidRDefault="00FC73C1" w:rsidP="00742E32">
      <w:pPr>
        <w:pStyle w:val="Textonotapie"/>
        <w:jc w:val="both"/>
        <w:rPr>
          <w:lang w:val="es-ES_tradnl"/>
        </w:rPr>
      </w:pPr>
      <w:r>
        <w:rPr>
          <w:rStyle w:val="Refdenotaalpie"/>
        </w:rPr>
        <w:footnoteRef/>
      </w:r>
      <w:r w:rsidRPr="008113F5">
        <w:rPr>
          <w:lang w:val="es-CO"/>
        </w:rPr>
        <w:t xml:space="preserve"> </w:t>
      </w:r>
      <w:r>
        <w:rPr>
          <w:lang w:val="es-ES_tradnl"/>
        </w:rPr>
        <w:t>Regla de decisión del auto 647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603"/>
    <w:multiLevelType w:val="hybridMultilevel"/>
    <w:tmpl w:val="B2B2F596"/>
    <w:lvl w:ilvl="0" w:tplc="A47EF33A">
      <w:start w:val="1"/>
      <w:numFmt w:val="lowerRoman"/>
      <w:lvlText w:val="(%1)"/>
      <w:lvlJc w:val="left"/>
      <w:pPr>
        <w:ind w:left="1080" w:hanging="720"/>
      </w:pPr>
      <w:rPr>
        <w:rFonts w:hint="default"/>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D42908"/>
    <w:multiLevelType w:val="hybridMultilevel"/>
    <w:tmpl w:val="746274B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D15E0"/>
    <w:multiLevelType w:val="hybridMultilevel"/>
    <w:tmpl w:val="F8B4C6EC"/>
    <w:lvl w:ilvl="0" w:tplc="B13E287C">
      <w:start w:val="1"/>
      <w:numFmt w:val="upperRoman"/>
      <w:lvlText w:val="%1."/>
      <w:lvlJc w:val="left"/>
      <w:rPr>
        <w:rFonts w:hint="default"/>
        <w:b/>
        <w:i w:val="0"/>
        <w:sz w:val="28"/>
      </w:rPr>
    </w:lvl>
    <w:lvl w:ilvl="1" w:tplc="EB06DE06">
      <w:start w:val="1"/>
      <w:numFmt w:val="decimal"/>
      <w:lvlText w:val="%2."/>
      <w:lvlJc w:val="left"/>
      <w:pPr>
        <w:ind w:left="1440" w:hanging="360"/>
      </w:pPr>
      <w:rPr>
        <w:rFonts w:hint="default"/>
        <w:b w:val="0"/>
        <w:bCs w:val="0"/>
        <w:i w:val="0"/>
        <w:iCs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E55B6F"/>
    <w:multiLevelType w:val="hybridMultilevel"/>
    <w:tmpl w:val="59EE64CE"/>
    <w:lvl w:ilvl="0" w:tplc="A08488FC">
      <w:start w:val="1"/>
      <w:numFmt w:val="decimal"/>
      <w:lvlText w:val="%1."/>
      <w:lvlJc w:val="left"/>
      <w:pPr>
        <w:ind w:left="720" w:hanging="360"/>
      </w:pPr>
      <w:rPr>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539854">
    <w:abstractNumId w:val="2"/>
  </w:num>
  <w:num w:numId="2" w16cid:durableId="643199752">
    <w:abstractNumId w:val="3"/>
  </w:num>
  <w:num w:numId="3" w16cid:durableId="557284027">
    <w:abstractNumId w:val="1"/>
  </w:num>
  <w:num w:numId="4" w16cid:durableId="54383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9E"/>
    <w:rsid w:val="000A6BAA"/>
    <w:rsid w:val="00513A9E"/>
    <w:rsid w:val="00814D83"/>
    <w:rsid w:val="008629BE"/>
    <w:rsid w:val="00A841D5"/>
    <w:rsid w:val="00FC7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2A256"/>
  <w14:defaultImageDpi w14:val="0"/>
  <w15:docId w15:val="{1B4E89FF-ABD1-4BBB-89E4-75FB2A8D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56EE7"/>
    <w:pPr>
      <w:spacing w:before="100" w:beforeAutospacing="1" w:after="100" w:afterAutospacing="1"/>
      <w:outlineLvl w:val="0"/>
    </w:pPr>
    <w:rPr>
      <w:b/>
      <w:bCs/>
      <w:kern w:val="36"/>
      <w:sz w:val="48"/>
      <w:szCs w:val="48"/>
      <w:lang w:val="en-US"/>
    </w:rPr>
  </w:style>
  <w:style w:type="paragraph" w:styleId="Ttulo2">
    <w:name w:val="heading 2"/>
    <w:basedOn w:val="Normal"/>
    <w:next w:val="Normal"/>
    <w:link w:val="Ttulo2Car"/>
    <w:uiPriority w:val="9"/>
    <w:semiHidden/>
    <w:unhideWhenUsed/>
    <w:qFormat/>
    <w:rsid w:val="006E12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a,ft"/>
    <w:basedOn w:val="Normal"/>
    <w:link w:val="TextonotapieCar1"/>
    <w:qFormat/>
    <w:rsid w:val="00BB28BC"/>
    <w:rPr>
      <w:sz w:val="20"/>
      <w:szCs w:val="20"/>
      <w:lang w:val="en-US" w:eastAsia="zh-CN"/>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ar,texto de nota al pie Car1,texto de nota al pie Car Car"/>
    <w:basedOn w:val="Fuentedeprrafopredeter"/>
    <w:qFormat/>
    <w:rsid w:val="00BB28BC"/>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referencia nota al pie,Footnote number,BVI fnr,f,Fago Fußnotenzeichen,4_G,16 Point,Superscript 6 Point,Texto nota al pie,Ref. de nota al pie 2,Texto nota pie Car2,F,FC,R"/>
    <w:link w:val="Piedepagina"/>
    <w:uiPriority w:val="99"/>
    <w:qFormat/>
    <w:rsid w:val="00BB28BC"/>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BB28BC"/>
    <w:rPr>
      <w:rFonts w:ascii="Times New Roman" w:eastAsia="Times New Roman" w:hAnsi="Times New Roman" w:cs="Times New Roman"/>
      <w:sz w:val="20"/>
      <w:szCs w:val="20"/>
      <w:lang w:eastAsia="es-ES"/>
    </w:rPr>
  </w:style>
  <w:style w:type="paragraph" w:styleId="Encabezado">
    <w:name w:val="header"/>
    <w:basedOn w:val="Normal"/>
    <w:link w:val="EncabezadoCar"/>
    <w:rsid w:val="00BB28BC"/>
    <w:pPr>
      <w:tabs>
        <w:tab w:val="center" w:pos="4252"/>
        <w:tab w:val="right" w:pos="8504"/>
      </w:tabs>
    </w:pPr>
    <w:rPr>
      <w:lang w:val="en-US" w:eastAsia="zh-CN"/>
    </w:rPr>
  </w:style>
  <w:style w:type="character" w:customStyle="1" w:styleId="EncabezadoCar">
    <w:name w:val="Encabezado Car"/>
    <w:basedOn w:val="Fuentedeprrafopredeter"/>
    <w:link w:val="Encabezado"/>
    <w:rsid w:val="00BB28BC"/>
    <w:rPr>
      <w:rFonts w:ascii="Times New Roman" w:eastAsia="Times New Roman" w:hAnsi="Times New Roman" w:cs="Times New Roman"/>
      <w:sz w:val="28"/>
      <w:szCs w:val="24"/>
      <w:lang w:eastAsia="es-ES"/>
    </w:rPr>
  </w:style>
  <w:style w:type="paragraph" w:styleId="Piedepgina">
    <w:name w:val="footer"/>
    <w:basedOn w:val="Normal"/>
    <w:link w:val="PiedepginaCar"/>
    <w:rsid w:val="00BB28BC"/>
    <w:pPr>
      <w:tabs>
        <w:tab w:val="center" w:pos="4252"/>
        <w:tab w:val="right" w:pos="8504"/>
      </w:tabs>
    </w:pPr>
    <w:rPr>
      <w:lang w:val="en-US" w:eastAsia="zh-CN"/>
    </w:rPr>
  </w:style>
  <w:style w:type="character" w:customStyle="1" w:styleId="PiedepginaCar">
    <w:name w:val="Pie de página Car"/>
    <w:basedOn w:val="Fuentedeprrafopredeter"/>
    <w:link w:val="Piedepgina"/>
    <w:rsid w:val="00BB28BC"/>
    <w:rPr>
      <w:rFonts w:ascii="Times New Roman" w:eastAsia="Times New Roman" w:hAnsi="Times New Roman" w:cs="Times New Roman"/>
      <w:sz w:val="28"/>
      <w:szCs w:val="24"/>
      <w:lang w:eastAsia="es-ES"/>
    </w:rPr>
  </w:style>
  <w:style w:type="character" w:styleId="Nmerodepgina">
    <w:name w:val="page number"/>
    <w:rsid w:val="00BB28BC"/>
  </w:style>
  <w:style w:type="paragraph" w:customStyle="1" w:styleId="Style2">
    <w:name w:val="Style2"/>
    <w:basedOn w:val="Normal"/>
    <w:uiPriority w:val="99"/>
    <w:rsid w:val="00BB28BC"/>
    <w:pPr>
      <w:widowControl w:val="0"/>
      <w:autoSpaceDE w:val="0"/>
      <w:autoSpaceDN w:val="0"/>
      <w:adjustRightInd w:val="0"/>
      <w:spacing w:line="322" w:lineRule="exact"/>
      <w:jc w:val="center"/>
    </w:pPr>
    <w:rPr>
      <w:lang w:val="en-US" w:eastAsia="zh-CN"/>
    </w:rPr>
  </w:style>
  <w:style w:type="paragraph" w:customStyle="1" w:styleId="Style5">
    <w:name w:val="Style5"/>
    <w:basedOn w:val="Normal"/>
    <w:uiPriority w:val="99"/>
    <w:rsid w:val="00BB28BC"/>
    <w:pPr>
      <w:widowControl w:val="0"/>
      <w:autoSpaceDE w:val="0"/>
      <w:autoSpaceDN w:val="0"/>
      <w:adjustRightInd w:val="0"/>
    </w:pPr>
    <w:rPr>
      <w:lang w:val="en-US" w:eastAsia="zh-CN"/>
    </w:rPr>
  </w:style>
  <w:style w:type="paragraph" w:customStyle="1" w:styleId="Style6">
    <w:name w:val="Style6"/>
    <w:basedOn w:val="Normal"/>
    <w:uiPriority w:val="99"/>
    <w:rsid w:val="00BB28BC"/>
    <w:pPr>
      <w:widowControl w:val="0"/>
      <w:autoSpaceDE w:val="0"/>
      <w:autoSpaceDN w:val="0"/>
      <w:adjustRightInd w:val="0"/>
      <w:spacing w:line="322" w:lineRule="exact"/>
      <w:jc w:val="both"/>
    </w:pPr>
    <w:rPr>
      <w:lang w:val="en-US" w:eastAsia="zh-CN"/>
    </w:rPr>
  </w:style>
  <w:style w:type="character" w:customStyle="1" w:styleId="FontStyle11">
    <w:name w:val="Font Style11"/>
    <w:uiPriority w:val="99"/>
    <w:rsid w:val="00BB28BC"/>
    <w:rPr>
      <w:rFonts w:ascii="Times New Roman" w:hAnsi="Times New Roman" w:cs="Times New Roman"/>
      <w:b/>
      <w:bCs/>
      <w:sz w:val="26"/>
      <w:szCs w:val="26"/>
    </w:rPr>
  </w:style>
  <w:style w:type="character" w:customStyle="1" w:styleId="FontStyle12">
    <w:name w:val="Font Style12"/>
    <w:uiPriority w:val="99"/>
    <w:rsid w:val="00BB28BC"/>
    <w:rPr>
      <w:rFonts w:ascii="Times New Roman" w:hAnsi="Times New Roman" w:cs="Times New Roman"/>
      <w:sz w:val="26"/>
      <w:szCs w:val="26"/>
    </w:rPr>
  </w:style>
  <w:style w:type="character" w:customStyle="1" w:styleId="FontStyle13">
    <w:name w:val="Font Style13"/>
    <w:uiPriority w:val="99"/>
    <w:rsid w:val="00BB28BC"/>
    <w:rPr>
      <w:rFonts w:ascii="Times New Roman" w:hAnsi="Times New Roman" w:cs="Times New Roman"/>
      <w:i/>
      <w:iCs/>
      <w:sz w:val="26"/>
      <w:szCs w:val="26"/>
    </w:rPr>
  </w:style>
  <w:style w:type="paragraph" w:styleId="Prrafodelista">
    <w:name w:val="List Paragraph"/>
    <w:aliases w:val="Colorful List - Accent 11,Ha,List Paragraph1,lp1,Normal2,List Paragraph2,List1,titulo 3,Párrafo de lista1,Bullets,Párrafo de lista2,Cuadrícula clara - Énfasis 31,Dot pt,F5 List Paragraph,No Spacing1,Footnote"/>
    <w:basedOn w:val="Normal"/>
    <w:link w:val="PrrafodelistaCar"/>
    <w:uiPriority w:val="34"/>
    <w:qFormat/>
    <w:rsid w:val="00BB28BC"/>
    <w:pPr>
      <w:ind w:left="720"/>
      <w:contextualSpacing/>
    </w:pPr>
    <w:rPr>
      <w:rFonts w:eastAsia="Calibri"/>
      <w:lang w:val="en-US" w:eastAsia="en-US"/>
    </w:rPr>
  </w:style>
  <w:style w:type="character" w:customStyle="1" w:styleId="fontstyle110">
    <w:name w:val="fontstyle11"/>
    <w:basedOn w:val="Fuentedeprrafopredeter"/>
    <w:rsid w:val="00BB28BC"/>
  </w:style>
  <w:style w:type="paragraph" w:styleId="Sinespaciado">
    <w:name w:val="No Spacing"/>
    <w:uiPriority w:val="1"/>
    <w:qFormat/>
    <w:rsid w:val="00BB28BC"/>
    <w:pPr>
      <w:spacing w:after="0" w:line="240" w:lineRule="auto"/>
    </w:pPr>
    <w:rPr>
      <w:rFonts w:ascii="Times New Roman" w:eastAsia="Times New Roman" w:hAnsi="Times New Roman" w:cs="Times New Roman"/>
      <w:sz w:val="28"/>
      <w:szCs w:val="28"/>
      <w:lang w:eastAsia="es-ES"/>
    </w:rPr>
  </w:style>
  <w:style w:type="character" w:styleId="Refdecomentario">
    <w:name w:val="annotation reference"/>
    <w:basedOn w:val="Fuentedeprrafopredeter"/>
    <w:uiPriority w:val="99"/>
    <w:semiHidden/>
    <w:unhideWhenUsed/>
    <w:rsid w:val="00BB28BC"/>
    <w:rPr>
      <w:sz w:val="16"/>
      <w:szCs w:val="16"/>
    </w:rPr>
  </w:style>
  <w:style w:type="paragraph" w:styleId="Textocomentario">
    <w:name w:val="annotation text"/>
    <w:basedOn w:val="Normal"/>
    <w:link w:val="TextocomentarioCar"/>
    <w:uiPriority w:val="99"/>
    <w:unhideWhenUsed/>
    <w:rsid w:val="00BB28BC"/>
    <w:rPr>
      <w:sz w:val="20"/>
      <w:szCs w:val="20"/>
      <w:lang w:val="en-US" w:eastAsia="zh-CN"/>
    </w:rPr>
  </w:style>
  <w:style w:type="character" w:customStyle="1" w:styleId="TextocomentarioCar">
    <w:name w:val="Texto comentario Car"/>
    <w:basedOn w:val="Fuentedeprrafopredeter"/>
    <w:link w:val="Textocomentario"/>
    <w:uiPriority w:val="99"/>
    <w:rsid w:val="00BB28B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B28BC"/>
    <w:rPr>
      <w:rFonts w:ascii="Segoe UI" w:hAnsi="Segoe UI" w:cs="Segoe UI"/>
      <w:sz w:val="18"/>
      <w:szCs w:val="18"/>
      <w:lang w:val="en-US" w:eastAsia="zh-CN"/>
    </w:rPr>
  </w:style>
  <w:style w:type="character" w:customStyle="1" w:styleId="TextodegloboCar">
    <w:name w:val="Texto de globo Car"/>
    <w:basedOn w:val="Fuentedeprrafopredeter"/>
    <w:link w:val="Textodeglobo"/>
    <w:uiPriority w:val="99"/>
    <w:semiHidden/>
    <w:rsid w:val="00BB28BC"/>
    <w:rPr>
      <w:rFonts w:ascii="Segoe UI" w:eastAsia="Times New Roman" w:hAnsi="Segoe UI" w:cs="Segoe UI"/>
      <w:sz w:val="18"/>
      <w:szCs w:val="18"/>
      <w:lang w:eastAsia="es-ES"/>
    </w:rPr>
  </w:style>
  <w:style w:type="paragraph" w:customStyle="1" w:styleId="Piedepagina">
    <w:name w:val="Pie de pagina"/>
    <w:aliases w:val="Ref. de nota al pie2,Nota de pie"/>
    <w:basedOn w:val="Normal"/>
    <w:link w:val="Refdenotaalpie"/>
    <w:uiPriority w:val="99"/>
    <w:rsid w:val="005754F0"/>
    <w:pPr>
      <w:spacing w:line="240" w:lineRule="exact"/>
    </w:pPr>
    <w:rPr>
      <w:rFonts w:eastAsiaTheme="minorHAnsi"/>
      <w:vertAlign w:val="superscript"/>
      <w:lang w:val="en-US" w:eastAsia="en-US"/>
    </w:rPr>
  </w:style>
  <w:style w:type="paragraph" w:styleId="NormalWeb">
    <w:name w:val="Normal (Web)"/>
    <w:basedOn w:val="Normal"/>
    <w:uiPriority w:val="99"/>
    <w:unhideWhenUsed/>
    <w:rsid w:val="00561D07"/>
    <w:pPr>
      <w:spacing w:before="100" w:beforeAutospacing="1" w:after="100" w:afterAutospacing="1"/>
    </w:pPr>
    <w:rPr>
      <w:lang w:val="en-US" w:eastAsia="zh-CN"/>
    </w:rPr>
  </w:style>
  <w:style w:type="character" w:customStyle="1" w:styleId="apple-converted-space">
    <w:name w:val="apple-converted-space"/>
    <w:basedOn w:val="Fuentedeprrafopredeter"/>
    <w:rsid w:val="006835E7"/>
  </w:style>
  <w:style w:type="paragraph" w:styleId="Asuntodelcomentario">
    <w:name w:val="annotation subject"/>
    <w:basedOn w:val="Textocomentario"/>
    <w:next w:val="Textocomentario"/>
    <w:link w:val="AsuntodelcomentarioCar"/>
    <w:uiPriority w:val="99"/>
    <w:semiHidden/>
    <w:unhideWhenUsed/>
    <w:rsid w:val="00E7029C"/>
    <w:rPr>
      <w:b/>
      <w:bCs/>
    </w:rPr>
  </w:style>
  <w:style w:type="character" w:customStyle="1" w:styleId="AsuntodelcomentarioCar">
    <w:name w:val="Asunto del comentario Car"/>
    <w:basedOn w:val="TextocomentarioCar"/>
    <w:link w:val="Asuntodelcomentario"/>
    <w:uiPriority w:val="99"/>
    <w:semiHidden/>
    <w:rsid w:val="00E7029C"/>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92F1B"/>
    <w:rPr>
      <w:color w:val="0563C1" w:themeColor="hyperlink"/>
      <w:u w:val="single"/>
    </w:rPr>
  </w:style>
  <w:style w:type="character" w:customStyle="1" w:styleId="Mencinsinresolver1">
    <w:name w:val="Mención sin resolver1"/>
    <w:basedOn w:val="Fuentedeprrafopredeter"/>
    <w:uiPriority w:val="99"/>
    <w:semiHidden/>
    <w:unhideWhenUsed/>
    <w:rsid w:val="00592F1B"/>
    <w:rPr>
      <w:color w:val="808080"/>
      <w:shd w:val="clear" w:color="auto" w:fill="E6E6E6"/>
    </w:rPr>
  </w:style>
  <w:style w:type="character" w:customStyle="1" w:styleId="m-690473858481305236gmail-fontstyle12">
    <w:name w:val="m_-690473858481305236gmail-fontstyle12"/>
    <w:basedOn w:val="Fuentedeprrafopredeter"/>
    <w:rsid w:val="00D25249"/>
  </w:style>
  <w:style w:type="character" w:customStyle="1" w:styleId="Ttulo1Car">
    <w:name w:val="Título 1 Car"/>
    <w:basedOn w:val="Fuentedeprrafopredeter"/>
    <w:link w:val="Ttulo1"/>
    <w:uiPriority w:val="9"/>
    <w:rsid w:val="00856EE7"/>
    <w:rPr>
      <w:rFonts w:ascii="Times New Roman" w:eastAsia="Times New Roman" w:hAnsi="Times New Roman" w:cs="Times New Roman"/>
      <w:b/>
      <w:bCs/>
      <w:kern w:val="36"/>
      <w:sz w:val="48"/>
      <w:szCs w:val="48"/>
      <w:lang w:val="es-CO" w:eastAsia="es-CO"/>
    </w:rPr>
  </w:style>
  <w:style w:type="paragraph" w:styleId="Revisin">
    <w:name w:val="Revision"/>
    <w:hidden/>
    <w:uiPriority w:val="99"/>
    <w:semiHidden/>
    <w:rsid w:val="00F928B6"/>
    <w:pPr>
      <w:spacing w:after="0" w:line="240" w:lineRule="auto"/>
    </w:pPr>
    <w:rPr>
      <w:rFonts w:ascii="Times New Roman" w:eastAsia="Times New Roman" w:hAnsi="Times New Roman" w:cs="Times New Roman"/>
      <w:sz w:val="28"/>
      <w:szCs w:val="28"/>
      <w:lang w:eastAsia="es-ES"/>
    </w:rPr>
  </w:style>
  <w:style w:type="character" w:customStyle="1" w:styleId="fontstyle120">
    <w:name w:val="fontstyle12"/>
    <w:basedOn w:val="Fuentedeprrafopredeter"/>
    <w:rsid w:val="00242EF1"/>
  </w:style>
  <w:style w:type="paragraph" w:customStyle="1" w:styleId="Listavistosa-nfasis11">
    <w:name w:val="Lista vistosa - Énfasis 11"/>
    <w:basedOn w:val="Normal"/>
    <w:uiPriority w:val="34"/>
    <w:qFormat/>
    <w:rsid w:val="00792CF3"/>
    <w:pPr>
      <w:ind w:left="720"/>
      <w:contextualSpacing/>
    </w:pPr>
    <w:rPr>
      <w:rFonts w:eastAsia="Calibri"/>
      <w:lang w:val="en-US" w:eastAsia="en-US"/>
    </w:rPr>
  </w:style>
  <w:style w:type="character" w:customStyle="1" w:styleId="Mencinsinresolver2">
    <w:name w:val="Mención sin resolver2"/>
    <w:basedOn w:val="Fuentedeprrafopredeter"/>
    <w:uiPriority w:val="99"/>
    <w:semiHidden/>
    <w:unhideWhenUsed/>
    <w:rsid w:val="00623F44"/>
    <w:rPr>
      <w:color w:val="605E5C"/>
      <w:shd w:val="clear" w:color="auto" w:fill="E1DFDD"/>
    </w:rPr>
  </w:style>
  <w:style w:type="character" w:customStyle="1" w:styleId="baj">
    <w:name w:val="b_aj"/>
    <w:basedOn w:val="Fuentedeprrafopredeter"/>
    <w:rsid w:val="004854FF"/>
  </w:style>
  <w:style w:type="character" w:customStyle="1" w:styleId="PrrafodelistaCar">
    <w:name w:val="Párrafo de lista Car"/>
    <w:aliases w:val="Colorful List - Accent 11 Car,Ha Car,List Paragraph1 Car,lp1 Car,Normal2 Car,List Paragraph2 Car,List1 Car,titulo 3 Car,Párrafo de lista1 Car,Bullets Car,Párrafo de lista2 Car,Cuadrícula clara - Énfasis 31 Car,Dot pt Car"/>
    <w:link w:val="Prrafodelista"/>
    <w:uiPriority w:val="34"/>
    <w:locked/>
    <w:rsid w:val="00B51131"/>
    <w:rPr>
      <w:rFonts w:ascii="Times New Roman" w:eastAsia="Calibri" w:hAnsi="Times New Roman" w:cs="Times New Roman"/>
      <w:sz w:val="24"/>
      <w:lang w:val="en-US"/>
    </w:rPr>
  </w:style>
  <w:style w:type="paragraph" w:customStyle="1" w:styleId="CorteConstitucional">
    <w:name w:val="Corte Constitucional"/>
    <w:basedOn w:val="Normal"/>
    <w:link w:val="CorteConstitucionalCar"/>
    <w:qFormat/>
    <w:rsid w:val="00337B2E"/>
    <w:pPr>
      <w:pBdr>
        <w:top w:val="nil"/>
        <w:left w:val="nil"/>
        <w:bottom w:val="nil"/>
        <w:right w:val="nil"/>
        <w:between w:val="nil"/>
      </w:pBdr>
      <w:jc w:val="both"/>
    </w:pPr>
    <w:rPr>
      <w:rFonts w:eastAsia="Calibri" w:cs="Calibri"/>
      <w:color w:val="000000"/>
      <w:sz w:val="28"/>
      <w:szCs w:val="28"/>
    </w:rPr>
  </w:style>
  <w:style w:type="character" w:customStyle="1" w:styleId="CorteConstitucionalCar">
    <w:name w:val="Corte Constitucional Car"/>
    <w:basedOn w:val="Fuentedeprrafopredeter"/>
    <w:link w:val="CorteConstitucional"/>
    <w:rsid w:val="00337B2E"/>
    <w:rPr>
      <w:rFonts w:ascii="Times New Roman" w:eastAsia="Calibri" w:hAnsi="Times New Roman" w:cs="Calibri"/>
      <w:color w:val="000000"/>
      <w:sz w:val="28"/>
      <w:szCs w:val="28"/>
      <w:lang w:val="es-CO" w:eastAsia="es-CO"/>
    </w:rPr>
  </w:style>
  <w:style w:type="table" w:styleId="Tablaconcuadrcula">
    <w:name w:val="Table Grid"/>
    <w:basedOn w:val="Tablanormal"/>
    <w:uiPriority w:val="39"/>
    <w:rsid w:val="000D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3B5EEE"/>
    <w:rPr>
      <w:color w:val="605E5C"/>
      <w:shd w:val="clear" w:color="auto" w:fill="E1DFDD"/>
    </w:rPr>
  </w:style>
  <w:style w:type="character" w:customStyle="1" w:styleId="s6">
    <w:name w:val="s6"/>
    <w:basedOn w:val="Fuentedeprrafopredeter"/>
    <w:rsid w:val="00844EA2"/>
  </w:style>
  <w:style w:type="character" w:customStyle="1" w:styleId="s15">
    <w:name w:val="s15"/>
    <w:basedOn w:val="Fuentedeprrafopredeter"/>
    <w:rsid w:val="006C042C"/>
  </w:style>
  <w:style w:type="character" w:customStyle="1" w:styleId="Ttulo2Car">
    <w:name w:val="Título 2 Car"/>
    <w:basedOn w:val="Fuentedeprrafopredeter"/>
    <w:link w:val="Ttulo2"/>
    <w:uiPriority w:val="9"/>
    <w:semiHidden/>
    <w:rsid w:val="006E12AC"/>
    <w:rPr>
      <w:rFonts w:asciiTheme="majorHAnsi" w:eastAsiaTheme="majorEastAsia" w:hAnsiTheme="majorHAnsi" w:cstheme="majorBidi"/>
      <w:color w:val="2E74B5" w:themeColor="accent1" w:themeShade="BF"/>
      <w:sz w:val="26"/>
      <w:szCs w:val="26"/>
      <w:lang w:val="es-CO" w:eastAsia="es-MX"/>
    </w:rPr>
  </w:style>
  <w:style w:type="character" w:styleId="Hipervnculovisitado">
    <w:name w:val="FollowedHyperlink"/>
    <w:basedOn w:val="Fuentedeprrafopredeter"/>
    <w:uiPriority w:val="99"/>
    <w:semiHidden/>
    <w:unhideWhenUsed/>
    <w:rsid w:val="00805920"/>
    <w:rPr>
      <w:color w:val="954F72" w:themeColor="followedHyperlink"/>
      <w:u w:val="single"/>
    </w:rPr>
  </w:style>
  <w:style w:type="character" w:customStyle="1" w:styleId="s2">
    <w:name w:val="s2"/>
    <w:basedOn w:val="Fuentedeprrafopredeter"/>
    <w:rsid w:val="003827F1"/>
  </w:style>
  <w:style w:type="character" w:customStyle="1" w:styleId="s27">
    <w:name w:val="s27"/>
    <w:basedOn w:val="Fuentedeprrafopredeter"/>
    <w:rsid w:val="003827F1"/>
  </w:style>
  <w:style w:type="character" w:customStyle="1" w:styleId="s13">
    <w:name w:val="s13"/>
    <w:basedOn w:val="Fuentedeprrafopredeter"/>
    <w:rsid w:val="008B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2334</Words>
  <Characters>12843</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2024-04-15T15:22:00Z</dcterms:created>
  <dcterms:modified xsi:type="dcterms:W3CDTF">2024-04-15T15:22:00Z</dcterms:modified>
</cp:coreProperties>
</file>