
<file path=[Content_Types].xml><?xml version="1.0" encoding="utf-8"?>
<Types xmlns="http://schemas.openxmlformats.org/package/2006/content-types">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0AC6A" w14:textId="77777777" w:rsidR="00065EB1" w:rsidRPr="001D0653" w:rsidRDefault="00AC2C9D">
      <w:pPr>
        <w:widowControl w:val="0"/>
        <w:autoSpaceDE w:val="0"/>
        <w:autoSpaceDN w:val="0"/>
        <w:adjustRightInd w:val="0"/>
        <w:spacing w:after="0" w:line="240" w:lineRule="auto"/>
        <w:rPr>
          <w:rFonts w:ascii="Times New Roman" w:hAnsi="Times New Roman" w:cs="Times New Roman"/>
          <w:sz w:val="28"/>
          <w:szCs w:val="28"/>
        </w:rPr>
      </w:pPr>
      <w:r w:rsidRPr="001D0653">
        <w:rPr>
          <w:rFonts w:ascii="Times New Roman" w:hAnsi="Times New Roman" w:cs="Times New Roman"/>
          <w:sz w:val="28"/>
          <w:szCs w:val="24"/>
        </w:rPr>
        <w:t xml:space="preserve"> </w:t>
      </w:r>
    </w:p>
    <w:p w14:paraId="71B32F21" w14:textId="77777777" w:rsidR="00065EB1" w:rsidRPr="001D0653" w:rsidRDefault="00065EB1">
      <w:pPr>
        <w:widowControl w:val="0"/>
        <w:autoSpaceDE w:val="0"/>
        <w:autoSpaceDN w:val="0"/>
        <w:adjustRightInd w:val="0"/>
        <w:spacing w:after="0" w:line="240" w:lineRule="auto"/>
        <w:rPr>
          <w:rFonts w:ascii="Times New Roman" w:hAnsi="Times New Roman" w:cs="Times New Roman"/>
          <w:sz w:val="28"/>
          <w:szCs w:val="28"/>
        </w:rPr>
      </w:pPr>
    </w:p>
    <w:p w14:paraId="0223EFEA" w14:textId="77777777" w:rsidR="00065EB1" w:rsidRPr="001D0653" w:rsidRDefault="00AC2C9D">
      <w:pPr>
        <w:widowControl w:val="0"/>
        <w:autoSpaceDE w:val="0"/>
        <w:autoSpaceDN w:val="0"/>
        <w:adjustRightInd w:val="0"/>
        <w:spacing w:after="0" w:line="240" w:lineRule="auto"/>
        <w:jc w:val="center"/>
        <w:rPr>
          <w:rFonts w:ascii="Times New Roman" w:hAnsi="Times New Roman" w:cs="Times New Roman"/>
          <w:b/>
          <w:bCs/>
          <w:sz w:val="28"/>
          <w:szCs w:val="28"/>
        </w:rPr>
      </w:pPr>
      <w:r w:rsidRPr="001D0653">
        <w:rPr>
          <w:rFonts w:ascii="Times New Roman" w:hAnsi="Times New Roman" w:cs="Times New Roman"/>
          <w:b/>
          <w:bCs/>
          <w:sz w:val="28"/>
          <w:szCs w:val="28"/>
        </w:rPr>
        <w:t xml:space="preserve">TEMAS-SUBTEMAS </w:t>
      </w:r>
    </w:p>
    <w:p w14:paraId="37B79F47" w14:textId="77777777" w:rsidR="00065EB1" w:rsidRPr="001D0653" w:rsidRDefault="00065EB1">
      <w:pPr>
        <w:widowControl w:val="0"/>
        <w:autoSpaceDE w:val="0"/>
        <w:autoSpaceDN w:val="0"/>
        <w:adjustRightInd w:val="0"/>
        <w:spacing w:after="0" w:line="240" w:lineRule="auto"/>
        <w:jc w:val="center"/>
        <w:rPr>
          <w:rFonts w:ascii="Times New Roman" w:hAnsi="Times New Roman" w:cs="Times New Roman"/>
          <w:b/>
          <w:bCs/>
          <w:sz w:val="28"/>
          <w:szCs w:val="28"/>
        </w:rPr>
      </w:pPr>
    </w:p>
    <w:p w14:paraId="1A663446" w14:textId="77777777" w:rsidR="00065EB1" w:rsidRPr="001D0653" w:rsidRDefault="00AC2C9D">
      <w:pPr>
        <w:widowControl w:val="0"/>
        <w:autoSpaceDE w:val="0"/>
        <w:autoSpaceDN w:val="0"/>
        <w:adjustRightInd w:val="0"/>
        <w:spacing w:after="0" w:line="240" w:lineRule="auto"/>
        <w:jc w:val="center"/>
        <w:rPr>
          <w:rFonts w:ascii="Times New Roman" w:hAnsi="Times New Roman" w:cs="Times New Roman"/>
          <w:sz w:val="28"/>
          <w:szCs w:val="28"/>
        </w:rPr>
      </w:pPr>
      <w:r w:rsidRPr="001D0653">
        <w:rPr>
          <w:rFonts w:ascii="Times New Roman" w:hAnsi="Times New Roman" w:cs="Times New Roman"/>
          <w:b/>
          <w:bCs/>
          <w:sz w:val="28"/>
          <w:szCs w:val="28"/>
        </w:rPr>
        <w:t xml:space="preserve">Auto A-809/24 </w:t>
      </w:r>
    </w:p>
    <w:p w14:paraId="5DF024DD" w14:textId="77777777" w:rsidR="00065EB1" w:rsidRPr="001D0653" w:rsidRDefault="00065EB1">
      <w:pPr>
        <w:widowControl w:val="0"/>
        <w:autoSpaceDE w:val="0"/>
        <w:autoSpaceDN w:val="0"/>
        <w:adjustRightInd w:val="0"/>
        <w:spacing w:after="0" w:line="240" w:lineRule="auto"/>
        <w:jc w:val="both"/>
        <w:rPr>
          <w:rFonts w:ascii="Times New Roman" w:hAnsi="Times New Roman" w:cs="Times New Roman"/>
          <w:sz w:val="28"/>
          <w:szCs w:val="28"/>
        </w:rPr>
      </w:pPr>
    </w:p>
    <w:p w14:paraId="60C31E68" w14:textId="77777777" w:rsidR="00065EB1" w:rsidRPr="001D0653" w:rsidRDefault="00AC2C9D">
      <w:pPr>
        <w:widowControl w:val="0"/>
        <w:autoSpaceDE w:val="0"/>
        <w:autoSpaceDN w:val="0"/>
        <w:adjustRightInd w:val="0"/>
        <w:spacing w:after="0" w:line="240" w:lineRule="auto"/>
        <w:jc w:val="both"/>
        <w:rPr>
          <w:rFonts w:ascii="Times New Roman" w:hAnsi="Times New Roman" w:cs="Times New Roman"/>
          <w:sz w:val="28"/>
          <w:szCs w:val="28"/>
        </w:rPr>
      </w:pPr>
      <w:r w:rsidRPr="001D0653">
        <w:rPr>
          <w:rFonts w:ascii="Times New Roman" w:hAnsi="Times New Roman" w:cs="Times New Roman"/>
          <w:b/>
          <w:bCs/>
          <w:sz w:val="28"/>
          <w:szCs w:val="28"/>
        </w:rPr>
        <w:t>CONFLICTO DE COMPETENCIA ENTRE JURISDICCIONES</w:t>
      </w:r>
      <w:r w:rsidRPr="001D0653">
        <w:rPr>
          <w:rFonts w:ascii="Times New Roman" w:hAnsi="Times New Roman" w:cs="Times New Roman"/>
          <w:sz w:val="28"/>
          <w:szCs w:val="28"/>
        </w:rPr>
        <w:t xml:space="preserve">-Configuración de cosa juzgada </w:t>
      </w:r>
    </w:p>
    <w:p w14:paraId="387259BE" w14:textId="77777777" w:rsidR="00065EB1" w:rsidRPr="001D0653" w:rsidRDefault="00065EB1">
      <w:pPr>
        <w:widowControl w:val="0"/>
        <w:autoSpaceDE w:val="0"/>
        <w:autoSpaceDN w:val="0"/>
        <w:adjustRightInd w:val="0"/>
        <w:spacing w:after="0" w:line="240" w:lineRule="auto"/>
        <w:jc w:val="both"/>
        <w:rPr>
          <w:rFonts w:ascii="Times New Roman" w:hAnsi="Times New Roman" w:cs="Times New Roman"/>
          <w:sz w:val="28"/>
          <w:szCs w:val="28"/>
        </w:rPr>
      </w:pPr>
    </w:p>
    <w:p w14:paraId="15E99F53" w14:textId="77777777" w:rsidR="00065EB1" w:rsidRPr="001D0653" w:rsidRDefault="00974F47">
      <w:pPr>
        <w:widowControl w:val="0"/>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szCs w:val="28"/>
        </w:rPr>
        <w:pict w14:anchorId="0DDD3728">
          <v:rect id="_x0000_i1025" style="width:0;height:1.5pt" o:hralign="center" o:hrstd="t" o:hr="t" fillcolor="#a0a0a0" stroked="f"/>
        </w:pict>
      </w:r>
    </w:p>
    <w:p w14:paraId="3E91E9B3" w14:textId="77777777" w:rsidR="00717859" w:rsidRPr="001D0653" w:rsidRDefault="001D0653" w:rsidP="0011584E">
      <w:pPr>
        <w:pStyle w:val="Encabezado"/>
        <w:jc w:val="center"/>
        <w:rPr>
          <w:rFonts w:ascii="Times New Roman" w:hAnsi="Times New Roman" w:cs="Times New Roman"/>
          <w:b/>
          <w:bCs/>
          <w:sz w:val="28"/>
        </w:rPr>
      </w:pPr>
      <w:r w:rsidRPr="001D0653">
        <w:rPr>
          <w:rFonts w:ascii="Times New Roman" w:hAnsi="Times New Roman" w:cs="Times New Roman"/>
          <w:b/>
          <w:bCs/>
          <w:sz w:val="28"/>
        </w:rPr>
        <w:t>REPÚBLICA DE COLOMBIA</w:t>
      </w:r>
    </w:p>
    <w:p w14:paraId="7EBF5ADB" w14:textId="77777777" w:rsidR="009252B4" w:rsidRPr="001D0653" w:rsidRDefault="001D0653" w:rsidP="0011584E">
      <w:pPr>
        <w:pStyle w:val="Encabezado"/>
        <w:jc w:val="center"/>
        <w:rPr>
          <w:rFonts w:ascii="Times New Roman" w:hAnsi="Times New Roman" w:cs="Times New Roman"/>
          <w:b/>
          <w:bCs/>
          <w:sz w:val="28"/>
        </w:rPr>
      </w:pPr>
      <w:r w:rsidRPr="001D0653">
        <w:rPr>
          <w:rFonts w:ascii="Times New Roman" w:hAnsi="Times New Roman" w:cs="Times New Roman"/>
          <w:b/>
          <w:bCs/>
          <w:noProof/>
          <w:sz w:val="28"/>
        </w:rPr>
        <w:drawing>
          <wp:inline distT="0" distB="0" distL="0" distR="0" wp14:anchorId="7A99B865" wp14:editId="7643E3BD">
            <wp:extent cx="914400" cy="914400"/>
            <wp:effectExtent l="0" t="0" r="0" b="0"/>
            <wp:docPr id="1" name="Picture 1" descr="A red circle with a red and blue emblem with a eagle an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0516" name="Picture 1" descr="A red circle with a red and blue emblem with a eagle and fla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14532" cy="914532"/>
                    </a:xfrm>
                    <a:prstGeom prst="rect">
                      <a:avLst/>
                    </a:prstGeom>
                  </pic:spPr>
                </pic:pic>
              </a:graphicData>
            </a:graphic>
          </wp:inline>
        </w:drawing>
      </w:r>
    </w:p>
    <w:p w14:paraId="0E0D73CE" w14:textId="77777777" w:rsidR="00717859" w:rsidRPr="001D0653" w:rsidRDefault="001D0653" w:rsidP="0011584E">
      <w:pPr>
        <w:pStyle w:val="Encabezado"/>
        <w:jc w:val="center"/>
        <w:rPr>
          <w:rFonts w:ascii="Times New Roman" w:hAnsi="Times New Roman" w:cs="Times New Roman"/>
          <w:b/>
          <w:bCs/>
          <w:sz w:val="28"/>
        </w:rPr>
      </w:pPr>
      <w:r w:rsidRPr="001D0653">
        <w:rPr>
          <w:rFonts w:ascii="Times New Roman" w:hAnsi="Times New Roman" w:cs="Times New Roman"/>
          <w:b/>
          <w:bCs/>
          <w:sz w:val="28"/>
        </w:rPr>
        <w:t>CORTE CONSTITUCIONAL</w:t>
      </w:r>
    </w:p>
    <w:p w14:paraId="35205D35" w14:textId="77777777" w:rsidR="004115F3" w:rsidRPr="001D0653" w:rsidRDefault="001D0653" w:rsidP="0011584E">
      <w:pPr>
        <w:spacing w:after="240"/>
        <w:jc w:val="center"/>
        <w:rPr>
          <w:rFonts w:ascii="Times New Roman" w:hAnsi="Times New Roman" w:cs="Times New Roman"/>
          <w:b/>
          <w:bCs/>
          <w:position w:val="6"/>
          <w:sz w:val="28"/>
          <w:lang w:val="es-ES_tradnl" w:eastAsia="es-ES"/>
        </w:rPr>
      </w:pPr>
      <w:r w:rsidRPr="001D0653">
        <w:rPr>
          <w:rFonts w:ascii="Times New Roman" w:hAnsi="Times New Roman" w:cs="Times New Roman"/>
          <w:b/>
          <w:bCs/>
          <w:position w:val="6"/>
          <w:sz w:val="28"/>
          <w:lang w:val="es-ES_tradnl" w:eastAsia="es-ES"/>
        </w:rPr>
        <w:t>Sala Plena</w:t>
      </w:r>
    </w:p>
    <w:p w14:paraId="35A49D03" w14:textId="77777777" w:rsidR="00226D0F" w:rsidRPr="001D0653" w:rsidRDefault="001D0653" w:rsidP="0011584E">
      <w:pPr>
        <w:spacing w:after="240"/>
        <w:jc w:val="center"/>
        <w:rPr>
          <w:rFonts w:ascii="Times New Roman" w:hAnsi="Times New Roman" w:cs="Times New Roman"/>
          <w:b/>
          <w:sz w:val="28"/>
        </w:rPr>
      </w:pPr>
      <w:r w:rsidRPr="001D0653">
        <w:rPr>
          <w:rFonts w:ascii="Times New Roman" w:hAnsi="Times New Roman" w:cs="Times New Roman"/>
          <w:b/>
          <w:sz w:val="28"/>
        </w:rPr>
        <w:t>Auto 809 de 2024</w:t>
      </w:r>
    </w:p>
    <w:p w14:paraId="07283F01" w14:textId="77777777" w:rsidR="0011584E" w:rsidRPr="001D0653" w:rsidRDefault="001D0653" w:rsidP="0011584E">
      <w:pPr>
        <w:ind w:left="3969"/>
        <w:jc w:val="both"/>
        <w:rPr>
          <w:rFonts w:ascii="Times New Roman" w:hAnsi="Times New Roman" w:cs="Times New Roman"/>
          <w:sz w:val="28"/>
        </w:rPr>
      </w:pPr>
      <w:r w:rsidRPr="001D0653">
        <w:rPr>
          <w:rFonts w:ascii="Times New Roman" w:hAnsi="Times New Roman" w:cs="Times New Roman"/>
          <w:b/>
          <w:sz w:val="28"/>
        </w:rPr>
        <w:t>Referencia</w:t>
      </w:r>
      <w:r w:rsidRPr="001D0653">
        <w:rPr>
          <w:rFonts w:ascii="Times New Roman" w:hAnsi="Times New Roman" w:cs="Times New Roman"/>
          <w:sz w:val="28"/>
        </w:rPr>
        <w:t>: Expediente CJU-5305</w:t>
      </w:r>
    </w:p>
    <w:p w14:paraId="2E05C4B5" w14:textId="77777777" w:rsidR="0011584E" w:rsidRPr="001D0653" w:rsidRDefault="00974F47" w:rsidP="0011584E">
      <w:pPr>
        <w:ind w:left="3969"/>
        <w:jc w:val="both"/>
        <w:rPr>
          <w:rFonts w:ascii="Times New Roman" w:hAnsi="Times New Roman" w:cs="Times New Roman"/>
          <w:sz w:val="28"/>
        </w:rPr>
      </w:pPr>
    </w:p>
    <w:p w14:paraId="2E582833" w14:textId="77777777" w:rsidR="00ED1337" w:rsidRPr="001D0653" w:rsidRDefault="001D0653" w:rsidP="00ED1337">
      <w:pPr>
        <w:ind w:left="3969"/>
        <w:jc w:val="both"/>
        <w:rPr>
          <w:rStyle w:val="FontStyle11"/>
          <w:b w:val="0"/>
          <w:bCs w:val="0"/>
          <w:sz w:val="28"/>
          <w:szCs w:val="24"/>
        </w:rPr>
      </w:pPr>
      <w:r w:rsidRPr="001D0653">
        <w:rPr>
          <w:rFonts w:ascii="Times New Roman" w:hAnsi="Times New Roman" w:cs="Times New Roman"/>
          <w:sz w:val="28"/>
        </w:rPr>
        <w:t>Conflicto de jurisdicciones suscitado entre el Juzgado Treinta y Nueve Laboral del Circuito de Bogotá y el Tribunal Administrativo de Cundinamarca, Sección Tercera, Subsección A.</w:t>
      </w:r>
    </w:p>
    <w:p w14:paraId="070AFB35" w14:textId="77777777" w:rsidR="00ED1337" w:rsidRPr="001D0653" w:rsidRDefault="00974F47" w:rsidP="00ED1337">
      <w:pPr>
        <w:ind w:left="3969"/>
        <w:jc w:val="both"/>
        <w:rPr>
          <w:rStyle w:val="FontStyle11"/>
          <w:b w:val="0"/>
          <w:bCs w:val="0"/>
          <w:sz w:val="28"/>
          <w:szCs w:val="24"/>
        </w:rPr>
      </w:pPr>
    </w:p>
    <w:p w14:paraId="4B53C917" w14:textId="77777777" w:rsidR="00226D0F" w:rsidRPr="001D0653" w:rsidRDefault="001D0653" w:rsidP="00ED1337">
      <w:pPr>
        <w:ind w:left="3969"/>
        <w:jc w:val="both"/>
        <w:rPr>
          <w:rFonts w:ascii="Times New Roman" w:hAnsi="Times New Roman" w:cs="Times New Roman"/>
          <w:sz w:val="28"/>
        </w:rPr>
      </w:pPr>
      <w:r w:rsidRPr="001D0653">
        <w:rPr>
          <w:rFonts w:ascii="Times New Roman" w:hAnsi="Times New Roman" w:cs="Times New Roman"/>
          <w:b/>
          <w:sz w:val="28"/>
        </w:rPr>
        <w:t>Magistrada Ponente:</w:t>
      </w:r>
    </w:p>
    <w:p w14:paraId="685650F8" w14:textId="77777777" w:rsidR="00226D0F" w:rsidRPr="001D0653" w:rsidRDefault="001D0653" w:rsidP="00ED1337">
      <w:pPr>
        <w:ind w:left="3969"/>
        <w:jc w:val="both"/>
        <w:rPr>
          <w:rStyle w:val="FontStyle12"/>
          <w:sz w:val="28"/>
          <w:szCs w:val="24"/>
          <w:lang w:val="es-ES_tradnl" w:eastAsia="es-ES_tradnl"/>
        </w:rPr>
      </w:pPr>
      <w:r w:rsidRPr="001D0653">
        <w:rPr>
          <w:rStyle w:val="FontStyle12"/>
          <w:sz w:val="28"/>
          <w:szCs w:val="24"/>
          <w:lang w:val="es-ES_tradnl" w:eastAsia="es-ES_tradnl"/>
        </w:rPr>
        <w:t>Diana Fajardo Rivera.</w:t>
      </w:r>
    </w:p>
    <w:p w14:paraId="526D1D39" w14:textId="77777777" w:rsidR="00ED1337" w:rsidRPr="001D0653" w:rsidRDefault="00974F47" w:rsidP="00ED1337">
      <w:pPr>
        <w:ind w:left="3969"/>
        <w:jc w:val="both"/>
        <w:rPr>
          <w:rFonts w:ascii="Times New Roman" w:hAnsi="Times New Roman" w:cs="Times New Roman"/>
          <w:sz w:val="28"/>
        </w:rPr>
      </w:pPr>
    </w:p>
    <w:p w14:paraId="3F06F976" w14:textId="77777777" w:rsidR="00226D0F" w:rsidRPr="001D0653" w:rsidRDefault="001D0653" w:rsidP="00ED1337">
      <w:pPr>
        <w:jc w:val="both"/>
        <w:rPr>
          <w:rFonts w:ascii="Times New Roman" w:hAnsi="Times New Roman" w:cs="Times New Roman"/>
          <w:sz w:val="28"/>
        </w:rPr>
      </w:pPr>
      <w:r w:rsidRPr="001D0653">
        <w:rPr>
          <w:rFonts w:ascii="Times New Roman" w:hAnsi="Times New Roman" w:cs="Times New Roman"/>
          <w:sz w:val="28"/>
        </w:rPr>
        <w:t>Bogotá, DC, dos (2) de mayo de dos mil veinticuatro (2024).</w:t>
      </w:r>
    </w:p>
    <w:p w14:paraId="099CF0F9" w14:textId="77777777" w:rsidR="00ED1337" w:rsidRPr="001D0653" w:rsidRDefault="00974F47" w:rsidP="00ED1337">
      <w:pPr>
        <w:pStyle w:val="Style6"/>
        <w:widowControl/>
        <w:spacing w:line="240" w:lineRule="auto"/>
        <w:rPr>
          <w:rStyle w:val="FontStyle12"/>
          <w:sz w:val="28"/>
          <w:szCs w:val="24"/>
          <w:lang w:val="es-ES_tradnl" w:eastAsia="es-ES_tradnl"/>
        </w:rPr>
      </w:pPr>
    </w:p>
    <w:p w14:paraId="64D53069" w14:textId="77777777" w:rsidR="00226D0F" w:rsidRPr="001D0653" w:rsidRDefault="001D0653" w:rsidP="00ED1337">
      <w:pPr>
        <w:pStyle w:val="Style6"/>
        <w:widowControl/>
        <w:spacing w:line="240" w:lineRule="auto"/>
        <w:rPr>
          <w:rStyle w:val="FontStyle12"/>
          <w:sz w:val="28"/>
          <w:szCs w:val="24"/>
          <w:lang w:val="es-ES_tradnl" w:eastAsia="es-ES_tradnl"/>
        </w:rPr>
      </w:pPr>
      <w:r w:rsidRPr="001D0653">
        <w:rPr>
          <w:rStyle w:val="FontStyle12"/>
          <w:sz w:val="28"/>
          <w:szCs w:val="24"/>
          <w:lang w:val="es-ES_tradnl" w:eastAsia="es-ES_tradnl"/>
        </w:rPr>
        <w:lastRenderedPageBreak/>
        <w:t xml:space="preserve">La Sala Plena de la Corte Constitucional, en cumplimiento de sus atribuciones constitucionales y legales, </w:t>
      </w:r>
      <w:r w:rsidRPr="001D0653">
        <w:rPr>
          <w:rFonts w:ascii="Times New Roman" w:hAnsi="Times New Roman" w:cs="Times New Roman"/>
          <w:sz w:val="28"/>
        </w:rPr>
        <w:t>en particular, la prevista en el numeral 11 del artículo 241 de la Constitución Política, profiere el siguiente:</w:t>
      </w:r>
    </w:p>
    <w:p w14:paraId="61AF0F93" w14:textId="77777777" w:rsidR="00ED1337" w:rsidRPr="001D0653" w:rsidRDefault="00974F47" w:rsidP="00ED1337">
      <w:pPr>
        <w:pStyle w:val="Style2"/>
        <w:widowControl/>
        <w:spacing w:line="240" w:lineRule="auto"/>
        <w:rPr>
          <w:rStyle w:val="FontStyle11"/>
          <w:sz w:val="28"/>
          <w:szCs w:val="24"/>
          <w:lang w:val="es-ES_tradnl" w:eastAsia="es-ES_tradnl"/>
        </w:rPr>
      </w:pPr>
    </w:p>
    <w:p w14:paraId="13F555AB" w14:textId="77777777" w:rsidR="00ED1337" w:rsidRPr="001D0653" w:rsidRDefault="001D0653" w:rsidP="00ED1337">
      <w:pPr>
        <w:pStyle w:val="Style2"/>
        <w:widowControl/>
        <w:spacing w:line="240" w:lineRule="auto"/>
        <w:rPr>
          <w:rStyle w:val="FontStyle11"/>
          <w:sz w:val="28"/>
          <w:szCs w:val="24"/>
          <w:lang w:val="es-ES_tradnl" w:eastAsia="es-ES_tradnl"/>
        </w:rPr>
      </w:pPr>
      <w:r w:rsidRPr="001D0653">
        <w:rPr>
          <w:rStyle w:val="FontStyle11"/>
          <w:sz w:val="28"/>
          <w:szCs w:val="24"/>
          <w:lang w:val="es-ES_tradnl" w:eastAsia="es-ES_tradnl"/>
        </w:rPr>
        <w:t>AUTO</w:t>
      </w:r>
    </w:p>
    <w:p w14:paraId="45E43DBD" w14:textId="77777777" w:rsidR="00D80B94" w:rsidRPr="001D0653" w:rsidRDefault="001D0653" w:rsidP="005C2025">
      <w:pPr>
        <w:pStyle w:val="Ttulo1"/>
        <w:numPr>
          <w:ilvl w:val="0"/>
          <w:numId w:val="2"/>
        </w:numPr>
        <w:ind w:left="0" w:firstLine="0"/>
        <w:rPr>
          <w:rStyle w:val="FontStyle11"/>
          <w:color w:val="000000" w:themeColor="text1"/>
          <w:sz w:val="28"/>
          <w:szCs w:val="24"/>
          <w:lang w:val="es-ES_tradnl" w:eastAsia="es-ES_tradnl"/>
        </w:rPr>
      </w:pPr>
      <w:r w:rsidRPr="001D0653">
        <w:rPr>
          <w:rStyle w:val="FontStyle11"/>
          <w:color w:val="000000" w:themeColor="text1"/>
          <w:sz w:val="28"/>
          <w:szCs w:val="24"/>
          <w:lang w:val="es-ES_tradnl" w:eastAsia="es-ES_tradnl"/>
        </w:rPr>
        <w:t xml:space="preserve">ANTECEDENTES </w:t>
      </w:r>
    </w:p>
    <w:p w14:paraId="60215379" w14:textId="77777777" w:rsidR="0025618E" w:rsidRPr="001D0653" w:rsidRDefault="00974F47" w:rsidP="0025618E">
      <w:pPr>
        <w:pStyle w:val="Style5"/>
        <w:widowControl/>
        <w:rPr>
          <w:rStyle w:val="FontStyle11"/>
          <w:sz w:val="28"/>
          <w:szCs w:val="24"/>
          <w:lang w:val="es-ES_tradnl" w:eastAsia="es-ES_tradnl"/>
        </w:rPr>
      </w:pPr>
    </w:p>
    <w:p w14:paraId="798C44A9" w14:textId="77777777" w:rsidR="00D80B94" w:rsidRPr="001D0653" w:rsidRDefault="001D0653" w:rsidP="00D93860">
      <w:pPr>
        <w:pStyle w:val="Style5"/>
        <w:widowControl/>
        <w:numPr>
          <w:ilvl w:val="1"/>
          <w:numId w:val="2"/>
        </w:numPr>
        <w:ind w:left="0" w:firstLine="0"/>
        <w:jc w:val="both"/>
        <w:rPr>
          <w:rStyle w:val="FontStyle11"/>
          <w:b w:val="0"/>
          <w:sz w:val="28"/>
          <w:szCs w:val="24"/>
          <w:lang w:val="es-ES_tradnl" w:eastAsia="es-ES_tradnl"/>
        </w:rPr>
      </w:pPr>
      <w:r w:rsidRPr="001D0653">
        <w:rPr>
          <w:rStyle w:val="FontStyle11"/>
          <w:b w:val="0"/>
          <w:i/>
          <w:iCs/>
          <w:sz w:val="28"/>
          <w:szCs w:val="24"/>
          <w:lang w:val="es-ES_tradnl" w:eastAsia="es-ES_tradnl"/>
        </w:rPr>
        <w:t xml:space="preserve">Demanda. </w:t>
      </w:r>
      <w:r w:rsidRPr="001D0653">
        <w:rPr>
          <w:rStyle w:val="FontStyle11"/>
          <w:b w:val="0"/>
          <w:sz w:val="28"/>
          <w:szCs w:val="24"/>
          <w:lang w:val="es-ES_tradnl" w:eastAsia="es-ES_tradnl"/>
        </w:rPr>
        <w:t>La Entidad Promotora de Salud Servicio Occidental de Salud S.A. (en adelante EPS SOS), a través de apoderado, formuló demanda contra la Nación – Ministerio de Salud y Protección Social, a través del medio de control de reparación directa.</w:t>
      </w:r>
      <w:r w:rsidRPr="001D0653">
        <w:rPr>
          <w:rFonts w:ascii="Times New Roman" w:hAnsi="Times New Roman" w:cs="Times New Roman"/>
          <w:sz w:val="28"/>
        </w:rPr>
        <w:t xml:space="preserve"> </w:t>
      </w:r>
      <w:r w:rsidRPr="001D0653">
        <w:rPr>
          <w:rStyle w:val="FontStyle11"/>
          <w:b w:val="0"/>
          <w:sz w:val="28"/>
          <w:szCs w:val="24"/>
          <w:lang w:val="es-ES_tradnl" w:eastAsia="es-ES_tradnl"/>
        </w:rPr>
        <w:t>Lo anterior, con el objeto de que (i) se declare patrimonialmente responsable a la demandada por los daños sufridos por la EPS SOS, como consecuencia de haber sido forzada a asumir, con recursos propios, todos los costos y gastos asociados a las prestaciones en salud no incluidas en el Plan Obligatorio de Salud (antes POS, hoy PBS), entre los años 2011 y 2015; y (</w:t>
      </w:r>
      <w:proofErr w:type="spellStart"/>
      <w:r w:rsidRPr="001D0653">
        <w:rPr>
          <w:rStyle w:val="FontStyle11"/>
          <w:b w:val="0"/>
          <w:sz w:val="28"/>
          <w:szCs w:val="24"/>
          <w:lang w:val="es-ES_tradnl" w:eastAsia="es-ES_tradnl"/>
        </w:rPr>
        <w:t>ii</w:t>
      </w:r>
      <w:proofErr w:type="spellEnd"/>
      <w:r w:rsidRPr="001D0653">
        <w:rPr>
          <w:rStyle w:val="FontStyle11"/>
          <w:b w:val="0"/>
          <w:sz w:val="28"/>
          <w:szCs w:val="24"/>
          <w:lang w:val="es-ES_tradnl" w:eastAsia="es-ES_tradnl"/>
        </w:rPr>
        <w:t>) se condene al pago de (a) $2.735.044.953 a título de daño emergente, (b) intereses de mora sobre la cantidad previamente enunciada a título de lucro cesante, y (c) costas del proceso</w:t>
      </w:r>
      <w:r w:rsidRPr="001D0653">
        <w:rPr>
          <w:rStyle w:val="Refdenotaalpie"/>
          <w:rFonts w:ascii="Times New Roman" w:hAnsi="Times New Roman" w:cs="Times New Roman"/>
          <w:bCs/>
          <w:sz w:val="28"/>
          <w:lang w:val="es-ES_tradnl" w:eastAsia="es-ES_tradnl"/>
        </w:rPr>
        <w:footnoteReference w:id="1"/>
      </w:r>
      <w:r w:rsidRPr="001D0653">
        <w:rPr>
          <w:rStyle w:val="FontStyle11"/>
          <w:b w:val="0"/>
          <w:sz w:val="28"/>
          <w:szCs w:val="24"/>
          <w:lang w:val="es-ES_tradnl" w:eastAsia="es-ES_tradnl"/>
        </w:rPr>
        <w:t>.</w:t>
      </w:r>
    </w:p>
    <w:p w14:paraId="15330354" w14:textId="77777777" w:rsidR="0025618E" w:rsidRPr="001D0653" w:rsidRDefault="00974F47" w:rsidP="00D93860">
      <w:pPr>
        <w:pStyle w:val="Style5"/>
        <w:widowControl/>
        <w:jc w:val="both"/>
        <w:rPr>
          <w:rStyle w:val="FontStyle11"/>
          <w:b w:val="0"/>
          <w:sz w:val="28"/>
          <w:szCs w:val="24"/>
          <w:lang w:val="es-ES_tradnl" w:eastAsia="es-ES_tradnl"/>
        </w:rPr>
      </w:pPr>
    </w:p>
    <w:p w14:paraId="611371C6" w14:textId="77777777" w:rsidR="002E3D2E" w:rsidRPr="001D0653" w:rsidRDefault="001D0653" w:rsidP="00D93860">
      <w:pPr>
        <w:pStyle w:val="Style5"/>
        <w:widowControl/>
        <w:numPr>
          <w:ilvl w:val="1"/>
          <w:numId w:val="2"/>
        </w:numPr>
        <w:ind w:left="0" w:firstLine="0"/>
        <w:jc w:val="both"/>
        <w:rPr>
          <w:rFonts w:ascii="Times New Roman" w:hAnsi="Times New Roman" w:cs="Times New Roman"/>
          <w:sz w:val="28"/>
        </w:rPr>
      </w:pPr>
      <w:r w:rsidRPr="001D0653">
        <w:rPr>
          <w:rStyle w:val="FontStyle11"/>
          <w:b w:val="0"/>
          <w:i/>
          <w:iCs/>
          <w:sz w:val="28"/>
          <w:szCs w:val="24"/>
          <w:lang w:val="es-ES_tradnl" w:eastAsia="es-ES_tradnl"/>
        </w:rPr>
        <w:t>Pronunciamiento de la Jurisdicción Contencioso Administrativa</w:t>
      </w:r>
      <w:r w:rsidRPr="001D0653">
        <w:rPr>
          <w:rStyle w:val="FontStyle11"/>
          <w:b w:val="0"/>
          <w:sz w:val="28"/>
          <w:szCs w:val="24"/>
          <w:lang w:val="es-ES_tradnl" w:eastAsia="es-ES_tradnl"/>
        </w:rPr>
        <w:t xml:space="preserve">. Por reparto el asunto correspondió al Tribunal Administrativo de Cundinamarca, Sección Tercera, Subsección A, autoridad que, mediante Auto del 29 de junio de 2017, declaró la falta de jurisdicción para conocer el asunto. Afirmó que “en la temática referida a los recobros de prestaciones NO POS, el Consejo Superior de la Judicatura, </w:t>
      </w:r>
      <w:r w:rsidRPr="001D0653">
        <w:rPr>
          <w:rFonts w:ascii="Times New Roman" w:hAnsi="Times New Roman" w:cs="Times New Roman"/>
          <w:sz w:val="28"/>
        </w:rPr>
        <w:t xml:space="preserve">al resolver diversos conflictos de jurisdicción, ha definido que la competente es la jurisdicción ordinaria laboral, por considerar que la controversia se refiere al Sistema de Seguridad Social Integral, y no a los asuntos sobre seguridad social de los empleados públicos, cuando su régimen sea administrado por una entidad de derecho público (artículo 104.4 </w:t>
      </w:r>
      <w:r w:rsidRPr="001D0653">
        <w:rPr>
          <w:rFonts w:ascii="Times New Roman" w:hAnsi="Times New Roman" w:cs="Times New Roman"/>
          <w:sz w:val="28"/>
        </w:rPr>
        <w:lastRenderedPageBreak/>
        <w:t>CPACA)”</w:t>
      </w:r>
      <w:r w:rsidRPr="001D0653">
        <w:rPr>
          <w:rStyle w:val="Refdenotaalpie"/>
          <w:rFonts w:ascii="Times New Roman" w:hAnsi="Times New Roman" w:cs="Times New Roman"/>
          <w:sz w:val="28"/>
        </w:rPr>
        <w:footnoteReference w:id="2"/>
      </w:r>
      <w:r w:rsidRPr="001D0653">
        <w:rPr>
          <w:rFonts w:ascii="Times New Roman" w:hAnsi="Times New Roman" w:cs="Times New Roman"/>
          <w:sz w:val="28"/>
        </w:rPr>
        <w:t xml:space="preserve">. </w:t>
      </w:r>
      <w:r w:rsidRPr="001D0653">
        <w:rPr>
          <w:rStyle w:val="FontStyle11"/>
          <w:b w:val="0"/>
          <w:sz w:val="28"/>
          <w:szCs w:val="24"/>
          <w:lang w:eastAsia="es-ES_tradnl"/>
        </w:rPr>
        <w:t>El apoderado de la EPS SOS interpuso recurso de reposición contra la decisión anterior, solicitando que la jurisdicción de lo contencioso administrativo continuara con el conocimiento del proceso, en atención a la interpretación de la Sala de Casación Laboral de la Corte Suprema de Justicia al elemento subjetivo para la determinación de la competencia del numeral 4 del artículo 2 del Código Procesal del Trabajo y la Seguridad Social, en adelante CPTSS; y que lo pretendido no corresponde específicamente a solicitudes de recobros o reembolsos al FOSYGA</w:t>
      </w:r>
      <w:r w:rsidRPr="001D0653">
        <w:rPr>
          <w:rStyle w:val="Refdenotaalpie"/>
          <w:rFonts w:ascii="Times New Roman" w:hAnsi="Times New Roman" w:cs="Times New Roman"/>
          <w:bCs/>
          <w:sz w:val="28"/>
          <w:lang w:eastAsia="es-ES_tradnl"/>
        </w:rPr>
        <w:footnoteReference w:id="3"/>
      </w:r>
      <w:r w:rsidRPr="001D0653">
        <w:rPr>
          <w:rStyle w:val="FontStyle11"/>
          <w:b w:val="0"/>
          <w:sz w:val="28"/>
          <w:szCs w:val="24"/>
          <w:lang w:eastAsia="es-ES_tradnl"/>
        </w:rPr>
        <w:t xml:space="preserve">. El Tribunal confirmó la decisión porque el asunto no se trata de un proceso judicial relativo a la </w:t>
      </w:r>
      <w:r w:rsidRPr="001D0653">
        <w:rPr>
          <w:rFonts w:ascii="Times New Roman" w:hAnsi="Times New Roman" w:cs="Times New Roman"/>
          <w:sz w:val="28"/>
        </w:rPr>
        <w:t>seguridad social de los servidores públicos, único tipo de litigio que en materia de seguridad social quedo taxativamente reservado a la jurisdicción de lo contencioso administrativo</w:t>
      </w:r>
      <w:r w:rsidRPr="001D0653">
        <w:rPr>
          <w:rStyle w:val="Refdenotaalpie"/>
          <w:rFonts w:ascii="Times New Roman" w:hAnsi="Times New Roman" w:cs="Times New Roman"/>
          <w:sz w:val="28"/>
        </w:rPr>
        <w:footnoteReference w:id="4"/>
      </w:r>
      <w:r w:rsidRPr="001D0653">
        <w:rPr>
          <w:rFonts w:ascii="Times New Roman" w:hAnsi="Times New Roman" w:cs="Times New Roman"/>
          <w:sz w:val="28"/>
        </w:rPr>
        <w:t>.</w:t>
      </w:r>
    </w:p>
    <w:p w14:paraId="4200A4FA" w14:textId="77777777" w:rsidR="0025618E" w:rsidRPr="001D0653" w:rsidRDefault="00974F47" w:rsidP="00D93860">
      <w:pPr>
        <w:pStyle w:val="Style5"/>
        <w:widowControl/>
        <w:jc w:val="both"/>
        <w:rPr>
          <w:rFonts w:ascii="Times New Roman" w:hAnsi="Times New Roman" w:cs="Times New Roman"/>
          <w:sz w:val="28"/>
        </w:rPr>
      </w:pPr>
    </w:p>
    <w:p w14:paraId="2DC5E1D0" w14:textId="77777777" w:rsidR="00F33374" w:rsidRPr="001D0653" w:rsidRDefault="001D0653" w:rsidP="00D93860">
      <w:pPr>
        <w:pStyle w:val="Style5"/>
        <w:widowControl/>
        <w:numPr>
          <w:ilvl w:val="1"/>
          <w:numId w:val="2"/>
        </w:numPr>
        <w:ind w:left="0" w:firstLine="0"/>
        <w:jc w:val="both"/>
        <w:rPr>
          <w:rFonts w:ascii="Times New Roman" w:hAnsi="Times New Roman" w:cs="Times New Roman"/>
          <w:sz w:val="28"/>
        </w:rPr>
      </w:pPr>
      <w:r w:rsidRPr="001D0653">
        <w:rPr>
          <w:rFonts w:ascii="Times New Roman" w:hAnsi="Times New Roman" w:cs="Times New Roman"/>
          <w:i/>
          <w:iCs/>
          <w:sz w:val="28"/>
        </w:rPr>
        <w:t xml:space="preserve">Pronunciamiento de la Jurisdicción Ordinaria Laboral. </w:t>
      </w:r>
      <w:r w:rsidRPr="001D0653">
        <w:rPr>
          <w:rFonts w:ascii="Times New Roman" w:hAnsi="Times New Roman" w:cs="Times New Roman"/>
          <w:sz w:val="28"/>
        </w:rPr>
        <w:t>Efectuado el segundo reparto, el Juzgado Treinta y Nueve Laboral del Circuito de Bogotá, a través de Auto del 22 de marzo de 2018, resolvió abstenerse de conocer la demanda, propuso conflicto negativo de competencias y remitió el expediente a la Sala Jurisdiccional Disciplinaria del Consejo Superior de la Judicatura. Manifestó que “si bien la prestación de los servicios de salud hace parte del Sistema Integral de Seguridad Social, no son del mismo resorte los conflictos económicos que se desprendan de tales servicios, los cuales, por tratarse del Estado (La Nación - Ministerio de Salud y Protección Social), se deben ventilar ante la Jurisdicción Contencioso Administrativa, en correspondencia a los factores subjetivo y objetivo de competencia (…)”</w:t>
      </w:r>
      <w:r w:rsidRPr="001D0653">
        <w:rPr>
          <w:rStyle w:val="Refdenotaalpie"/>
          <w:rFonts w:ascii="Times New Roman" w:hAnsi="Times New Roman" w:cs="Times New Roman"/>
          <w:sz w:val="28"/>
        </w:rPr>
        <w:footnoteReference w:id="5"/>
      </w:r>
      <w:r w:rsidRPr="001D0653">
        <w:rPr>
          <w:rFonts w:ascii="Times New Roman" w:hAnsi="Times New Roman" w:cs="Times New Roman"/>
          <w:sz w:val="28"/>
        </w:rPr>
        <w:t xml:space="preserve">. Como sustento de la decisión destacó el numeral 4 del artículo 2 del CPTSS, el artículo 104 del Código de Procedimiento Administrativo y de lo Contencioso Administrativo, </w:t>
      </w:r>
      <w:r w:rsidRPr="001D0653">
        <w:rPr>
          <w:rFonts w:ascii="Times New Roman" w:hAnsi="Times New Roman" w:cs="Times New Roman"/>
          <w:sz w:val="28"/>
        </w:rPr>
        <w:lastRenderedPageBreak/>
        <w:t>en adelante CPACA y jurisprudencia de la Corte Constitucional, del Consejo Superior de la Judicatura y del Consejo de Estado</w:t>
      </w:r>
      <w:r w:rsidRPr="001D0653">
        <w:rPr>
          <w:rStyle w:val="Refdenotaalpie"/>
          <w:rFonts w:ascii="Times New Roman" w:hAnsi="Times New Roman" w:cs="Times New Roman"/>
          <w:sz w:val="28"/>
        </w:rPr>
        <w:footnoteReference w:id="6"/>
      </w:r>
      <w:r w:rsidRPr="001D0653">
        <w:rPr>
          <w:rFonts w:ascii="Times New Roman" w:hAnsi="Times New Roman" w:cs="Times New Roman"/>
          <w:sz w:val="28"/>
        </w:rPr>
        <w:t xml:space="preserve">. </w:t>
      </w:r>
    </w:p>
    <w:p w14:paraId="1B74BDFC" w14:textId="77777777" w:rsidR="0025618E" w:rsidRPr="001D0653" w:rsidRDefault="00974F47" w:rsidP="00D93860">
      <w:pPr>
        <w:pStyle w:val="Style5"/>
        <w:widowControl/>
        <w:jc w:val="both"/>
        <w:rPr>
          <w:rFonts w:ascii="Times New Roman" w:hAnsi="Times New Roman" w:cs="Times New Roman"/>
          <w:sz w:val="28"/>
        </w:rPr>
      </w:pPr>
    </w:p>
    <w:p w14:paraId="68A922B8" w14:textId="77777777" w:rsidR="0025618E" w:rsidRPr="001D0653" w:rsidRDefault="001D0653" w:rsidP="00D93860">
      <w:pPr>
        <w:pStyle w:val="Style5"/>
        <w:widowControl/>
        <w:numPr>
          <w:ilvl w:val="1"/>
          <w:numId w:val="2"/>
        </w:numPr>
        <w:ind w:left="0" w:firstLine="0"/>
        <w:jc w:val="both"/>
        <w:rPr>
          <w:rFonts w:ascii="Times New Roman" w:hAnsi="Times New Roman" w:cs="Times New Roman"/>
          <w:sz w:val="28"/>
        </w:rPr>
      </w:pPr>
      <w:r w:rsidRPr="001D0653">
        <w:rPr>
          <w:rFonts w:ascii="Times New Roman" w:hAnsi="Times New Roman" w:cs="Times New Roman"/>
          <w:i/>
          <w:iCs/>
          <w:sz w:val="28"/>
        </w:rPr>
        <w:t>Decisión del Consejo Superior de la Judicatura - Sala Jurisdiccional Disciplinaria</w:t>
      </w:r>
      <w:r w:rsidRPr="001D0653">
        <w:rPr>
          <w:rFonts w:ascii="Times New Roman" w:hAnsi="Times New Roman" w:cs="Times New Roman"/>
          <w:sz w:val="28"/>
        </w:rPr>
        <w:t xml:space="preserve">. En Auto del 14 de junio de 2018, esa autoridad resolvió el conflicto en el sentido de asignar el conocimiento del asunto a la Jurisdicción Ordinaria, representada por el Juzgado Treinta y Nueve Laboral del Circuito de Bogotá. Adujo que, “es a la Jurisdicción ordinaria a quien le corresponde dirimir la presente Litis, toda vez que la controversia se suscitó entre una entidad prestadora del servicio de salud de carácter particular y una entidad pública, situación </w:t>
      </w:r>
      <w:proofErr w:type="gramStart"/>
      <w:r w:rsidRPr="001D0653">
        <w:rPr>
          <w:rFonts w:ascii="Times New Roman" w:hAnsi="Times New Roman" w:cs="Times New Roman"/>
          <w:sz w:val="28"/>
        </w:rPr>
        <w:t>que</w:t>
      </w:r>
      <w:proofErr w:type="gramEnd"/>
      <w:r w:rsidRPr="001D0653">
        <w:rPr>
          <w:rFonts w:ascii="Times New Roman" w:hAnsi="Times New Roman" w:cs="Times New Roman"/>
          <w:sz w:val="28"/>
        </w:rPr>
        <w:t xml:space="preserve"> sin lugar a dudas, se enmarca en lo normado y ya referido del numeral 4 del artículo 2 de la Ley 712 de 2001</w:t>
      </w:r>
      <w:r w:rsidRPr="001D0653">
        <w:rPr>
          <w:rStyle w:val="Refdenotaalpie"/>
          <w:rFonts w:ascii="Times New Roman" w:hAnsi="Times New Roman" w:cs="Times New Roman"/>
          <w:sz w:val="28"/>
        </w:rPr>
        <w:footnoteReference w:id="7"/>
      </w:r>
      <w:r w:rsidRPr="001D0653">
        <w:rPr>
          <w:rFonts w:ascii="Times New Roman" w:hAnsi="Times New Roman" w:cs="Times New Roman"/>
          <w:sz w:val="28"/>
        </w:rPr>
        <w:t xml:space="preserve"> (modificado por el artículo 622 de la Ley 1564 de 2012), pues dicha controversia es propia del Sistema de Seguridad Social Integral.”</w:t>
      </w:r>
      <w:r w:rsidRPr="001D0653">
        <w:rPr>
          <w:rStyle w:val="Refdenotaalpie"/>
          <w:rFonts w:ascii="Times New Roman" w:hAnsi="Times New Roman" w:cs="Times New Roman"/>
          <w:sz w:val="28"/>
        </w:rPr>
        <w:footnoteReference w:id="8"/>
      </w:r>
      <w:r w:rsidRPr="001D0653">
        <w:rPr>
          <w:rFonts w:ascii="Times New Roman" w:hAnsi="Times New Roman" w:cs="Times New Roman"/>
          <w:sz w:val="28"/>
        </w:rPr>
        <w:t>. De manera previa a la conclusión, destacó que (i) con la Ley 100 de 1993 se creó el Sistema de Seguridad Social Integral; (</w:t>
      </w:r>
      <w:proofErr w:type="spellStart"/>
      <w:r w:rsidRPr="001D0653">
        <w:rPr>
          <w:rFonts w:ascii="Times New Roman" w:hAnsi="Times New Roman" w:cs="Times New Roman"/>
          <w:sz w:val="28"/>
        </w:rPr>
        <w:t>ii</w:t>
      </w:r>
      <w:proofErr w:type="spellEnd"/>
      <w:r w:rsidRPr="001D0653">
        <w:rPr>
          <w:rFonts w:ascii="Times New Roman" w:hAnsi="Times New Roman" w:cs="Times New Roman"/>
          <w:sz w:val="28"/>
        </w:rPr>
        <w:t>) el artículo 48 de la Constitución Política consagró como derecho fundamental la garantía a todos los habitantes del derecho irrenunciable a la seguridad social; (</w:t>
      </w:r>
      <w:proofErr w:type="spellStart"/>
      <w:r w:rsidRPr="001D0653">
        <w:rPr>
          <w:rFonts w:ascii="Times New Roman" w:hAnsi="Times New Roman" w:cs="Times New Roman"/>
          <w:sz w:val="28"/>
        </w:rPr>
        <w:t>iii</w:t>
      </w:r>
      <w:proofErr w:type="spellEnd"/>
      <w:r w:rsidRPr="001D0653">
        <w:rPr>
          <w:rFonts w:ascii="Times New Roman" w:hAnsi="Times New Roman" w:cs="Times New Roman"/>
          <w:sz w:val="28"/>
        </w:rPr>
        <w:t>) la Seguridad Social Integral exige la existencia de un proceso especial y de una jurisdicción también especializada en orden a dirimir las controversias que se relacionen con la materia; y (</w:t>
      </w:r>
      <w:proofErr w:type="spellStart"/>
      <w:r w:rsidRPr="001D0653">
        <w:rPr>
          <w:rFonts w:ascii="Times New Roman" w:hAnsi="Times New Roman" w:cs="Times New Roman"/>
          <w:sz w:val="28"/>
        </w:rPr>
        <w:t>iv</w:t>
      </w:r>
      <w:proofErr w:type="spellEnd"/>
      <w:r w:rsidRPr="001D0653">
        <w:rPr>
          <w:rFonts w:ascii="Times New Roman" w:hAnsi="Times New Roman" w:cs="Times New Roman"/>
          <w:sz w:val="28"/>
        </w:rPr>
        <w:t>) las sentencias C-111 del 2000 y C-1027 del 2002, para destacar lo dicho por la Corte sobre el numeral 4 del artículo 2 del CPTSS</w:t>
      </w:r>
      <w:r w:rsidRPr="001D0653">
        <w:rPr>
          <w:rStyle w:val="Refdenotaalpie"/>
          <w:rFonts w:ascii="Times New Roman" w:hAnsi="Times New Roman" w:cs="Times New Roman"/>
          <w:sz w:val="28"/>
        </w:rPr>
        <w:footnoteReference w:id="9"/>
      </w:r>
      <w:r w:rsidRPr="001D0653">
        <w:rPr>
          <w:rFonts w:ascii="Times New Roman" w:hAnsi="Times New Roman" w:cs="Times New Roman"/>
          <w:sz w:val="28"/>
        </w:rPr>
        <w:t>.</w:t>
      </w:r>
    </w:p>
    <w:p w14:paraId="3BA5D332" w14:textId="77777777" w:rsidR="0025618E" w:rsidRPr="001D0653" w:rsidRDefault="00974F47" w:rsidP="00D93860">
      <w:pPr>
        <w:pStyle w:val="Style5"/>
        <w:widowControl/>
        <w:jc w:val="both"/>
        <w:rPr>
          <w:rFonts w:ascii="Times New Roman" w:hAnsi="Times New Roman" w:cs="Times New Roman"/>
          <w:sz w:val="28"/>
        </w:rPr>
      </w:pPr>
    </w:p>
    <w:p w14:paraId="63A403A6" w14:textId="77777777" w:rsidR="0025618E" w:rsidRPr="001D0653" w:rsidRDefault="001D0653" w:rsidP="00D93860">
      <w:pPr>
        <w:pStyle w:val="Style5"/>
        <w:widowControl/>
        <w:numPr>
          <w:ilvl w:val="1"/>
          <w:numId w:val="2"/>
        </w:numPr>
        <w:ind w:left="0" w:firstLine="0"/>
        <w:jc w:val="both"/>
        <w:rPr>
          <w:rFonts w:ascii="Times New Roman" w:hAnsi="Times New Roman" w:cs="Times New Roman"/>
          <w:sz w:val="28"/>
          <w:szCs w:val="23"/>
        </w:rPr>
      </w:pPr>
      <w:r w:rsidRPr="001D0653">
        <w:rPr>
          <w:rFonts w:ascii="Times New Roman" w:hAnsi="Times New Roman" w:cs="Times New Roman"/>
          <w:i/>
          <w:iCs/>
          <w:sz w:val="28"/>
        </w:rPr>
        <w:t xml:space="preserve">Segundo pronunciamiento del Juzgado Ordinario Laboral. </w:t>
      </w:r>
      <w:r w:rsidRPr="001D0653">
        <w:rPr>
          <w:rFonts w:ascii="Times New Roman" w:hAnsi="Times New Roman" w:cs="Times New Roman"/>
          <w:sz w:val="28"/>
        </w:rPr>
        <w:t xml:space="preserve">El 18 de diciembre de 2018, el Juzgado Treinta y Nueve Laboral del Circuito de </w:t>
      </w:r>
      <w:r w:rsidRPr="001D0653">
        <w:rPr>
          <w:rFonts w:ascii="Times New Roman" w:hAnsi="Times New Roman" w:cs="Times New Roman"/>
          <w:sz w:val="28"/>
        </w:rPr>
        <w:lastRenderedPageBreak/>
        <w:t xml:space="preserve">Bogotá admitió la demanda, ordenó notificar personalmente a la Nación – Ministerio de Salud y Protección Social, notificar a la Agencia Nacional de Defensa Jurídica del Estado y correr el respectivo traslado. Desarrolladas las etapas del proceso, en audiencia obligatoria de conciliación, decisión de excepciones previas, saneamiento y fijación del litigio, celebrada el 19 de febrero de 2024, el Juzgado teniendo en cuenta que, </w:t>
      </w:r>
      <w:r w:rsidRPr="001D0653">
        <w:rPr>
          <w:rFonts w:ascii="Times New Roman" w:hAnsi="Times New Roman" w:cs="Times New Roman"/>
          <w:sz w:val="28"/>
          <w:szCs w:val="23"/>
        </w:rPr>
        <w:t xml:space="preserve">las pretensiones de la demanda se encuentran orientadas al reconocimiento y pago de los costos y gastos que debió asumir la </w:t>
      </w:r>
      <w:r w:rsidRPr="001D0653">
        <w:rPr>
          <w:rFonts w:ascii="Times New Roman" w:hAnsi="Times New Roman" w:cs="Times New Roman"/>
          <w:bCs/>
          <w:sz w:val="28"/>
          <w:szCs w:val="23"/>
        </w:rPr>
        <w:t>EPS SOS</w:t>
      </w:r>
      <w:r w:rsidRPr="001D0653">
        <w:rPr>
          <w:rFonts w:ascii="Times New Roman" w:hAnsi="Times New Roman" w:cs="Times New Roman"/>
          <w:b/>
          <w:bCs/>
          <w:sz w:val="28"/>
          <w:szCs w:val="23"/>
        </w:rPr>
        <w:t xml:space="preserve"> </w:t>
      </w:r>
      <w:r w:rsidRPr="001D0653">
        <w:rPr>
          <w:rFonts w:ascii="Times New Roman" w:hAnsi="Times New Roman" w:cs="Times New Roman"/>
          <w:sz w:val="28"/>
          <w:szCs w:val="23"/>
        </w:rPr>
        <w:t xml:space="preserve">para atender las prestaciones no incluidas en el </w:t>
      </w:r>
      <w:r w:rsidRPr="001D0653">
        <w:rPr>
          <w:rFonts w:ascii="Times New Roman" w:hAnsi="Times New Roman" w:cs="Times New Roman"/>
          <w:bCs/>
          <w:sz w:val="28"/>
          <w:szCs w:val="23"/>
        </w:rPr>
        <w:t>POS</w:t>
      </w:r>
      <w:r w:rsidRPr="001D0653">
        <w:rPr>
          <w:rFonts w:ascii="Times New Roman" w:hAnsi="Times New Roman" w:cs="Times New Roman"/>
          <w:b/>
          <w:bCs/>
          <w:sz w:val="28"/>
          <w:szCs w:val="23"/>
        </w:rPr>
        <w:t xml:space="preserve"> </w:t>
      </w:r>
      <w:r w:rsidRPr="001D0653">
        <w:rPr>
          <w:rFonts w:ascii="Times New Roman" w:hAnsi="Times New Roman" w:cs="Times New Roman"/>
          <w:sz w:val="28"/>
          <w:szCs w:val="23"/>
        </w:rPr>
        <w:t xml:space="preserve">y para tramitar los consecuentes recobros, resolvió remitir el expediente a la Corte Constitucional para que estudie nuevamente el conflicto de competencia suscitado con el Tribunal Administrativo de Cundinamarca, Sección Tercera, Subsección A, bajo la perspectiva de lo que en realidad persigue el proceso, es decir, el reconocimiento y pago de los costos y gastos que debió asumir la </w:t>
      </w:r>
      <w:r w:rsidRPr="001D0653">
        <w:rPr>
          <w:rFonts w:ascii="Times New Roman" w:hAnsi="Times New Roman" w:cs="Times New Roman"/>
          <w:bCs/>
          <w:sz w:val="28"/>
          <w:szCs w:val="23"/>
        </w:rPr>
        <w:t xml:space="preserve">EPS SOS </w:t>
      </w:r>
      <w:r w:rsidRPr="001D0653">
        <w:rPr>
          <w:rFonts w:ascii="Times New Roman" w:hAnsi="Times New Roman" w:cs="Times New Roman"/>
          <w:sz w:val="28"/>
          <w:szCs w:val="23"/>
        </w:rPr>
        <w:t>para atender y cumplir las prestaciones no incluidas en el POS y para tramitar los consecuentes recobros</w:t>
      </w:r>
      <w:r w:rsidRPr="001D0653">
        <w:rPr>
          <w:rStyle w:val="Refdenotaalpie"/>
          <w:rFonts w:ascii="Times New Roman" w:hAnsi="Times New Roman" w:cs="Times New Roman"/>
          <w:sz w:val="28"/>
          <w:szCs w:val="23"/>
        </w:rPr>
        <w:footnoteReference w:id="10"/>
      </w:r>
      <w:r w:rsidRPr="001D0653">
        <w:rPr>
          <w:rFonts w:ascii="Times New Roman" w:hAnsi="Times New Roman" w:cs="Times New Roman"/>
          <w:sz w:val="28"/>
          <w:szCs w:val="23"/>
        </w:rPr>
        <w:t>. El 8 de marzo de 2024, el juzgado laboral remitió el expediente a la Secretaría de esta Corporación</w:t>
      </w:r>
      <w:r w:rsidRPr="001D0653">
        <w:rPr>
          <w:rStyle w:val="Refdenotaalpie"/>
          <w:rFonts w:ascii="Times New Roman" w:hAnsi="Times New Roman" w:cs="Times New Roman"/>
          <w:sz w:val="28"/>
          <w:szCs w:val="23"/>
        </w:rPr>
        <w:footnoteReference w:id="11"/>
      </w:r>
      <w:r w:rsidRPr="001D0653">
        <w:rPr>
          <w:rFonts w:ascii="Times New Roman" w:hAnsi="Times New Roman" w:cs="Times New Roman"/>
          <w:sz w:val="28"/>
          <w:szCs w:val="23"/>
        </w:rPr>
        <w:t>.</w:t>
      </w:r>
    </w:p>
    <w:p w14:paraId="262CD305" w14:textId="77777777" w:rsidR="00283CC6" w:rsidRPr="001D0653" w:rsidRDefault="00974F47" w:rsidP="00D93860">
      <w:pPr>
        <w:pStyle w:val="Style5"/>
        <w:widowControl/>
        <w:jc w:val="both"/>
        <w:rPr>
          <w:rFonts w:ascii="Times New Roman" w:hAnsi="Times New Roman" w:cs="Times New Roman"/>
          <w:sz w:val="28"/>
          <w:szCs w:val="23"/>
        </w:rPr>
      </w:pPr>
    </w:p>
    <w:p w14:paraId="20A826E2" w14:textId="77777777" w:rsidR="00DB1DCB" w:rsidRPr="001D0653" w:rsidRDefault="001D0653" w:rsidP="005C2025">
      <w:pPr>
        <w:pStyle w:val="Style5"/>
        <w:widowControl/>
        <w:numPr>
          <w:ilvl w:val="1"/>
          <w:numId w:val="2"/>
        </w:numPr>
        <w:ind w:left="0" w:firstLine="0"/>
        <w:jc w:val="both"/>
        <w:rPr>
          <w:rStyle w:val="FontStyle11"/>
          <w:b w:val="0"/>
          <w:bCs w:val="0"/>
          <w:sz w:val="28"/>
          <w:szCs w:val="24"/>
        </w:rPr>
      </w:pPr>
      <w:r w:rsidRPr="001D0653">
        <w:rPr>
          <w:rFonts w:ascii="Times New Roman" w:hAnsi="Times New Roman" w:cs="Times New Roman"/>
          <w:i/>
          <w:iCs/>
          <w:sz w:val="28"/>
          <w:szCs w:val="23"/>
        </w:rPr>
        <w:t xml:space="preserve">Reparto al despacho sustanciador. </w:t>
      </w:r>
      <w:r w:rsidRPr="001D0653">
        <w:rPr>
          <w:rStyle w:val="FontStyle11"/>
          <w:b w:val="0"/>
          <w:bCs w:val="0"/>
          <w:sz w:val="28"/>
          <w:szCs w:val="24"/>
        </w:rPr>
        <w:t>En sesión virtual del 5 de abril de 2024, el asunto fue repartido a la Magistrada ponente; y el 9 de abril siguiente, el expediente digital respectivo fue enviado al despacho sustanciador, a través del Sistema de Información Integrado de la Corte Constitucional, SIICOR</w:t>
      </w:r>
      <w:r w:rsidRPr="001D0653">
        <w:rPr>
          <w:rStyle w:val="Refdenotaalpie"/>
          <w:rFonts w:ascii="Times New Roman" w:hAnsi="Times New Roman" w:cs="Times New Roman"/>
          <w:sz w:val="28"/>
        </w:rPr>
        <w:footnoteReference w:id="12"/>
      </w:r>
      <w:r w:rsidRPr="001D0653">
        <w:rPr>
          <w:rStyle w:val="FontStyle11"/>
          <w:b w:val="0"/>
          <w:bCs w:val="0"/>
          <w:sz w:val="28"/>
          <w:szCs w:val="24"/>
        </w:rPr>
        <w:t>.</w:t>
      </w:r>
    </w:p>
    <w:p w14:paraId="6DE86B30" w14:textId="77777777" w:rsidR="00DB1DCB" w:rsidRPr="001D0653" w:rsidRDefault="001D0653" w:rsidP="005C2025">
      <w:pPr>
        <w:pStyle w:val="Ttulo1"/>
        <w:numPr>
          <w:ilvl w:val="0"/>
          <w:numId w:val="2"/>
        </w:numPr>
        <w:ind w:left="0" w:firstLine="0"/>
        <w:rPr>
          <w:rStyle w:val="FontStyle11"/>
          <w:color w:val="000000" w:themeColor="text1"/>
          <w:sz w:val="28"/>
          <w:szCs w:val="24"/>
          <w:lang w:val="es-ES_tradnl" w:eastAsia="es-ES_tradnl"/>
        </w:rPr>
      </w:pPr>
      <w:r w:rsidRPr="001D0653">
        <w:rPr>
          <w:rStyle w:val="FontStyle11"/>
          <w:color w:val="000000" w:themeColor="text1"/>
          <w:sz w:val="28"/>
          <w:szCs w:val="24"/>
          <w:lang w:val="es-ES_tradnl" w:eastAsia="es-ES_tradnl"/>
        </w:rPr>
        <w:t>CONSIDERACIONES</w:t>
      </w:r>
    </w:p>
    <w:p w14:paraId="08650E65" w14:textId="77777777" w:rsidR="00DB1DCB" w:rsidRPr="001D0653" w:rsidRDefault="00974F47" w:rsidP="00DB1DCB">
      <w:pPr>
        <w:pStyle w:val="Prrafodelista"/>
        <w:rPr>
          <w:rFonts w:ascii="Times New Roman" w:hAnsi="Times New Roman" w:cs="Times New Roman"/>
          <w:i/>
          <w:iCs/>
          <w:sz w:val="28"/>
        </w:rPr>
      </w:pPr>
    </w:p>
    <w:p w14:paraId="27E5F935" w14:textId="77777777" w:rsidR="00904205" w:rsidRPr="001D0653" w:rsidRDefault="001D0653" w:rsidP="00904205">
      <w:pPr>
        <w:pStyle w:val="Style5"/>
        <w:widowControl/>
        <w:numPr>
          <w:ilvl w:val="0"/>
          <w:numId w:val="3"/>
        </w:numPr>
        <w:ind w:left="0" w:firstLine="0"/>
        <w:jc w:val="both"/>
        <w:rPr>
          <w:rFonts w:ascii="Times New Roman" w:hAnsi="Times New Roman" w:cs="Times New Roman"/>
          <w:sz w:val="28"/>
        </w:rPr>
      </w:pPr>
      <w:r w:rsidRPr="001D0653">
        <w:rPr>
          <w:rFonts w:ascii="Times New Roman" w:hAnsi="Times New Roman" w:cs="Times New Roman"/>
          <w:i/>
          <w:iCs/>
          <w:sz w:val="28"/>
        </w:rPr>
        <w:t xml:space="preserve">Competencia. </w:t>
      </w:r>
      <w:r w:rsidRPr="001D0653">
        <w:rPr>
          <w:rFonts w:ascii="Times New Roman" w:hAnsi="Times New Roman" w:cs="Times New Roman"/>
          <w:sz w:val="28"/>
        </w:rPr>
        <w:t>La Corte Constitucional es competente para conocer de los conflictos de competencia que se susciten entre las distintas jurisdicciones de acuerdo con el numeral 11 del artículo 241 de la Constitución Política, modificado por el artículo 14 del Acto Legislativo 02 de 2015</w:t>
      </w:r>
      <w:r w:rsidRPr="001D0653">
        <w:rPr>
          <w:rStyle w:val="Refdenotaalpie"/>
          <w:rFonts w:ascii="Times New Roman" w:hAnsi="Times New Roman" w:cs="Times New Roman"/>
          <w:sz w:val="28"/>
        </w:rPr>
        <w:footnoteReference w:id="13"/>
      </w:r>
      <w:r w:rsidRPr="001D0653">
        <w:rPr>
          <w:rFonts w:ascii="Times New Roman" w:hAnsi="Times New Roman" w:cs="Times New Roman"/>
          <w:sz w:val="28"/>
        </w:rPr>
        <w:t>.</w:t>
      </w:r>
    </w:p>
    <w:p w14:paraId="3C9628CA" w14:textId="77777777" w:rsidR="008F7F7B" w:rsidRPr="001D0653" w:rsidRDefault="00974F47" w:rsidP="00D93860">
      <w:pPr>
        <w:pStyle w:val="Style5"/>
        <w:widowControl/>
        <w:jc w:val="both"/>
        <w:rPr>
          <w:rFonts w:ascii="Times New Roman" w:hAnsi="Times New Roman" w:cs="Times New Roman"/>
          <w:bCs/>
          <w:sz w:val="28"/>
          <w:lang w:eastAsia="es-ES_tradnl"/>
        </w:rPr>
      </w:pPr>
    </w:p>
    <w:p w14:paraId="67A7B29C" w14:textId="77777777" w:rsidR="009D1BFC" w:rsidRPr="001D0653" w:rsidRDefault="001D0653" w:rsidP="008868D3">
      <w:pPr>
        <w:pStyle w:val="Style5"/>
        <w:widowControl/>
        <w:numPr>
          <w:ilvl w:val="0"/>
          <w:numId w:val="4"/>
        </w:numPr>
        <w:ind w:left="0" w:firstLine="0"/>
        <w:jc w:val="both"/>
        <w:rPr>
          <w:rFonts w:ascii="Times New Roman" w:hAnsi="Times New Roman" w:cs="Times New Roman"/>
          <w:sz w:val="28"/>
        </w:rPr>
      </w:pPr>
      <w:r w:rsidRPr="001D0653">
        <w:rPr>
          <w:rFonts w:ascii="Times New Roman" w:hAnsi="Times New Roman" w:cs="Times New Roman"/>
          <w:bCs/>
          <w:i/>
          <w:iCs/>
          <w:sz w:val="28"/>
          <w:lang w:eastAsia="es-ES_tradnl"/>
        </w:rPr>
        <w:t>Inexistencia de un conflicto de jurisdicciones por resolver</w:t>
      </w:r>
      <w:r w:rsidRPr="001D0653">
        <w:rPr>
          <w:rFonts w:ascii="Times New Roman" w:hAnsi="Times New Roman" w:cs="Times New Roman"/>
          <w:bCs/>
          <w:sz w:val="28"/>
          <w:lang w:eastAsia="es-ES_tradnl"/>
        </w:rPr>
        <w:t xml:space="preserve">. En el presente asunto, como fue ilustrado en los antecedentes de esta providencia, mediante Auto del 14 de junio de 2018, el </w:t>
      </w:r>
      <w:r w:rsidRPr="001D0653">
        <w:rPr>
          <w:rFonts w:ascii="Times New Roman" w:hAnsi="Times New Roman" w:cs="Times New Roman"/>
          <w:sz w:val="28"/>
        </w:rPr>
        <w:t xml:space="preserve">Consejo Superior de la Judicatura - Sala Jurisdiccional Disciplinaria asignó la competencia para conocer de la demanda de la EPS SOS contra la Nación - Ministerio de Salud y Protección Social, a la Jurisdicción Ordinaria, representada por el Juzgado Treinta y Nueve Laboral del Circuito de Bogotá. En virtud de lo anterior, la Corte Constitucional constata la configuración del fenómeno de cosa juzgada en lo referente a la determinación de la jurisdicción competente para analizar la pretensión de la demanda, como pasa a exponerse. </w:t>
      </w:r>
    </w:p>
    <w:p w14:paraId="277BF3B9" w14:textId="77777777" w:rsidR="009D1BFC" w:rsidRPr="001D0653" w:rsidRDefault="00974F47" w:rsidP="00D93860">
      <w:pPr>
        <w:pStyle w:val="Style5"/>
        <w:jc w:val="both"/>
        <w:rPr>
          <w:rFonts w:ascii="Times New Roman" w:hAnsi="Times New Roman" w:cs="Times New Roman"/>
          <w:sz w:val="28"/>
        </w:rPr>
      </w:pPr>
    </w:p>
    <w:p w14:paraId="5941CD02" w14:textId="77777777" w:rsidR="002D4A21" w:rsidRPr="001D0653" w:rsidRDefault="001D0653" w:rsidP="002D4A21">
      <w:pPr>
        <w:pStyle w:val="Style5"/>
        <w:numPr>
          <w:ilvl w:val="0"/>
          <w:numId w:val="4"/>
        </w:numPr>
        <w:ind w:left="0" w:firstLine="0"/>
        <w:jc w:val="both"/>
        <w:rPr>
          <w:rFonts w:ascii="Times New Roman" w:hAnsi="Times New Roman" w:cs="Times New Roman"/>
          <w:sz w:val="28"/>
        </w:rPr>
      </w:pPr>
      <w:r w:rsidRPr="001D0653">
        <w:rPr>
          <w:rFonts w:ascii="Times New Roman" w:hAnsi="Times New Roman" w:cs="Times New Roman"/>
          <w:i/>
          <w:iCs/>
          <w:sz w:val="28"/>
        </w:rPr>
        <w:t>Cosa juzgada</w:t>
      </w:r>
      <w:r w:rsidRPr="001D0653">
        <w:rPr>
          <w:rFonts w:ascii="Times New Roman" w:hAnsi="Times New Roman" w:cs="Times New Roman"/>
          <w:sz w:val="28"/>
        </w:rPr>
        <w:t>. Es una institución que impide que asuntos ya decididos vuelvan a ser presentados en sede jurisdiccional, con el fin de garantizar seguridad jurídica y confianza legítima por parte de los ciudadanos. La cosa juzgada tiene una función negativa, evitando que se vuelva a decidir sobre lo ya resuelto, y una función positiva, brindando seguridad a las relaciones jurídicas</w:t>
      </w:r>
      <w:r w:rsidRPr="001D0653">
        <w:rPr>
          <w:rStyle w:val="Refdenotaalpie"/>
          <w:rFonts w:ascii="Times New Roman" w:hAnsi="Times New Roman" w:cs="Times New Roman"/>
          <w:sz w:val="28"/>
        </w:rPr>
        <w:footnoteReference w:id="14"/>
      </w:r>
      <w:r w:rsidRPr="001D0653">
        <w:rPr>
          <w:rFonts w:ascii="Times New Roman" w:hAnsi="Times New Roman" w:cs="Times New Roman"/>
          <w:sz w:val="28"/>
        </w:rPr>
        <w:t>. Se aplica cuando hay identidad de objeto, causa y partes entre procesos</w:t>
      </w:r>
      <w:r w:rsidRPr="001D0653">
        <w:rPr>
          <w:rStyle w:val="Refdenotaalpie"/>
          <w:rFonts w:ascii="Times New Roman" w:hAnsi="Times New Roman" w:cs="Times New Roman"/>
          <w:sz w:val="28"/>
        </w:rPr>
        <w:footnoteReference w:id="15"/>
      </w:r>
      <w:r w:rsidRPr="001D0653">
        <w:rPr>
          <w:rFonts w:ascii="Times New Roman" w:hAnsi="Times New Roman" w:cs="Times New Roman"/>
          <w:sz w:val="28"/>
        </w:rPr>
        <w:t>. En específico sobre las decisiones del Consejo Superior de la Judicatura previas a que la Corte Constitucional asumiera la competencia para dirimir conflictos de jurisdicción, la Sala Plena ha señalado que son intangibles. Así, si una providencia judicial se encuentra en firme, produce el efecto de cosa juzgada, bien porque no contempla ningún tipo de recurso, o bien porque no se recurrió en su momento”</w:t>
      </w:r>
      <w:r w:rsidRPr="001D0653">
        <w:rPr>
          <w:rStyle w:val="Refdenotaalpie"/>
          <w:rFonts w:ascii="Times New Roman" w:hAnsi="Times New Roman" w:cs="Times New Roman"/>
          <w:sz w:val="28"/>
        </w:rPr>
        <w:footnoteReference w:id="16"/>
      </w:r>
      <w:r w:rsidRPr="001D0653">
        <w:rPr>
          <w:rStyle w:val="Refdenotaalpie"/>
          <w:rFonts w:ascii="Times New Roman" w:hAnsi="Times New Roman" w:cs="Times New Roman"/>
          <w:sz w:val="28"/>
        </w:rPr>
        <w:footnoteReference w:id="17"/>
      </w:r>
      <w:r w:rsidRPr="001D0653">
        <w:rPr>
          <w:rFonts w:ascii="Times New Roman" w:hAnsi="Times New Roman" w:cs="Times New Roman"/>
          <w:sz w:val="28"/>
        </w:rPr>
        <w:t>.</w:t>
      </w:r>
    </w:p>
    <w:p w14:paraId="4C62A689" w14:textId="77777777" w:rsidR="009D1BFC" w:rsidRPr="001D0653" w:rsidRDefault="00974F47" w:rsidP="00D93860">
      <w:pPr>
        <w:pStyle w:val="Style5"/>
        <w:jc w:val="both"/>
        <w:rPr>
          <w:rFonts w:ascii="Times New Roman" w:hAnsi="Times New Roman" w:cs="Times New Roman"/>
          <w:sz w:val="28"/>
        </w:rPr>
      </w:pPr>
    </w:p>
    <w:p w14:paraId="7F9BA351" w14:textId="77777777" w:rsidR="00E549F3" w:rsidRPr="001D0653" w:rsidRDefault="001D0653" w:rsidP="00D93860">
      <w:pPr>
        <w:pStyle w:val="Style5"/>
        <w:widowControl/>
        <w:numPr>
          <w:ilvl w:val="0"/>
          <w:numId w:val="4"/>
        </w:numPr>
        <w:ind w:left="0" w:firstLine="0"/>
        <w:jc w:val="both"/>
        <w:rPr>
          <w:rFonts w:ascii="Times New Roman" w:hAnsi="Times New Roman" w:cs="Times New Roman"/>
          <w:sz w:val="28"/>
        </w:rPr>
      </w:pPr>
      <w:r w:rsidRPr="001D0653">
        <w:rPr>
          <w:rFonts w:ascii="Times New Roman" w:hAnsi="Times New Roman" w:cs="Times New Roman"/>
          <w:i/>
          <w:iCs/>
          <w:sz w:val="28"/>
        </w:rPr>
        <w:lastRenderedPageBreak/>
        <w:t>En el presente caso se configuró el fenómeno de la cosa juzgada</w:t>
      </w:r>
      <w:r w:rsidRPr="001D0653">
        <w:rPr>
          <w:rFonts w:ascii="Times New Roman" w:hAnsi="Times New Roman" w:cs="Times New Roman"/>
          <w:sz w:val="28"/>
        </w:rPr>
        <w:t>. En este caso, debe resolverse estarse a lo resuelto en el Auto del 14 de junio del 2018 del Consejo Superior de la Judicatura, Sala Jurisdiccional Disciplinaria, pues se cumplen los criterios para que se configure la cosa juzgada:</w:t>
      </w:r>
    </w:p>
    <w:p w14:paraId="10D55A8E" w14:textId="77777777" w:rsidR="00DA5401" w:rsidRPr="001D0653" w:rsidRDefault="00974F47" w:rsidP="00DA5401">
      <w:pPr>
        <w:pStyle w:val="Style5"/>
        <w:widowControl/>
        <w:jc w:val="both"/>
        <w:rPr>
          <w:rFonts w:ascii="Times New Roman" w:hAnsi="Times New Roman" w:cs="Times New Roman"/>
          <w:sz w:val="28"/>
        </w:rPr>
      </w:pPr>
    </w:p>
    <w:tbl>
      <w:tblPr>
        <w:tblStyle w:val="Tablaconcuadrcula"/>
        <w:tblW w:w="0" w:type="auto"/>
        <w:tblLook w:val="04A0" w:firstRow="1" w:lastRow="0" w:firstColumn="1" w:lastColumn="0" w:noHBand="0" w:noVBand="1"/>
      </w:tblPr>
      <w:tblGrid>
        <w:gridCol w:w="1383"/>
        <w:gridCol w:w="7445"/>
      </w:tblGrid>
      <w:tr w:rsidR="006A0572" w:rsidRPr="001D0653" w14:paraId="71194C52" w14:textId="77777777" w:rsidTr="008868D3">
        <w:trPr>
          <w:tblHeader/>
        </w:trPr>
        <w:tc>
          <w:tcPr>
            <w:tcW w:w="1413" w:type="dxa"/>
            <w:shd w:val="clear" w:color="auto" w:fill="1F3864" w:themeFill="accent5" w:themeFillShade="80"/>
          </w:tcPr>
          <w:p w14:paraId="63FFC470" w14:textId="77777777" w:rsidR="006A0572" w:rsidRPr="001D0653" w:rsidRDefault="001D0653" w:rsidP="000A383B">
            <w:pPr>
              <w:pStyle w:val="Style5"/>
              <w:widowControl/>
              <w:jc w:val="center"/>
              <w:rPr>
                <w:rFonts w:ascii="Times New Roman" w:hAnsi="Times New Roman" w:cs="Times New Roman"/>
                <w:sz w:val="28"/>
              </w:rPr>
            </w:pPr>
            <w:r w:rsidRPr="001D0653">
              <w:rPr>
                <w:rFonts w:ascii="Times New Roman" w:hAnsi="Times New Roman" w:cs="Times New Roman"/>
                <w:sz w:val="28"/>
              </w:rPr>
              <w:t>Criterio</w:t>
            </w:r>
          </w:p>
        </w:tc>
        <w:tc>
          <w:tcPr>
            <w:tcW w:w="7983" w:type="dxa"/>
            <w:shd w:val="clear" w:color="auto" w:fill="1F3864" w:themeFill="accent5" w:themeFillShade="80"/>
          </w:tcPr>
          <w:p w14:paraId="661FE822" w14:textId="77777777" w:rsidR="006A0572" w:rsidRPr="001D0653" w:rsidRDefault="001D0653" w:rsidP="008868D3">
            <w:pPr>
              <w:pStyle w:val="Style5"/>
              <w:widowControl/>
              <w:jc w:val="center"/>
              <w:rPr>
                <w:rFonts w:ascii="Times New Roman" w:hAnsi="Times New Roman" w:cs="Times New Roman"/>
                <w:sz w:val="28"/>
              </w:rPr>
            </w:pPr>
            <w:r w:rsidRPr="001D0653">
              <w:rPr>
                <w:rFonts w:ascii="Times New Roman" w:hAnsi="Times New Roman" w:cs="Times New Roman"/>
                <w:sz w:val="28"/>
              </w:rPr>
              <w:t>Análisis</w:t>
            </w:r>
          </w:p>
        </w:tc>
      </w:tr>
      <w:tr w:rsidR="006A0572" w:rsidRPr="001D0653" w14:paraId="21A877B4" w14:textId="77777777" w:rsidTr="008868D3">
        <w:tc>
          <w:tcPr>
            <w:tcW w:w="1413" w:type="dxa"/>
          </w:tcPr>
          <w:p w14:paraId="7291DC2C" w14:textId="77777777" w:rsidR="006A0572" w:rsidRPr="001D0653" w:rsidRDefault="001D0653" w:rsidP="000A383B">
            <w:pPr>
              <w:pStyle w:val="Style5"/>
              <w:widowControl/>
              <w:jc w:val="center"/>
              <w:rPr>
                <w:rFonts w:ascii="Times New Roman" w:hAnsi="Times New Roman" w:cs="Times New Roman"/>
                <w:sz w:val="28"/>
              </w:rPr>
            </w:pPr>
            <w:r w:rsidRPr="001D0653">
              <w:rPr>
                <w:rFonts w:ascii="Times New Roman" w:hAnsi="Times New Roman" w:cs="Times New Roman"/>
                <w:sz w:val="28"/>
              </w:rPr>
              <w:t>Objeto</w:t>
            </w:r>
          </w:p>
        </w:tc>
        <w:tc>
          <w:tcPr>
            <w:tcW w:w="7983" w:type="dxa"/>
          </w:tcPr>
          <w:p w14:paraId="60B883E3" w14:textId="77777777" w:rsidR="006A0572" w:rsidRPr="001D0653" w:rsidRDefault="001D0653" w:rsidP="00DA5401">
            <w:pPr>
              <w:pStyle w:val="Style5"/>
              <w:widowControl/>
              <w:jc w:val="both"/>
              <w:rPr>
                <w:rFonts w:ascii="Times New Roman" w:hAnsi="Times New Roman" w:cs="Times New Roman"/>
                <w:sz w:val="28"/>
              </w:rPr>
            </w:pPr>
            <w:r w:rsidRPr="001D0653">
              <w:rPr>
                <w:rFonts w:ascii="Times New Roman" w:hAnsi="Times New Roman" w:cs="Times New Roman"/>
                <w:b/>
                <w:bCs/>
                <w:sz w:val="28"/>
              </w:rPr>
              <w:t>Se cumple</w:t>
            </w:r>
            <w:r w:rsidRPr="001D0653">
              <w:rPr>
                <w:rFonts w:ascii="Times New Roman" w:hAnsi="Times New Roman" w:cs="Times New Roman"/>
                <w:sz w:val="28"/>
              </w:rPr>
              <w:t>. E</w:t>
            </w:r>
            <w:r w:rsidRPr="001D0653">
              <w:rPr>
                <w:rFonts w:ascii="Times New Roman" w:hAnsi="Times New Roman" w:cs="Times New Roman"/>
                <w:bCs/>
                <w:sz w:val="28"/>
                <w:lang w:eastAsia="es-ES_tradnl"/>
              </w:rPr>
              <w:t xml:space="preserve">l proceso judicial en el que surgió la presente controversia es el mismo que aquel respecto del cual se pronunció el Consejo Superior de la Judicatura, </w:t>
            </w:r>
            <w:r w:rsidRPr="001D0653">
              <w:rPr>
                <w:rFonts w:ascii="Times New Roman" w:hAnsi="Times New Roman" w:cs="Times New Roman"/>
                <w:sz w:val="28"/>
              </w:rPr>
              <w:t>Sala Jurisdiccional Disciplinaria</w:t>
            </w:r>
            <w:r w:rsidRPr="001D0653">
              <w:rPr>
                <w:rFonts w:ascii="Times New Roman" w:hAnsi="Times New Roman" w:cs="Times New Roman"/>
                <w:bCs/>
                <w:sz w:val="28"/>
                <w:lang w:eastAsia="es-ES_tradnl"/>
              </w:rPr>
              <w:t xml:space="preserve">, en el Auto del 14 de junio de 2018. Esto es, la demanda presentada por la EPS SOS contra el Ministerio de Salud y Protección Social, con el propósito de que se reconozca y pague a su favor valores correspondientes a </w:t>
            </w:r>
            <w:r w:rsidRPr="001D0653">
              <w:rPr>
                <w:rStyle w:val="FontStyle11"/>
                <w:b w:val="0"/>
                <w:sz w:val="28"/>
                <w:szCs w:val="22"/>
                <w:lang w:val="es-ES_tradnl" w:eastAsia="es-ES_tradnl"/>
              </w:rPr>
              <w:t>costos y gastos asociados a las prestaciones en salud no incluidas en el POS, entre los años 2011 y 2015.</w:t>
            </w:r>
          </w:p>
        </w:tc>
      </w:tr>
      <w:tr w:rsidR="006A0572" w:rsidRPr="001D0653" w14:paraId="5AF07C9C" w14:textId="77777777" w:rsidTr="008868D3">
        <w:tc>
          <w:tcPr>
            <w:tcW w:w="1413" w:type="dxa"/>
          </w:tcPr>
          <w:p w14:paraId="5704FEDE" w14:textId="77777777" w:rsidR="006A0572" w:rsidRPr="001D0653" w:rsidRDefault="001D0653" w:rsidP="000A383B">
            <w:pPr>
              <w:pStyle w:val="Style5"/>
              <w:widowControl/>
              <w:jc w:val="center"/>
              <w:rPr>
                <w:rFonts w:ascii="Times New Roman" w:hAnsi="Times New Roman" w:cs="Times New Roman"/>
                <w:sz w:val="28"/>
              </w:rPr>
            </w:pPr>
            <w:r w:rsidRPr="001D0653">
              <w:rPr>
                <w:rFonts w:ascii="Times New Roman" w:hAnsi="Times New Roman" w:cs="Times New Roman"/>
                <w:sz w:val="28"/>
              </w:rPr>
              <w:t>Causa</w:t>
            </w:r>
          </w:p>
        </w:tc>
        <w:tc>
          <w:tcPr>
            <w:tcW w:w="7983" w:type="dxa"/>
          </w:tcPr>
          <w:p w14:paraId="75B2799D" w14:textId="77777777" w:rsidR="006A0572" w:rsidRPr="001D0653" w:rsidRDefault="001D0653" w:rsidP="008868D3">
            <w:pPr>
              <w:pStyle w:val="Style5"/>
              <w:jc w:val="both"/>
              <w:rPr>
                <w:rFonts w:ascii="Times New Roman" w:hAnsi="Times New Roman" w:cs="Times New Roman"/>
                <w:sz w:val="28"/>
              </w:rPr>
            </w:pPr>
            <w:r w:rsidRPr="001D0653">
              <w:rPr>
                <w:rFonts w:ascii="Times New Roman" w:hAnsi="Times New Roman" w:cs="Times New Roman"/>
                <w:b/>
                <w:sz w:val="28"/>
                <w:lang w:eastAsia="es-ES_tradnl"/>
              </w:rPr>
              <w:t xml:space="preserve">Se cumple. </w:t>
            </w:r>
            <w:r w:rsidRPr="001D0653">
              <w:rPr>
                <w:rFonts w:ascii="Times New Roman" w:hAnsi="Times New Roman" w:cs="Times New Roman"/>
                <w:bCs/>
                <w:sz w:val="28"/>
                <w:lang w:eastAsia="es-ES_tradnl"/>
              </w:rPr>
              <w:t>Persisten los fundamentos y hechos que dieron lugar al conflicto negativo de jurisdicciones, según lo expuesto en los antecedentes de esta providencia. Al respecto, vale la pena señalar que, aunque el Juzgado Treinta y Nueve Laboral del Circuito de Bogotá manifiesta que el Consejo Superior de la Judicatura dirimió la controversia bajo la óptima de un proceso que pretende el pago de recobros, lo cierto es que, en el auto del 14 de junio de 2018, también se tuvo en cuenta que las pretensiones de la demanda apuntan el reconocimiento de perjuicios irrogados con ocasión al daño antijurídico derivado del no reconocimiento y pago de las sumas asumidas por la EPS SOS.</w:t>
            </w:r>
          </w:p>
        </w:tc>
      </w:tr>
      <w:tr w:rsidR="006A0572" w:rsidRPr="001D0653" w14:paraId="50B3E1CE" w14:textId="77777777" w:rsidTr="008868D3">
        <w:tc>
          <w:tcPr>
            <w:tcW w:w="1413" w:type="dxa"/>
          </w:tcPr>
          <w:p w14:paraId="56E9612F" w14:textId="77777777" w:rsidR="006A0572" w:rsidRPr="001D0653" w:rsidRDefault="001D0653" w:rsidP="000A383B">
            <w:pPr>
              <w:pStyle w:val="Style5"/>
              <w:widowControl/>
              <w:jc w:val="center"/>
              <w:rPr>
                <w:rFonts w:ascii="Times New Roman" w:hAnsi="Times New Roman" w:cs="Times New Roman"/>
                <w:sz w:val="28"/>
              </w:rPr>
            </w:pPr>
            <w:r w:rsidRPr="001D0653">
              <w:rPr>
                <w:rFonts w:ascii="Times New Roman" w:hAnsi="Times New Roman" w:cs="Times New Roman"/>
                <w:sz w:val="28"/>
              </w:rPr>
              <w:t>Partes</w:t>
            </w:r>
          </w:p>
        </w:tc>
        <w:tc>
          <w:tcPr>
            <w:tcW w:w="7983" w:type="dxa"/>
          </w:tcPr>
          <w:p w14:paraId="52423339" w14:textId="77777777" w:rsidR="006A0572" w:rsidRPr="001D0653" w:rsidRDefault="001D0653" w:rsidP="008868D3">
            <w:pPr>
              <w:pStyle w:val="Style5"/>
              <w:jc w:val="both"/>
              <w:rPr>
                <w:rFonts w:ascii="Times New Roman" w:hAnsi="Times New Roman" w:cs="Times New Roman"/>
                <w:bCs/>
                <w:sz w:val="28"/>
                <w:lang w:eastAsia="es-ES_tradnl"/>
              </w:rPr>
            </w:pPr>
            <w:r w:rsidRPr="001D0653">
              <w:rPr>
                <w:rFonts w:ascii="Times New Roman" w:hAnsi="Times New Roman" w:cs="Times New Roman"/>
                <w:b/>
                <w:bCs/>
                <w:sz w:val="28"/>
              </w:rPr>
              <w:t>Se cumple</w:t>
            </w:r>
            <w:r w:rsidRPr="001D0653">
              <w:rPr>
                <w:rFonts w:ascii="Times New Roman" w:hAnsi="Times New Roman" w:cs="Times New Roman"/>
                <w:sz w:val="28"/>
              </w:rPr>
              <w:t xml:space="preserve">. </w:t>
            </w:r>
            <w:r w:rsidRPr="001D0653">
              <w:rPr>
                <w:rFonts w:ascii="Times New Roman" w:hAnsi="Times New Roman" w:cs="Times New Roman"/>
                <w:bCs/>
                <w:sz w:val="28"/>
                <w:lang w:eastAsia="es-ES_tradnl"/>
              </w:rPr>
              <w:t>Las autoridades judiciales involucradas son las mismas, pues el presunto conflicto en su segunda oportunidad fue originado por el Juzgado Treinta y Nueve Laboral del Circuito de Bogotá, a quien ya se le había asignado la competencia, y el Tribunal Administrativo de Cundinamarca, Sección Tercera, Subsección A, autoridad de la jurisdicción de lo Contencioso Administrativo con la que el juzgado laboral consideró que existe tensión.</w:t>
            </w:r>
          </w:p>
        </w:tc>
      </w:tr>
    </w:tbl>
    <w:p w14:paraId="1FEA7C59" w14:textId="77777777" w:rsidR="00E24996" w:rsidRPr="001D0653" w:rsidRDefault="001D0653" w:rsidP="001E03C9">
      <w:pPr>
        <w:pStyle w:val="Style5"/>
        <w:widowControl/>
        <w:jc w:val="both"/>
        <w:rPr>
          <w:rFonts w:ascii="Times New Roman" w:hAnsi="Times New Roman" w:cs="Times New Roman"/>
          <w:i/>
          <w:iCs/>
          <w:sz w:val="28"/>
          <w:szCs w:val="18"/>
        </w:rPr>
      </w:pPr>
      <w:r w:rsidRPr="001D0653">
        <w:rPr>
          <w:rFonts w:ascii="Times New Roman" w:hAnsi="Times New Roman" w:cs="Times New Roman"/>
          <w:i/>
          <w:iCs/>
          <w:sz w:val="28"/>
          <w:szCs w:val="18"/>
        </w:rPr>
        <w:t>Cuadro único. Análisis sobre la cosa juzgada.</w:t>
      </w:r>
    </w:p>
    <w:p w14:paraId="01B11403" w14:textId="77777777" w:rsidR="004E6491" w:rsidRPr="001D0653" w:rsidRDefault="001D0653" w:rsidP="005C2025">
      <w:pPr>
        <w:pStyle w:val="Ttulo1"/>
        <w:numPr>
          <w:ilvl w:val="0"/>
          <w:numId w:val="2"/>
        </w:numPr>
        <w:ind w:left="0" w:firstLine="0"/>
        <w:rPr>
          <w:rStyle w:val="FontStyle11"/>
          <w:color w:val="000000" w:themeColor="text1"/>
          <w:sz w:val="28"/>
          <w:szCs w:val="28"/>
          <w:lang w:val="es-ES_tradnl" w:eastAsia="es-ES_tradnl"/>
        </w:rPr>
      </w:pPr>
      <w:r w:rsidRPr="001D0653">
        <w:rPr>
          <w:rStyle w:val="FontStyle11"/>
          <w:color w:val="000000" w:themeColor="text1"/>
          <w:sz w:val="28"/>
          <w:szCs w:val="28"/>
          <w:lang w:val="es-ES_tradnl" w:eastAsia="es-ES_tradnl"/>
        </w:rPr>
        <w:lastRenderedPageBreak/>
        <w:t>DECISIÓN</w:t>
      </w:r>
    </w:p>
    <w:p w14:paraId="01597AFB" w14:textId="77777777" w:rsidR="001E03C9" w:rsidRPr="001D0653" w:rsidRDefault="00974F47" w:rsidP="00FE5218">
      <w:pPr>
        <w:pStyle w:val="Style5"/>
        <w:widowControl/>
        <w:rPr>
          <w:rFonts w:ascii="Times New Roman" w:eastAsiaTheme="minorHAnsi" w:hAnsi="Times New Roman" w:cs="Times New Roman"/>
          <w:b/>
          <w:bCs/>
          <w:sz w:val="28"/>
        </w:rPr>
      </w:pPr>
    </w:p>
    <w:p w14:paraId="60CF9207" w14:textId="77777777" w:rsidR="004E6491" w:rsidRPr="001D0653" w:rsidRDefault="001D0653" w:rsidP="001E03C9">
      <w:pPr>
        <w:shd w:val="clear" w:color="auto" w:fill="FFFFFF"/>
        <w:jc w:val="both"/>
        <w:rPr>
          <w:rFonts w:ascii="Times New Roman" w:hAnsi="Times New Roman" w:cs="Times New Roman"/>
          <w:color w:val="000000" w:themeColor="text1"/>
          <w:sz w:val="28"/>
          <w:lang w:val="es-ES_tradnl"/>
        </w:rPr>
      </w:pPr>
      <w:r w:rsidRPr="001D0653">
        <w:rPr>
          <w:rFonts w:ascii="Times New Roman" w:hAnsi="Times New Roman" w:cs="Times New Roman"/>
          <w:color w:val="000000" w:themeColor="text1"/>
          <w:sz w:val="28"/>
          <w:lang w:val="es-ES_tradnl"/>
        </w:rPr>
        <w:t>En mérito de lo expuesto, la Sala Plena de la Corte Constitucional, administrando justicia en nombre del pueblo y por mandato de la Constitución,</w:t>
      </w:r>
    </w:p>
    <w:p w14:paraId="1621F2C7" w14:textId="77777777" w:rsidR="001E03C9" w:rsidRPr="001D0653" w:rsidRDefault="00974F47" w:rsidP="001E03C9">
      <w:pPr>
        <w:shd w:val="clear" w:color="auto" w:fill="FFFFFF"/>
        <w:jc w:val="both"/>
        <w:rPr>
          <w:rFonts w:ascii="Times New Roman" w:hAnsi="Times New Roman" w:cs="Times New Roman"/>
          <w:color w:val="000000" w:themeColor="text1"/>
          <w:sz w:val="28"/>
          <w:lang w:val="es-ES_tradnl"/>
        </w:rPr>
      </w:pPr>
    </w:p>
    <w:p w14:paraId="2F6B73AB" w14:textId="77777777" w:rsidR="004E6491" w:rsidRPr="001D0653" w:rsidRDefault="001D0653" w:rsidP="001E03C9">
      <w:pPr>
        <w:jc w:val="center"/>
        <w:rPr>
          <w:rFonts w:ascii="Times New Roman" w:hAnsi="Times New Roman" w:cs="Times New Roman"/>
          <w:b/>
          <w:bCs/>
          <w:color w:val="000000" w:themeColor="text1"/>
          <w:sz w:val="28"/>
          <w:lang w:val="es-ES_tradnl"/>
        </w:rPr>
      </w:pPr>
      <w:r w:rsidRPr="001D0653">
        <w:rPr>
          <w:rFonts w:ascii="Times New Roman" w:hAnsi="Times New Roman" w:cs="Times New Roman"/>
          <w:b/>
          <w:bCs/>
          <w:color w:val="000000" w:themeColor="text1"/>
          <w:sz w:val="28"/>
          <w:lang w:val="es-ES_tradnl"/>
        </w:rPr>
        <w:t>RESUELVE:</w:t>
      </w:r>
    </w:p>
    <w:p w14:paraId="48412383" w14:textId="77777777" w:rsidR="001E03C9" w:rsidRPr="001D0653" w:rsidRDefault="00974F47" w:rsidP="0091262F">
      <w:pPr>
        <w:jc w:val="center"/>
        <w:rPr>
          <w:rFonts w:ascii="Times New Roman" w:hAnsi="Times New Roman" w:cs="Times New Roman"/>
          <w:b/>
          <w:bCs/>
          <w:color w:val="000000" w:themeColor="text1"/>
          <w:sz w:val="28"/>
          <w:lang w:val="es-ES_tradnl"/>
        </w:rPr>
      </w:pPr>
    </w:p>
    <w:p w14:paraId="05FC41DE" w14:textId="77777777" w:rsidR="005A7988" w:rsidRPr="001D0653" w:rsidRDefault="001D0653" w:rsidP="0091262F">
      <w:pPr>
        <w:jc w:val="both"/>
        <w:rPr>
          <w:rFonts w:ascii="Times New Roman" w:hAnsi="Times New Roman" w:cs="Times New Roman"/>
          <w:bCs/>
          <w:sz w:val="28"/>
        </w:rPr>
      </w:pPr>
      <w:r w:rsidRPr="001D0653">
        <w:rPr>
          <w:rFonts w:ascii="Times New Roman" w:hAnsi="Times New Roman" w:cs="Times New Roman"/>
          <w:b/>
          <w:bCs/>
          <w:sz w:val="28"/>
        </w:rPr>
        <w:t xml:space="preserve">PRIMERO. ESTARSE A LO RESUELTO </w:t>
      </w:r>
      <w:r w:rsidRPr="001D0653">
        <w:rPr>
          <w:rFonts w:ascii="Times New Roman" w:hAnsi="Times New Roman" w:cs="Times New Roman"/>
          <w:bCs/>
          <w:sz w:val="28"/>
        </w:rPr>
        <w:t>por el Consejo Superior de la Judicatura en Auto del 14 de junio de 2018, en el cual se decidió que la competencia para conocer de este asunto correspondía a la jurisdicción ordinaria laboral, específicamente, al Juzgado Treinta y Nueve Laboral del Circuito de Bogotá.</w:t>
      </w:r>
    </w:p>
    <w:p w14:paraId="39779CFE" w14:textId="77777777" w:rsidR="0091262F" w:rsidRPr="001D0653" w:rsidRDefault="00974F47" w:rsidP="0091262F">
      <w:pPr>
        <w:jc w:val="both"/>
        <w:rPr>
          <w:rFonts w:ascii="Times New Roman" w:hAnsi="Times New Roman" w:cs="Times New Roman"/>
          <w:bCs/>
          <w:sz w:val="28"/>
        </w:rPr>
      </w:pPr>
    </w:p>
    <w:p w14:paraId="3CCE90B8" w14:textId="77777777" w:rsidR="004E6491" w:rsidRPr="001D0653" w:rsidRDefault="001D0653" w:rsidP="0091262F">
      <w:pPr>
        <w:jc w:val="both"/>
        <w:rPr>
          <w:rFonts w:ascii="Times New Roman" w:hAnsi="Times New Roman" w:cs="Times New Roman"/>
          <w:color w:val="000000"/>
          <w:sz w:val="28"/>
          <w:shd w:val="clear" w:color="auto" w:fill="FFFFFF"/>
        </w:rPr>
      </w:pPr>
      <w:r w:rsidRPr="001D0653">
        <w:rPr>
          <w:rFonts w:ascii="Times New Roman" w:hAnsi="Times New Roman" w:cs="Times New Roman"/>
          <w:b/>
          <w:bCs/>
          <w:sz w:val="28"/>
        </w:rPr>
        <w:t xml:space="preserve">SEGUNDO. </w:t>
      </w:r>
      <w:r w:rsidRPr="001D0653">
        <w:rPr>
          <w:rFonts w:ascii="Times New Roman" w:hAnsi="Times New Roman" w:cs="Times New Roman"/>
          <w:color w:val="000000"/>
          <w:sz w:val="28"/>
          <w:shd w:val="clear" w:color="auto" w:fill="FFFFFF"/>
        </w:rPr>
        <w:t>Por intermedio de la Secretaría General</w:t>
      </w:r>
      <w:r w:rsidRPr="001D0653">
        <w:rPr>
          <w:rFonts w:ascii="Times New Roman" w:hAnsi="Times New Roman" w:cs="Times New Roman"/>
          <w:b/>
          <w:bCs/>
          <w:sz w:val="28"/>
        </w:rPr>
        <w:t xml:space="preserve"> REMITIR</w:t>
      </w:r>
      <w:r w:rsidRPr="001D0653">
        <w:rPr>
          <w:rFonts w:ascii="Times New Roman" w:hAnsi="Times New Roman" w:cs="Times New Roman"/>
          <w:bCs/>
          <w:sz w:val="28"/>
        </w:rPr>
        <w:t xml:space="preserve"> el expediente CJU-5305 al </w:t>
      </w:r>
      <w:r w:rsidRPr="001D0653">
        <w:rPr>
          <w:rStyle w:val="FontStyle11"/>
          <w:b w:val="0"/>
          <w:bCs w:val="0"/>
          <w:sz w:val="28"/>
          <w:szCs w:val="24"/>
          <w:lang w:val="es-ES_tradnl"/>
        </w:rPr>
        <w:t xml:space="preserve">Juzgado </w:t>
      </w:r>
      <w:r w:rsidRPr="001D0653">
        <w:rPr>
          <w:rFonts w:ascii="Times New Roman" w:hAnsi="Times New Roman" w:cs="Times New Roman"/>
          <w:sz w:val="28"/>
        </w:rPr>
        <w:t>Treinta y Nueve Laboral del Circuito de Bogotá</w:t>
      </w:r>
      <w:r w:rsidRPr="001D0653">
        <w:rPr>
          <w:rFonts w:ascii="Times New Roman" w:hAnsi="Times New Roman" w:cs="Times New Roman"/>
          <w:bCs/>
          <w:sz w:val="28"/>
          <w:lang w:val="es-ES"/>
        </w:rPr>
        <w:t xml:space="preserve"> </w:t>
      </w:r>
      <w:r w:rsidRPr="001D0653">
        <w:rPr>
          <w:rFonts w:ascii="Times New Roman" w:hAnsi="Times New Roman" w:cs="Times New Roman"/>
          <w:bCs/>
          <w:sz w:val="28"/>
        </w:rPr>
        <w:t>para que proceda con lo de su competencia y comunique la presente decisión a los sujetos procesales e interesados dentro del trámite de referencia.</w:t>
      </w:r>
    </w:p>
    <w:p w14:paraId="5B92B184" w14:textId="77777777" w:rsidR="0091262F" w:rsidRPr="001D0653" w:rsidRDefault="00974F47" w:rsidP="0091262F">
      <w:pPr>
        <w:jc w:val="both"/>
        <w:rPr>
          <w:rFonts w:ascii="Times New Roman" w:hAnsi="Times New Roman" w:cs="Times New Roman"/>
          <w:bCs/>
          <w:sz w:val="28"/>
        </w:rPr>
      </w:pPr>
    </w:p>
    <w:p w14:paraId="25B10A84" w14:textId="77777777" w:rsidR="00527D6F" w:rsidRPr="001D0653" w:rsidRDefault="00974F47" w:rsidP="0091262F">
      <w:pPr>
        <w:jc w:val="both"/>
        <w:rPr>
          <w:rFonts w:ascii="Times New Roman" w:hAnsi="Times New Roman" w:cs="Times New Roman"/>
          <w:bCs/>
          <w:sz w:val="28"/>
        </w:rPr>
      </w:pPr>
    </w:p>
    <w:p w14:paraId="13ED4392" w14:textId="77777777" w:rsidR="004D7F9C" w:rsidRPr="001D0653" w:rsidRDefault="001D0653" w:rsidP="00E24996">
      <w:pPr>
        <w:jc w:val="both"/>
        <w:rPr>
          <w:rFonts w:ascii="Times New Roman" w:hAnsi="Times New Roman" w:cs="Times New Roman"/>
          <w:bCs/>
          <w:sz w:val="28"/>
        </w:rPr>
      </w:pPr>
      <w:r w:rsidRPr="001D0653">
        <w:rPr>
          <w:rFonts w:ascii="Times New Roman" w:hAnsi="Times New Roman" w:cs="Times New Roman"/>
          <w:bCs/>
          <w:sz w:val="28"/>
        </w:rPr>
        <w:t>Notifíquese, comuníquese y cúmplase.</w:t>
      </w:r>
    </w:p>
    <w:p w14:paraId="1045F4CF" w14:textId="77777777" w:rsidR="00034181" w:rsidRPr="001D0653" w:rsidRDefault="00974F47" w:rsidP="00E24996">
      <w:pPr>
        <w:jc w:val="both"/>
        <w:rPr>
          <w:rFonts w:ascii="Times New Roman" w:hAnsi="Times New Roman" w:cs="Times New Roman"/>
          <w:bCs/>
          <w:sz w:val="28"/>
        </w:rPr>
      </w:pPr>
    </w:p>
    <w:p w14:paraId="66CD6896" w14:textId="77777777" w:rsidR="00034181" w:rsidRPr="001D0653" w:rsidRDefault="00974F47" w:rsidP="00E24996">
      <w:pPr>
        <w:jc w:val="both"/>
        <w:rPr>
          <w:rFonts w:ascii="Times New Roman" w:hAnsi="Times New Roman" w:cs="Times New Roman"/>
          <w:bCs/>
          <w:sz w:val="28"/>
        </w:rPr>
      </w:pPr>
    </w:p>
    <w:p w14:paraId="713235F4" w14:textId="77777777" w:rsidR="00034181" w:rsidRPr="001D0653" w:rsidRDefault="001D0653" w:rsidP="00034181">
      <w:pPr>
        <w:jc w:val="center"/>
        <w:rPr>
          <w:rFonts w:ascii="Times New Roman" w:hAnsi="Times New Roman" w:cs="Times New Roman"/>
          <w:bCs/>
          <w:sz w:val="28"/>
        </w:rPr>
      </w:pPr>
      <w:r w:rsidRPr="001D0653">
        <w:rPr>
          <w:rFonts w:ascii="Times New Roman" w:hAnsi="Times New Roman" w:cs="Times New Roman"/>
          <w:bCs/>
          <w:sz w:val="28"/>
        </w:rPr>
        <w:t>JOSE FERNANDO REYES CUARTAS</w:t>
      </w:r>
    </w:p>
    <w:p w14:paraId="2E4CCE53" w14:textId="77777777" w:rsidR="00034181" w:rsidRPr="001D0653" w:rsidRDefault="001D0653" w:rsidP="00034181">
      <w:pPr>
        <w:jc w:val="center"/>
        <w:rPr>
          <w:rFonts w:ascii="Times New Roman" w:hAnsi="Times New Roman" w:cs="Times New Roman"/>
          <w:bCs/>
          <w:sz w:val="28"/>
        </w:rPr>
      </w:pPr>
      <w:r w:rsidRPr="001D0653">
        <w:rPr>
          <w:rFonts w:ascii="Times New Roman" w:hAnsi="Times New Roman" w:cs="Times New Roman"/>
          <w:bCs/>
          <w:sz w:val="28"/>
        </w:rPr>
        <w:t>Presidente</w:t>
      </w:r>
    </w:p>
    <w:p w14:paraId="53940338" w14:textId="77777777" w:rsidR="00034181" w:rsidRPr="001D0653" w:rsidRDefault="00974F47" w:rsidP="00034181">
      <w:pPr>
        <w:jc w:val="center"/>
        <w:rPr>
          <w:rFonts w:ascii="Times New Roman" w:hAnsi="Times New Roman" w:cs="Times New Roman"/>
          <w:bCs/>
          <w:sz w:val="28"/>
        </w:rPr>
      </w:pPr>
    </w:p>
    <w:p w14:paraId="704C569B" w14:textId="77777777" w:rsidR="00034181" w:rsidRPr="001D0653" w:rsidRDefault="00974F47" w:rsidP="00034181">
      <w:pPr>
        <w:jc w:val="center"/>
        <w:rPr>
          <w:rFonts w:ascii="Times New Roman" w:hAnsi="Times New Roman" w:cs="Times New Roman"/>
          <w:bCs/>
          <w:sz w:val="28"/>
        </w:rPr>
      </w:pPr>
    </w:p>
    <w:p w14:paraId="3BA35B4A" w14:textId="77777777" w:rsidR="00034181" w:rsidRPr="001D0653" w:rsidRDefault="00974F47" w:rsidP="00034181">
      <w:pPr>
        <w:jc w:val="center"/>
        <w:rPr>
          <w:rFonts w:ascii="Times New Roman" w:hAnsi="Times New Roman" w:cs="Times New Roman"/>
          <w:bCs/>
          <w:sz w:val="28"/>
        </w:rPr>
      </w:pPr>
    </w:p>
    <w:p w14:paraId="04F1FDC7" w14:textId="77777777" w:rsidR="00034181" w:rsidRPr="001D0653" w:rsidRDefault="001D0653" w:rsidP="00034181">
      <w:pPr>
        <w:jc w:val="center"/>
        <w:rPr>
          <w:rFonts w:ascii="Times New Roman" w:hAnsi="Times New Roman" w:cs="Times New Roman"/>
          <w:bCs/>
          <w:sz w:val="28"/>
        </w:rPr>
      </w:pPr>
      <w:r w:rsidRPr="001D0653">
        <w:rPr>
          <w:rFonts w:ascii="Times New Roman" w:hAnsi="Times New Roman" w:cs="Times New Roman"/>
          <w:bCs/>
          <w:sz w:val="28"/>
        </w:rPr>
        <w:lastRenderedPageBreak/>
        <w:t>NATALIA ÁNGEL CABO</w:t>
      </w:r>
    </w:p>
    <w:p w14:paraId="52A1713E" w14:textId="77777777" w:rsidR="00034181" w:rsidRPr="001D0653" w:rsidRDefault="001D0653" w:rsidP="00034181">
      <w:pPr>
        <w:jc w:val="center"/>
        <w:rPr>
          <w:rFonts w:ascii="Times New Roman" w:hAnsi="Times New Roman" w:cs="Times New Roman"/>
          <w:bCs/>
          <w:sz w:val="28"/>
        </w:rPr>
      </w:pPr>
      <w:r w:rsidRPr="001D0653">
        <w:rPr>
          <w:rFonts w:ascii="Times New Roman" w:hAnsi="Times New Roman" w:cs="Times New Roman"/>
          <w:bCs/>
          <w:sz w:val="28"/>
        </w:rPr>
        <w:t>Magistrada</w:t>
      </w:r>
    </w:p>
    <w:p w14:paraId="168228F9" w14:textId="77777777" w:rsidR="00034181" w:rsidRPr="001D0653" w:rsidRDefault="00974F47" w:rsidP="00034181">
      <w:pPr>
        <w:jc w:val="center"/>
        <w:rPr>
          <w:rFonts w:ascii="Times New Roman" w:hAnsi="Times New Roman" w:cs="Times New Roman"/>
          <w:bCs/>
          <w:sz w:val="28"/>
        </w:rPr>
      </w:pPr>
    </w:p>
    <w:p w14:paraId="1A6A9CF2" w14:textId="77777777" w:rsidR="00034181" w:rsidRPr="001D0653" w:rsidRDefault="00974F47" w:rsidP="00034181">
      <w:pPr>
        <w:jc w:val="center"/>
        <w:rPr>
          <w:rFonts w:ascii="Times New Roman" w:hAnsi="Times New Roman" w:cs="Times New Roman"/>
          <w:bCs/>
          <w:sz w:val="28"/>
        </w:rPr>
      </w:pPr>
    </w:p>
    <w:p w14:paraId="0713A425" w14:textId="77777777" w:rsidR="00034181" w:rsidRPr="001D0653" w:rsidRDefault="00974F47" w:rsidP="00034181">
      <w:pPr>
        <w:jc w:val="center"/>
        <w:rPr>
          <w:rFonts w:ascii="Times New Roman" w:hAnsi="Times New Roman" w:cs="Times New Roman"/>
          <w:bCs/>
          <w:sz w:val="28"/>
        </w:rPr>
      </w:pPr>
    </w:p>
    <w:p w14:paraId="178CC3B6" w14:textId="77777777" w:rsidR="00034181" w:rsidRPr="001D0653" w:rsidRDefault="001D0653" w:rsidP="00034181">
      <w:pPr>
        <w:jc w:val="center"/>
        <w:rPr>
          <w:rFonts w:ascii="Times New Roman" w:hAnsi="Times New Roman" w:cs="Times New Roman"/>
          <w:bCs/>
          <w:sz w:val="28"/>
        </w:rPr>
      </w:pPr>
      <w:r w:rsidRPr="001D0653">
        <w:rPr>
          <w:rFonts w:ascii="Times New Roman" w:hAnsi="Times New Roman" w:cs="Times New Roman"/>
          <w:bCs/>
          <w:sz w:val="28"/>
        </w:rPr>
        <w:t>JUAN CARLOS CORTÉS GONZÁLEZ</w:t>
      </w:r>
    </w:p>
    <w:p w14:paraId="0E3CCD4D" w14:textId="77777777" w:rsidR="00034181" w:rsidRPr="001D0653" w:rsidRDefault="001D0653" w:rsidP="00034181">
      <w:pPr>
        <w:jc w:val="center"/>
        <w:rPr>
          <w:rFonts w:ascii="Times New Roman" w:hAnsi="Times New Roman" w:cs="Times New Roman"/>
          <w:bCs/>
          <w:sz w:val="28"/>
        </w:rPr>
      </w:pPr>
      <w:r w:rsidRPr="001D0653">
        <w:rPr>
          <w:rFonts w:ascii="Times New Roman" w:hAnsi="Times New Roman" w:cs="Times New Roman"/>
          <w:bCs/>
          <w:sz w:val="28"/>
        </w:rPr>
        <w:t>Magistrado</w:t>
      </w:r>
    </w:p>
    <w:p w14:paraId="4D9CAE95" w14:textId="77777777" w:rsidR="00034181" w:rsidRPr="001D0653" w:rsidRDefault="00974F47" w:rsidP="00034181">
      <w:pPr>
        <w:jc w:val="center"/>
        <w:rPr>
          <w:rFonts w:ascii="Times New Roman" w:hAnsi="Times New Roman" w:cs="Times New Roman"/>
          <w:bCs/>
          <w:sz w:val="28"/>
        </w:rPr>
      </w:pPr>
    </w:p>
    <w:p w14:paraId="0EE25908" w14:textId="77777777" w:rsidR="00034181" w:rsidRPr="001D0653" w:rsidRDefault="00974F47" w:rsidP="00034181">
      <w:pPr>
        <w:jc w:val="center"/>
        <w:rPr>
          <w:rFonts w:ascii="Times New Roman" w:hAnsi="Times New Roman" w:cs="Times New Roman"/>
          <w:bCs/>
          <w:sz w:val="28"/>
        </w:rPr>
      </w:pPr>
    </w:p>
    <w:p w14:paraId="1C7E45A6" w14:textId="77777777" w:rsidR="00034181" w:rsidRPr="001D0653" w:rsidRDefault="00974F47" w:rsidP="00034181">
      <w:pPr>
        <w:jc w:val="center"/>
        <w:rPr>
          <w:rFonts w:ascii="Times New Roman" w:hAnsi="Times New Roman" w:cs="Times New Roman"/>
          <w:bCs/>
          <w:sz w:val="28"/>
        </w:rPr>
      </w:pPr>
    </w:p>
    <w:p w14:paraId="3342BE8F" w14:textId="77777777" w:rsidR="00034181" w:rsidRPr="001D0653" w:rsidRDefault="001D0653" w:rsidP="00034181">
      <w:pPr>
        <w:jc w:val="center"/>
        <w:rPr>
          <w:rFonts w:ascii="Times New Roman" w:hAnsi="Times New Roman" w:cs="Times New Roman"/>
          <w:bCs/>
          <w:sz w:val="28"/>
        </w:rPr>
      </w:pPr>
      <w:r w:rsidRPr="001D0653">
        <w:rPr>
          <w:rFonts w:ascii="Times New Roman" w:hAnsi="Times New Roman" w:cs="Times New Roman"/>
          <w:bCs/>
          <w:sz w:val="28"/>
        </w:rPr>
        <w:t>DIANA FAJARDO RIVERA</w:t>
      </w:r>
    </w:p>
    <w:p w14:paraId="229531D8" w14:textId="77777777" w:rsidR="00034181" w:rsidRPr="001D0653" w:rsidRDefault="001D0653" w:rsidP="00034181">
      <w:pPr>
        <w:jc w:val="center"/>
        <w:rPr>
          <w:rFonts w:ascii="Times New Roman" w:hAnsi="Times New Roman" w:cs="Times New Roman"/>
          <w:bCs/>
          <w:sz w:val="28"/>
        </w:rPr>
      </w:pPr>
      <w:r w:rsidRPr="001D0653">
        <w:rPr>
          <w:rFonts w:ascii="Times New Roman" w:hAnsi="Times New Roman" w:cs="Times New Roman"/>
          <w:bCs/>
          <w:sz w:val="28"/>
        </w:rPr>
        <w:t>Magistrada</w:t>
      </w:r>
    </w:p>
    <w:p w14:paraId="50A5E04B" w14:textId="77777777" w:rsidR="00034181" w:rsidRPr="001D0653" w:rsidRDefault="00974F47" w:rsidP="00034181">
      <w:pPr>
        <w:jc w:val="center"/>
        <w:rPr>
          <w:rFonts w:ascii="Times New Roman" w:hAnsi="Times New Roman" w:cs="Times New Roman"/>
          <w:bCs/>
          <w:sz w:val="28"/>
        </w:rPr>
      </w:pPr>
    </w:p>
    <w:p w14:paraId="069A7943" w14:textId="77777777" w:rsidR="00034181" w:rsidRPr="001D0653" w:rsidRDefault="00974F47" w:rsidP="00034181">
      <w:pPr>
        <w:jc w:val="center"/>
        <w:rPr>
          <w:rFonts w:ascii="Times New Roman" w:hAnsi="Times New Roman" w:cs="Times New Roman"/>
          <w:bCs/>
          <w:sz w:val="28"/>
        </w:rPr>
      </w:pPr>
    </w:p>
    <w:p w14:paraId="6F2AB4E9" w14:textId="77777777" w:rsidR="00034181" w:rsidRPr="001D0653" w:rsidRDefault="00974F47" w:rsidP="00034181">
      <w:pPr>
        <w:jc w:val="center"/>
        <w:rPr>
          <w:rFonts w:ascii="Times New Roman" w:hAnsi="Times New Roman" w:cs="Times New Roman"/>
          <w:bCs/>
          <w:sz w:val="28"/>
        </w:rPr>
      </w:pPr>
    </w:p>
    <w:p w14:paraId="546B49FA" w14:textId="77777777" w:rsidR="00034181" w:rsidRPr="001D0653" w:rsidRDefault="001D0653" w:rsidP="00034181">
      <w:pPr>
        <w:jc w:val="center"/>
        <w:rPr>
          <w:rFonts w:ascii="Times New Roman" w:hAnsi="Times New Roman" w:cs="Times New Roman"/>
          <w:bCs/>
          <w:sz w:val="28"/>
        </w:rPr>
      </w:pPr>
      <w:r w:rsidRPr="001D0653">
        <w:rPr>
          <w:rFonts w:ascii="Times New Roman" w:hAnsi="Times New Roman" w:cs="Times New Roman"/>
          <w:bCs/>
          <w:sz w:val="28"/>
        </w:rPr>
        <w:t>VLADIMIR FERNÁNDEZ ANDRADE</w:t>
      </w:r>
    </w:p>
    <w:p w14:paraId="3301D510" w14:textId="77777777" w:rsidR="00034181" w:rsidRPr="001D0653" w:rsidRDefault="001D0653" w:rsidP="00034181">
      <w:pPr>
        <w:jc w:val="center"/>
        <w:rPr>
          <w:rFonts w:ascii="Times New Roman" w:hAnsi="Times New Roman" w:cs="Times New Roman"/>
          <w:bCs/>
          <w:sz w:val="28"/>
        </w:rPr>
      </w:pPr>
      <w:r w:rsidRPr="001D0653">
        <w:rPr>
          <w:rFonts w:ascii="Times New Roman" w:hAnsi="Times New Roman" w:cs="Times New Roman"/>
          <w:bCs/>
          <w:sz w:val="28"/>
        </w:rPr>
        <w:t>Magistrado</w:t>
      </w:r>
    </w:p>
    <w:p w14:paraId="68578719" w14:textId="77777777" w:rsidR="00034181" w:rsidRPr="001D0653" w:rsidRDefault="00974F47" w:rsidP="00034181">
      <w:pPr>
        <w:jc w:val="center"/>
        <w:rPr>
          <w:rFonts w:ascii="Times New Roman" w:hAnsi="Times New Roman" w:cs="Times New Roman"/>
          <w:bCs/>
          <w:sz w:val="28"/>
        </w:rPr>
      </w:pPr>
    </w:p>
    <w:p w14:paraId="00E6C472" w14:textId="77777777" w:rsidR="00034181" w:rsidRPr="001D0653" w:rsidRDefault="00974F47" w:rsidP="00034181">
      <w:pPr>
        <w:jc w:val="center"/>
        <w:rPr>
          <w:rFonts w:ascii="Times New Roman" w:hAnsi="Times New Roman" w:cs="Times New Roman"/>
          <w:bCs/>
          <w:sz w:val="28"/>
        </w:rPr>
      </w:pPr>
    </w:p>
    <w:p w14:paraId="300AEE48" w14:textId="77777777" w:rsidR="00034181" w:rsidRPr="001D0653" w:rsidRDefault="00974F47" w:rsidP="00034181">
      <w:pPr>
        <w:jc w:val="center"/>
        <w:rPr>
          <w:rFonts w:ascii="Times New Roman" w:hAnsi="Times New Roman" w:cs="Times New Roman"/>
          <w:bCs/>
          <w:sz w:val="28"/>
        </w:rPr>
      </w:pPr>
    </w:p>
    <w:p w14:paraId="2E6401B9" w14:textId="77777777" w:rsidR="00034181" w:rsidRPr="001D0653" w:rsidRDefault="001D0653" w:rsidP="00034181">
      <w:pPr>
        <w:jc w:val="center"/>
        <w:rPr>
          <w:rFonts w:ascii="Times New Roman" w:hAnsi="Times New Roman" w:cs="Times New Roman"/>
          <w:bCs/>
          <w:sz w:val="28"/>
        </w:rPr>
      </w:pPr>
      <w:r w:rsidRPr="001D0653">
        <w:rPr>
          <w:rFonts w:ascii="Times New Roman" w:hAnsi="Times New Roman" w:cs="Times New Roman"/>
          <w:bCs/>
          <w:sz w:val="28"/>
        </w:rPr>
        <w:t xml:space="preserve">JORGE ENRIQUE IBÁÑEZ NAJAR </w:t>
      </w:r>
    </w:p>
    <w:p w14:paraId="4DA2D2B6" w14:textId="77777777" w:rsidR="00034181" w:rsidRPr="001D0653" w:rsidRDefault="001D0653" w:rsidP="00034181">
      <w:pPr>
        <w:jc w:val="center"/>
        <w:rPr>
          <w:rFonts w:ascii="Times New Roman" w:hAnsi="Times New Roman" w:cs="Times New Roman"/>
          <w:bCs/>
          <w:sz w:val="28"/>
        </w:rPr>
      </w:pPr>
      <w:r w:rsidRPr="001D0653">
        <w:rPr>
          <w:rFonts w:ascii="Times New Roman" w:hAnsi="Times New Roman" w:cs="Times New Roman"/>
          <w:bCs/>
          <w:sz w:val="28"/>
        </w:rPr>
        <w:t>Magistrado</w:t>
      </w:r>
    </w:p>
    <w:p w14:paraId="7A7A70A9" w14:textId="77777777" w:rsidR="00034181" w:rsidRPr="001D0653" w:rsidRDefault="00974F47" w:rsidP="00034181">
      <w:pPr>
        <w:jc w:val="center"/>
        <w:rPr>
          <w:rFonts w:ascii="Times New Roman" w:hAnsi="Times New Roman" w:cs="Times New Roman"/>
          <w:bCs/>
          <w:sz w:val="28"/>
        </w:rPr>
      </w:pPr>
    </w:p>
    <w:p w14:paraId="4640F223" w14:textId="77777777" w:rsidR="00034181" w:rsidRPr="001D0653" w:rsidRDefault="00974F47" w:rsidP="00034181">
      <w:pPr>
        <w:jc w:val="center"/>
        <w:rPr>
          <w:rFonts w:ascii="Times New Roman" w:hAnsi="Times New Roman" w:cs="Times New Roman"/>
          <w:bCs/>
          <w:sz w:val="28"/>
        </w:rPr>
      </w:pPr>
    </w:p>
    <w:p w14:paraId="44961489" w14:textId="77777777" w:rsidR="00034181" w:rsidRPr="001D0653" w:rsidRDefault="00974F47" w:rsidP="00034181">
      <w:pPr>
        <w:jc w:val="center"/>
        <w:rPr>
          <w:rFonts w:ascii="Times New Roman" w:hAnsi="Times New Roman" w:cs="Times New Roman"/>
          <w:bCs/>
          <w:sz w:val="28"/>
        </w:rPr>
      </w:pPr>
    </w:p>
    <w:p w14:paraId="4C9EB438" w14:textId="77777777" w:rsidR="00034181" w:rsidRPr="001D0653" w:rsidRDefault="001D0653" w:rsidP="00034181">
      <w:pPr>
        <w:jc w:val="center"/>
        <w:rPr>
          <w:rFonts w:ascii="Times New Roman" w:hAnsi="Times New Roman" w:cs="Times New Roman"/>
          <w:bCs/>
          <w:sz w:val="28"/>
        </w:rPr>
      </w:pPr>
      <w:r w:rsidRPr="001D0653">
        <w:rPr>
          <w:rFonts w:ascii="Times New Roman" w:hAnsi="Times New Roman" w:cs="Times New Roman"/>
          <w:bCs/>
          <w:sz w:val="28"/>
        </w:rPr>
        <w:lastRenderedPageBreak/>
        <w:t>ANTONIO JOSÉ LIZARAZO OCAMPO</w:t>
      </w:r>
    </w:p>
    <w:p w14:paraId="7F74AA1F" w14:textId="77777777" w:rsidR="00034181" w:rsidRPr="001D0653" w:rsidRDefault="001D0653" w:rsidP="00034181">
      <w:pPr>
        <w:jc w:val="center"/>
        <w:rPr>
          <w:rFonts w:ascii="Times New Roman" w:hAnsi="Times New Roman" w:cs="Times New Roman"/>
          <w:bCs/>
          <w:sz w:val="28"/>
        </w:rPr>
      </w:pPr>
      <w:r w:rsidRPr="001D0653">
        <w:rPr>
          <w:rFonts w:ascii="Times New Roman" w:hAnsi="Times New Roman" w:cs="Times New Roman"/>
          <w:bCs/>
          <w:sz w:val="28"/>
        </w:rPr>
        <w:t>Magistrado</w:t>
      </w:r>
    </w:p>
    <w:p w14:paraId="39AF690A" w14:textId="77777777" w:rsidR="00034181" w:rsidRPr="001D0653" w:rsidRDefault="00974F47" w:rsidP="00034181">
      <w:pPr>
        <w:jc w:val="center"/>
        <w:rPr>
          <w:rFonts w:ascii="Times New Roman" w:hAnsi="Times New Roman" w:cs="Times New Roman"/>
          <w:bCs/>
          <w:sz w:val="28"/>
        </w:rPr>
      </w:pPr>
    </w:p>
    <w:p w14:paraId="195D6F30" w14:textId="77777777" w:rsidR="00034181" w:rsidRPr="001D0653" w:rsidRDefault="00974F47" w:rsidP="00034181">
      <w:pPr>
        <w:jc w:val="center"/>
        <w:rPr>
          <w:rFonts w:ascii="Times New Roman" w:hAnsi="Times New Roman" w:cs="Times New Roman"/>
          <w:bCs/>
          <w:sz w:val="28"/>
        </w:rPr>
      </w:pPr>
    </w:p>
    <w:p w14:paraId="307F5403" w14:textId="77777777" w:rsidR="00034181" w:rsidRPr="001D0653" w:rsidRDefault="00974F47" w:rsidP="00034181">
      <w:pPr>
        <w:jc w:val="center"/>
        <w:rPr>
          <w:rFonts w:ascii="Times New Roman" w:hAnsi="Times New Roman" w:cs="Times New Roman"/>
          <w:bCs/>
          <w:sz w:val="28"/>
        </w:rPr>
      </w:pPr>
    </w:p>
    <w:p w14:paraId="1FC6CD2F" w14:textId="77777777" w:rsidR="00034181" w:rsidRPr="001D0653" w:rsidRDefault="001D0653" w:rsidP="00034181">
      <w:pPr>
        <w:jc w:val="center"/>
        <w:rPr>
          <w:rFonts w:ascii="Times New Roman" w:hAnsi="Times New Roman" w:cs="Times New Roman"/>
          <w:bCs/>
          <w:sz w:val="28"/>
        </w:rPr>
      </w:pPr>
      <w:r w:rsidRPr="001D0653">
        <w:rPr>
          <w:rFonts w:ascii="Times New Roman" w:hAnsi="Times New Roman" w:cs="Times New Roman"/>
          <w:bCs/>
          <w:sz w:val="28"/>
        </w:rPr>
        <w:t>PAOLA ANDREA MENESES MOSQUERA</w:t>
      </w:r>
    </w:p>
    <w:p w14:paraId="28BA529A" w14:textId="77777777" w:rsidR="00034181" w:rsidRPr="001D0653" w:rsidRDefault="001D0653" w:rsidP="00034181">
      <w:pPr>
        <w:jc w:val="center"/>
        <w:rPr>
          <w:rFonts w:ascii="Times New Roman" w:hAnsi="Times New Roman" w:cs="Times New Roman"/>
          <w:bCs/>
          <w:sz w:val="28"/>
        </w:rPr>
      </w:pPr>
      <w:r w:rsidRPr="001D0653">
        <w:rPr>
          <w:rFonts w:ascii="Times New Roman" w:hAnsi="Times New Roman" w:cs="Times New Roman"/>
          <w:bCs/>
          <w:sz w:val="28"/>
        </w:rPr>
        <w:t>Magistrada</w:t>
      </w:r>
    </w:p>
    <w:p w14:paraId="0EFF9F36" w14:textId="77777777" w:rsidR="00034181" w:rsidRPr="001D0653" w:rsidRDefault="00974F47" w:rsidP="00034181">
      <w:pPr>
        <w:jc w:val="center"/>
        <w:rPr>
          <w:rFonts w:ascii="Times New Roman" w:hAnsi="Times New Roman" w:cs="Times New Roman"/>
          <w:bCs/>
          <w:sz w:val="28"/>
        </w:rPr>
      </w:pPr>
    </w:p>
    <w:p w14:paraId="7F8B961B" w14:textId="77777777" w:rsidR="00034181" w:rsidRPr="001D0653" w:rsidRDefault="00974F47" w:rsidP="00034181">
      <w:pPr>
        <w:jc w:val="center"/>
        <w:rPr>
          <w:rFonts w:ascii="Times New Roman" w:hAnsi="Times New Roman" w:cs="Times New Roman"/>
          <w:bCs/>
          <w:sz w:val="28"/>
        </w:rPr>
      </w:pPr>
    </w:p>
    <w:p w14:paraId="290A928E" w14:textId="77777777" w:rsidR="00034181" w:rsidRPr="001D0653" w:rsidRDefault="00974F47" w:rsidP="00034181">
      <w:pPr>
        <w:jc w:val="center"/>
        <w:rPr>
          <w:rFonts w:ascii="Times New Roman" w:hAnsi="Times New Roman" w:cs="Times New Roman"/>
          <w:bCs/>
          <w:sz w:val="28"/>
        </w:rPr>
      </w:pPr>
    </w:p>
    <w:p w14:paraId="15A51819" w14:textId="77777777" w:rsidR="00034181" w:rsidRPr="001D0653" w:rsidRDefault="001D0653" w:rsidP="00034181">
      <w:pPr>
        <w:jc w:val="center"/>
        <w:rPr>
          <w:rFonts w:ascii="Times New Roman" w:hAnsi="Times New Roman" w:cs="Times New Roman"/>
          <w:bCs/>
          <w:sz w:val="28"/>
        </w:rPr>
      </w:pPr>
      <w:r w:rsidRPr="001D0653">
        <w:rPr>
          <w:rFonts w:ascii="Times New Roman" w:hAnsi="Times New Roman" w:cs="Times New Roman"/>
          <w:bCs/>
          <w:sz w:val="28"/>
        </w:rPr>
        <w:t>CRISTINA PARDO SCHLESINGER</w:t>
      </w:r>
    </w:p>
    <w:p w14:paraId="799A27A2" w14:textId="77777777" w:rsidR="00034181" w:rsidRPr="001D0653" w:rsidRDefault="001D0653" w:rsidP="00034181">
      <w:pPr>
        <w:jc w:val="center"/>
        <w:rPr>
          <w:rFonts w:ascii="Times New Roman" w:hAnsi="Times New Roman" w:cs="Times New Roman"/>
          <w:bCs/>
          <w:sz w:val="28"/>
        </w:rPr>
      </w:pPr>
      <w:r w:rsidRPr="001D0653">
        <w:rPr>
          <w:rFonts w:ascii="Times New Roman" w:hAnsi="Times New Roman" w:cs="Times New Roman"/>
          <w:bCs/>
          <w:sz w:val="28"/>
        </w:rPr>
        <w:t>Magistrada</w:t>
      </w:r>
    </w:p>
    <w:p w14:paraId="29EF66AB" w14:textId="77777777" w:rsidR="00034181" w:rsidRPr="001D0653" w:rsidRDefault="00974F47" w:rsidP="00034181">
      <w:pPr>
        <w:jc w:val="center"/>
        <w:rPr>
          <w:rFonts w:ascii="Times New Roman" w:hAnsi="Times New Roman" w:cs="Times New Roman"/>
          <w:bCs/>
          <w:sz w:val="28"/>
        </w:rPr>
      </w:pPr>
    </w:p>
    <w:p w14:paraId="6042687D" w14:textId="77777777" w:rsidR="00034181" w:rsidRPr="001D0653" w:rsidRDefault="00974F47" w:rsidP="00034181">
      <w:pPr>
        <w:jc w:val="center"/>
        <w:rPr>
          <w:rFonts w:ascii="Times New Roman" w:hAnsi="Times New Roman" w:cs="Times New Roman"/>
          <w:bCs/>
          <w:sz w:val="28"/>
        </w:rPr>
      </w:pPr>
    </w:p>
    <w:p w14:paraId="6EAF705A" w14:textId="77777777" w:rsidR="00034181" w:rsidRPr="001D0653" w:rsidRDefault="00974F47" w:rsidP="00034181">
      <w:pPr>
        <w:jc w:val="center"/>
        <w:rPr>
          <w:rFonts w:ascii="Times New Roman" w:hAnsi="Times New Roman" w:cs="Times New Roman"/>
          <w:bCs/>
          <w:sz w:val="28"/>
        </w:rPr>
      </w:pPr>
    </w:p>
    <w:p w14:paraId="5B7630F1" w14:textId="77777777" w:rsidR="00034181" w:rsidRPr="001D0653" w:rsidRDefault="001D0653" w:rsidP="00034181">
      <w:pPr>
        <w:jc w:val="center"/>
        <w:rPr>
          <w:rFonts w:ascii="Times New Roman" w:hAnsi="Times New Roman" w:cs="Times New Roman"/>
          <w:bCs/>
          <w:sz w:val="28"/>
        </w:rPr>
      </w:pPr>
      <w:r w:rsidRPr="001D0653">
        <w:rPr>
          <w:rFonts w:ascii="Times New Roman" w:hAnsi="Times New Roman" w:cs="Times New Roman"/>
          <w:bCs/>
          <w:sz w:val="28"/>
        </w:rPr>
        <w:t>ANDREA LILIANA ROMERO LOPEZ</w:t>
      </w:r>
    </w:p>
    <w:p w14:paraId="60407E51" w14:textId="77777777" w:rsidR="00034181" w:rsidRPr="001D0653" w:rsidRDefault="001D0653" w:rsidP="00034181">
      <w:pPr>
        <w:jc w:val="center"/>
        <w:rPr>
          <w:rFonts w:ascii="Times New Roman" w:hAnsi="Times New Roman" w:cs="Times New Roman"/>
          <w:bCs/>
          <w:sz w:val="28"/>
        </w:rPr>
      </w:pPr>
      <w:r w:rsidRPr="001D0653">
        <w:rPr>
          <w:rFonts w:ascii="Times New Roman" w:hAnsi="Times New Roman" w:cs="Times New Roman"/>
          <w:bCs/>
          <w:sz w:val="28"/>
        </w:rPr>
        <w:t>Secretaria General</w:t>
      </w:r>
    </w:p>
    <w:p w14:paraId="253AD16E" w14:textId="77777777" w:rsidR="00034181" w:rsidRPr="001D0653" w:rsidRDefault="00974F47" w:rsidP="00034181">
      <w:pPr>
        <w:jc w:val="center"/>
        <w:rPr>
          <w:rFonts w:ascii="Times New Roman" w:hAnsi="Times New Roman" w:cs="Times New Roman"/>
          <w:bCs/>
          <w:sz w:val="28"/>
        </w:rPr>
      </w:pPr>
    </w:p>
    <w:p w14:paraId="5C8120EE" w14:textId="77777777" w:rsidR="00034181" w:rsidRPr="001D0653" w:rsidRDefault="00974F47" w:rsidP="00034181">
      <w:pPr>
        <w:jc w:val="center"/>
        <w:rPr>
          <w:rFonts w:ascii="Times New Roman" w:hAnsi="Times New Roman" w:cs="Times New Roman"/>
          <w:bCs/>
          <w:sz w:val="28"/>
        </w:rPr>
      </w:pPr>
    </w:p>
    <w:p w14:paraId="60D93E99" w14:textId="77777777" w:rsidR="00034181" w:rsidRPr="001D0653" w:rsidRDefault="00974F47" w:rsidP="00034181">
      <w:pPr>
        <w:jc w:val="center"/>
        <w:rPr>
          <w:rFonts w:ascii="Times New Roman" w:hAnsi="Times New Roman" w:cs="Times New Roman"/>
          <w:bCs/>
          <w:sz w:val="28"/>
        </w:rPr>
      </w:pPr>
    </w:p>
    <w:p w14:paraId="09436241" w14:textId="77777777" w:rsidR="00034181" w:rsidRPr="001D0653" w:rsidRDefault="00974F47" w:rsidP="00034181">
      <w:pPr>
        <w:jc w:val="center"/>
        <w:rPr>
          <w:rFonts w:ascii="Times New Roman" w:hAnsi="Times New Roman" w:cs="Times New Roman"/>
          <w:bCs/>
          <w:sz w:val="28"/>
        </w:rPr>
      </w:pPr>
    </w:p>
    <w:p w14:paraId="791D15F3" w14:textId="77777777" w:rsidR="00034181" w:rsidRPr="001D0653" w:rsidRDefault="00974F47" w:rsidP="00034181">
      <w:pPr>
        <w:jc w:val="center"/>
        <w:rPr>
          <w:rFonts w:ascii="Times New Roman" w:hAnsi="Times New Roman" w:cs="Times New Roman"/>
          <w:bCs/>
          <w:sz w:val="28"/>
        </w:rPr>
      </w:pPr>
    </w:p>
    <w:p w14:paraId="6BE01046" w14:textId="77777777" w:rsidR="00034181" w:rsidRPr="001D0653" w:rsidRDefault="00974F47" w:rsidP="00034181">
      <w:pPr>
        <w:jc w:val="center"/>
        <w:rPr>
          <w:rFonts w:ascii="Times New Roman" w:hAnsi="Times New Roman" w:cs="Times New Roman"/>
          <w:bCs/>
          <w:sz w:val="28"/>
        </w:rPr>
      </w:pPr>
    </w:p>
    <w:sectPr w:rsidR="00034181" w:rsidRPr="001D0653">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A0D26" w14:textId="77777777" w:rsidR="00974F47" w:rsidRDefault="00974F47">
      <w:pPr>
        <w:spacing w:after="0" w:line="240" w:lineRule="auto"/>
      </w:pPr>
      <w:r>
        <w:separator/>
      </w:r>
    </w:p>
  </w:endnote>
  <w:endnote w:type="continuationSeparator" w:id="0">
    <w:p w14:paraId="47D1E781" w14:textId="77777777" w:rsidR="00974F47" w:rsidRDefault="00974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3A4AD" w14:textId="77777777" w:rsidR="00974F47" w:rsidRDefault="00974F47">
      <w:pPr>
        <w:spacing w:after="0" w:line="240" w:lineRule="auto"/>
      </w:pPr>
      <w:r>
        <w:separator/>
      </w:r>
    </w:p>
  </w:footnote>
  <w:footnote w:type="continuationSeparator" w:id="0">
    <w:p w14:paraId="33B41A80" w14:textId="77777777" w:rsidR="00974F47" w:rsidRDefault="00974F47">
      <w:pPr>
        <w:spacing w:after="0" w:line="240" w:lineRule="auto"/>
      </w:pPr>
      <w:r>
        <w:continuationSeparator/>
      </w:r>
    </w:p>
  </w:footnote>
  <w:footnote w:id="1">
    <w:p w14:paraId="15E821ED" w14:textId="77777777" w:rsidR="008F1849" w:rsidRPr="00E24996" w:rsidRDefault="001D0653" w:rsidP="008F7F7B">
      <w:pPr>
        <w:pStyle w:val="Textonotapie"/>
        <w:jc w:val="both"/>
      </w:pPr>
      <w:r w:rsidRPr="00E24996">
        <w:rPr>
          <w:rStyle w:val="Refdenotaalpie"/>
        </w:rPr>
        <w:footnoteRef/>
      </w:r>
      <w:r w:rsidRPr="00E24996">
        <w:t xml:space="preserve"> Expediente digital CJU-5305. Carpeta “00ExpedienteFisicoDigitalizado”. Documento digital “01ExpedienteFisicoDigitalizadoPDF” páginas 16 a 31.</w:t>
      </w:r>
    </w:p>
  </w:footnote>
  <w:footnote w:id="2">
    <w:p w14:paraId="056A36D3" w14:textId="77777777" w:rsidR="002E3D2E" w:rsidRPr="00E24996" w:rsidRDefault="001D0653" w:rsidP="008868D3">
      <w:pPr>
        <w:pStyle w:val="Textonotapie"/>
        <w:jc w:val="both"/>
      </w:pPr>
      <w:r w:rsidRPr="00E24996">
        <w:rPr>
          <w:rStyle w:val="Refdenotaalpie"/>
        </w:rPr>
        <w:footnoteRef/>
      </w:r>
      <w:r w:rsidRPr="00E24996">
        <w:t xml:space="preserve"> </w:t>
      </w:r>
      <w:proofErr w:type="spellStart"/>
      <w:r w:rsidRPr="00E24996">
        <w:t>Ibídem</w:t>
      </w:r>
      <w:proofErr w:type="spellEnd"/>
      <w:r w:rsidRPr="00E24996">
        <w:t xml:space="preserve">. Páginas 37 a 39. </w:t>
      </w:r>
      <w:r>
        <w:t xml:space="preserve">Fundamentó su interpretación en la </w:t>
      </w:r>
      <w:r w:rsidRPr="00071D06">
        <w:t>providencia del Consejo Superior de la Judicatura, Sala Jurisdiccional Disciplinaria, calendada 29 de junio de 2016, proferida dentro del expediente 11001010200020160105200, M. P. Camilo Montoya Reyes.</w:t>
      </w:r>
    </w:p>
  </w:footnote>
  <w:footnote w:id="3">
    <w:p w14:paraId="56C5F931" w14:textId="77777777" w:rsidR="00F33374" w:rsidRPr="00E24996" w:rsidRDefault="001D0653" w:rsidP="008F7F7B">
      <w:pPr>
        <w:pStyle w:val="Textonotapie"/>
        <w:jc w:val="both"/>
      </w:pPr>
      <w:r w:rsidRPr="00E24996">
        <w:rPr>
          <w:rStyle w:val="Refdenotaalpie"/>
        </w:rPr>
        <w:footnoteRef/>
      </w:r>
      <w:r w:rsidRPr="00E24996">
        <w:t xml:space="preserve"> </w:t>
      </w:r>
      <w:proofErr w:type="spellStart"/>
      <w:r w:rsidRPr="00E24996">
        <w:t>Ibídem</w:t>
      </w:r>
      <w:proofErr w:type="spellEnd"/>
      <w:r w:rsidRPr="00E24996">
        <w:t>. Páginas 41 a 46.</w:t>
      </w:r>
    </w:p>
  </w:footnote>
  <w:footnote w:id="4">
    <w:p w14:paraId="03F5C404" w14:textId="77777777" w:rsidR="00F33374" w:rsidRPr="00E24996" w:rsidRDefault="001D0653" w:rsidP="008F7F7B">
      <w:pPr>
        <w:pStyle w:val="Textonotapie"/>
        <w:jc w:val="both"/>
      </w:pPr>
      <w:r w:rsidRPr="00E24996">
        <w:rPr>
          <w:rStyle w:val="Refdenotaalpie"/>
        </w:rPr>
        <w:footnoteRef/>
      </w:r>
      <w:r w:rsidRPr="00E24996">
        <w:t xml:space="preserve"> </w:t>
      </w:r>
      <w:proofErr w:type="spellStart"/>
      <w:r w:rsidRPr="00E24996">
        <w:t>Ibídem</w:t>
      </w:r>
      <w:proofErr w:type="spellEnd"/>
      <w:r w:rsidRPr="00E24996">
        <w:t>. Páginas 49 a 52.</w:t>
      </w:r>
    </w:p>
  </w:footnote>
  <w:footnote w:id="5">
    <w:p w14:paraId="066D808F" w14:textId="77777777" w:rsidR="00CB6522" w:rsidRPr="00E24996" w:rsidRDefault="001D0653" w:rsidP="008F7F7B">
      <w:pPr>
        <w:pStyle w:val="Textonotapie"/>
        <w:jc w:val="both"/>
      </w:pPr>
      <w:r w:rsidRPr="00E24996">
        <w:rPr>
          <w:rStyle w:val="Refdenotaalpie"/>
        </w:rPr>
        <w:footnoteRef/>
      </w:r>
      <w:r w:rsidRPr="00E24996">
        <w:t xml:space="preserve"> </w:t>
      </w:r>
      <w:proofErr w:type="spellStart"/>
      <w:r w:rsidRPr="00E24996">
        <w:t>Ibídem</w:t>
      </w:r>
      <w:proofErr w:type="spellEnd"/>
      <w:r w:rsidRPr="00E24996">
        <w:t>. Página 60.</w:t>
      </w:r>
    </w:p>
  </w:footnote>
  <w:footnote w:id="6">
    <w:p w14:paraId="31E99CC8" w14:textId="77777777" w:rsidR="00B8746F" w:rsidRDefault="001D0653">
      <w:pPr>
        <w:pStyle w:val="Textonotapie"/>
      </w:pPr>
      <w:r>
        <w:rPr>
          <w:rStyle w:val="Refdenotaalpie"/>
        </w:rPr>
        <w:footnoteRef/>
      </w:r>
      <w:r>
        <w:t xml:space="preserve"> </w:t>
      </w:r>
      <w:proofErr w:type="spellStart"/>
      <w:r w:rsidRPr="00E24996">
        <w:t>Ibídem</w:t>
      </w:r>
      <w:proofErr w:type="spellEnd"/>
      <w:r w:rsidRPr="00E24996">
        <w:t>. Páginas 57 a 61.</w:t>
      </w:r>
      <w:r>
        <w:t xml:space="preserve"> Específicamente, citó la sentencia C-1027 de 2002 de la Corte Constitucional, una providencia del Consejo Superior de la Judicatura, Sala Jurisdiccional Disciplinaria, del 05 de marzo de 2014, proferida dentro del expediente 11001010200020140014600, y la sentencia del proceso radicado 76001233300020120010701 (52611), del 22 de enero de 2015, en la que el Consejo de Estado recalco que el conocimiento de las demandas que buscan el pago de las cuentas de recobro por procedimientos o suministros de medicamentos recae sobre esa jurisdicción. </w:t>
      </w:r>
    </w:p>
  </w:footnote>
  <w:footnote w:id="7">
    <w:p w14:paraId="6A306C49" w14:textId="77777777" w:rsidR="00AB2FD6" w:rsidRPr="00E24996" w:rsidRDefault="001D0653" w:rsidP="008F7F7B">
      <w:pPr>
        <w:pStyle w:val="Textonotapie"/>
        <w:jc w:val="both"/>
      </w:pPr>
      <w:r w:rsidRPr="00E24996">
        <w:rPr>
          <w:rStyle w:val="Refdenotaalpie"/>
        </w:rPr>
        <w:footnoteRef/>
      </w:r>
      <w:r w:rsidRPr="00E24996">
        <w:t xml:space="preserve"> Por la cual se reforma el Código Procesal del Trabajo (CPTSS)</w:t>
      </w:r>
    </w:p>
  </w:footnote>
  <w:footnote w:id="8">
    <w:p w14:paraId="5EB71F3C" w14:textId="77777777" w:rsidR="00AB2FD6" w:rsidRPr="00E24996" w:rsidRDefault="001D0653" w:rsidP="008F7F7B">
      <w:pPr>
        <w:pStyle w:val="Textonotapie"/>
        <w:jc w:val="both"/>
      </w:pPr>
      <w:r w:rsidRPr="00E24996">
        <w:rPr>
          <w:rStyle w:val="Refdenotaalpie"/>
        </w:rPr>
        <w:footnoteRef/>
      </w:r>
      <w:r w:rsidRPr="00E24996">
        <w:t xml:space="preserve"> Expediente digital CJU-5305. Carpeta “00ExpedienteFisicoDigitalizado”. Documento digital “01ExpedienteFisicoDigitalizadoPDF” página 77.</w:t>
      </w:r>
    </w:p>
  </w:footnote>
  <w:footnote w:id="9">
    <w:p w14:paraId="32361E29" w14:textId="77777777" w:rsidR="0025618E" w:rsidRPr="00E24996" w:rsidRDefault="001D0653" w:rsidP="008F7F7B">
      <w:pPr>
        <w:pStyle w:val="Textonotapie"/>
        <w:jc w:val="both"/>
      </w:pPr>
      <w:r w:rsidRPr="00E24996">
        <w:rPr>
          <w:rStyle w:val="Refdenotaalpie"/>
        </w:rPr>
        <w:footnoteRef/>
      </w:r>
      <w:r w:rsidRPr="00E24996">
        <w:t xml:space="preserve"> </w:t>
      </w:r>
      <w:proofErr w:type="spellStart"/>
      <w:r w:rsidRPr="00E24996">
        <w:t>Ibídem</w:t>
      </w:r>
      <w:proofErr w:type="spellEnd"/>
      <w:r w:rsidRPr="00E24996">
        <w:t>. Páginas 66 a 79.</w:t>
      </w:r>
    </w:p>
  </w:footnote>
  <w:footnote w:id="10">
    <w:p w14:paraId="612FCACF" w14:textId="77777777" w:rsidR="00283CC6" w:rsidRPr="00E24996" w:rsidRDefault="001D0653">
      <w:pPr>
        <w:pStyle w:val="Textonotapie"/>
      </w:pPr>
      <w:r w:rsidRPr="00E24996">
        <w:rPr>
          <w:rStyle w:val="Refdenotaalpie"/>
        </w:rPr>
        <w:footnoteRef/>
      </w:r>
      <w:r w:rsidRPr="00E24996">
        <w:t xml:space="preserve"> Expediente digital CJU-5303. Carpeta “2017-00700”. Documento digital “31ActaAudienciaRemite.pdf”.</w:t>
      </w:r>
    </w:p>
  </w:footnote>
  <w:footnote w:id="11">
    <w:p w14:paraId="01843EB8" w14:textId="77777777" w:rsidR="00C10927" w:rsidRPr="00E24996" w:rsidRDefault="001D0653" w:rsidP="00C10927">
      <w:pPr>
        <w:pStyle w:val="Textonotapie"/>
      </w:pPr>
      <w:r w:rsidRPr="00E24996">
        <w:rPr>
          <w:rStyle w:val="Refdenotaalpie"/>
        </w:rPr>
        <w:footnoteRef/>
      </w:r>
      <w:r w:rsidRPr="00E24996">
        <w:t xml:space="preserve"> Expediente digital CJU-5305. Documento digital “02CJU-5305 Correo Remisorio.pdf”</w:t>
      </w:r>
    </w:p>
  </w:footnote>
  <w:footnote w:id="12">
    <w:p w14:paraId="4966D250" w14:textId="77777777" w:rsidR="008F7F7B" w:rsidRPr="00E24996" w:rsidRDefault="001D0653" w:rsidP="008F7F7B">
      <w:pPr>
        <w:pStyle w:val="Textonotapie"/>
        <w:jc w:val="both"/>
      </w:pPr>
      <w:r w:rsidRPr="00E24996">
        <w:rPr>
          <w:rStyle w:val="Refdenotaalpie"/>
        </w:rPr>
        <w:footnoteRef/>
      </w:r>
      <w:r w:rsidRPr="00E24996">
        <w:t xml:space="preserve"> Expediente digital CJU-5305. Documento digital </w:t>
      </w:r>
      <w:r w:rsidRPr="00E24996">
        <w:rPr>
          <w:iCs/>
        </w:rPr>
        <w:t>“03CJU-5305 Constancia de Reparto.pdf”</w:t>
      </w:r>
    </w:p>
  </w:footnote>
  <w:footnote w:id="13">
    <w:p w14:paraId="089F2D1F" w14:textId="77777777" w:rsidR="00DB1DCB" w:rsidRPr="00E24996" w:rsidRDefault="001D0653" w:rsidP="00DB1DCB">
      <w:pPr>
        <w:pStyle w:val="Textonotapie"/>
        <w:jc w:val="both"/>
      </w:pPr>
      <w:r w:rsidRPr="00E24996">
        <w:rPr>
          <w:rStyle w:val="Refdenotaalpie"/>
        </w:rPr>
        <w:footnoteRef/>
      </w:r>
      <w:r w:rsidRPr="00E24996">
        <w:t xml:space="preserve"> Constitución Política de la República de Colombia. Artículo 241. A la Corte Constitucional se le confía la guarda de la integridad y supremacía de la Constitución, en los estrictos y precisos términos de este artículo. Con tal fin, cumplirá las siguientes funciones: (...) 11. Dirimir los conflictos de competencia que ocurran entre las distintas jurisdicciones.</w:t>
      </w:r>
    </w:p>
  </w:footnote>
  <w:footnote w:id="14">
    <w:p w14:paraId="5D92A5F9" w14:textId="77777777" w:rsidR="002D4A21" w:rsidRPr="00E24996" w:rsidRDefault="001D0653" w:rsidP="002D4A21">
      <w:pPr>
        <w:pStyle w:val="Textonotapie"/>
      </w:pPr>
      <w:r w:rsidRPr="00E24996">
        <w:rPr>
          <w:rStyle w:val="Refdenotaalpie"/>
        </w:rPr>
        <w:footnoteRef/>
      </w:r>
      <w:r w:rsidRPr="00E24996">
        <w:t xml:space="preserve"> Corte Constitucional. Sentencia C-100 de 2019.</w:t>
      </w:r>
    </w:p>
  </w:footnote>
  <w:footnote w:id="15">
    <w:p w14:paraId="5DF625A2" w14:textId="77777777" w:rsidR="002D4A21" w:rsidRPr="00E24996" w:rsidRDefault="001D0653" w:rsidP="002D4A21">
      <w:pPr>
        <w:pStyle w:val="Textonotapie"/>
      </w:pPr>
      <w:r w:rsidRPr="00E24996">
        <w:rPr>
          <w:rStyle w:val="Refdenotaalpie"/>
        </w:rPr>
        <w:footnoteRef/>
      </w:r>
      <w:r w:rsidRPr="00E24996">
        <w:t xml:space="preserve"> Código General del Proceso. Artículo 303.</w:t>
      </w:r>
    </w:p>
  </w:footnote>
  <w:footnote w:id="16">
    <w:p w14:paraId="470EB26F" w14:textId="77777777" w:rsidR="002D4A21" w:rsidRPr="00E24996" w:rsidRDefault="001D0653" w:rsidP="002D4A21">
      <w:pPr>
        <w:pStyle w:val="Textonotapie"/>
      </w:pPr>
      <w:r w:rsidRPr="00E24996">
        <w:rPr>
          <w:rStyle w:val="Refdenotaalpie"/>
        </w:rPr>
        <w:footnoteRef/>
      </w:r>
      <w:r w:rsidRPr="00E24996">
        <w:t xml:space="preserve"> Corte Constitucional. Auto 711 de 2021.</w:t>
      </w:r>
    </w:p>
  </w:footnote>
  <w:footnote w:id="17">
    <w:p w14:paraId="19E02C76" w14:textId="77777777" w:rsidR="002D4A21" w:rsidRDefault="001D0653" w:rsidP="002D4A21">
      <w:pPr>
        <w:pStyle w:val="Textonotapie"/>
      </w:pPr>
      <w:r w:rsidRPr="00E24996">
        <w:rPr>
          <w:rStyle w:val="Refdenotaalpie"/>
        </w:rPr>
        <w:footnoteRef/>
      </w:r>
      <w:r w:rsidRPr="00E24996">
        <w:t xml:space="preserve"> Las consideraciones 10, 11 y 12 del presente Auto fueron retomadas de los Autos 2613 y 2449 de 2023, entre otros.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30A2"/>
    <w:multiLevelType w:val="hybridMultilevel"/>
    <w:tmpl w:val="2ADC96B6"/>
    <w:lvl w:ilvl="0" w:tplc="668C8150">
      <w:start w:val="1"/>
      <w:numFmt w:val="upperRoman"/>
      <w:lvlText w:val="%1."/>
      <w:lvlJc w:val="left"/>
      <w:pPr>
        <w:ind w:left="1080" w:hanging="720"/>
      </w:pPr>
      <w:rPr>
        <w:rFonts w:hint="default"/>
      </w:rPr>
    </w:lvl>
    <w:lvl w:ilvl="1" w:tplc="89F62DF8">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DCF337F"/>
    <w:multiLevelType w:val="hybridMultilevel"/>
    <w:tmpl w:val="95F0B606"/>
    <w:lvl w:ilvl="0" w:tplc="0DAE1132">
      <w:start w:val="8"/>
      <w:numFmt w:val="decimal"/>
      <w:lvlText w:val="§%1."/>
      <w:lvlJc w:val="left"/>
      <w:pPr>
        <w:ind w:left="144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C9177F5"/>
    <w:multiLevelType w:val="hybridMultilevel"/>
    <w:tmpl w:val="AE405C84"/>
    <w:lvl w:ilvl="0" w:tplc="FCC224CC">
      <w:start w:val="7"/>
      <w:numFmt w:val="decimal"/>
      <w:lvlText w:val="§%1."/>
      <w:lvlJc w:val="left"/>
      <w:pPr>
        <w:ind w:left="144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E6B3B12"/>
    <w:multiLevelType w:val="hybridMultilevel"/>
    <w:tmpl w:val="C9204594"/>
    <w:lvl w:ilvl="0" w:tplc="E760FCD4">
      <w:start w:val="4"/>
      <w:numFmt w:val="decimal"/>
      <w:pStyle w:val="Prrafonumerado"/>
      <w:lvlText w:val="%1."/>
      <w:lvlJc w:val="left"/>
      <w:pPr>
        <w:ind w:left="360" w:hanging="360"/>
      </w:pPr>
      <w:rPr>
        <w:rFonts w:eastAsia="Times New Roman" w:hint="default"/>
        <w:b w:val="0"/>
        <w:i w:val="0"/>
        <w:iCs w:val="0"/>
      </w:rPr>
    </w:lvl>
    <w:lvl w:ilvl="1" w:tplc="A956C43A">
      <w:start w:val="1"/>
      <w:numFmt w:val="lowerRoman"/>
      <w:lvlText w:val="(%2)"/>
      <w:lvlJc w:val="left"/>
      <w:pPr>
        <w:ind w:left="1440" w:hanging="720"/>
      </w:pPr>
      <w:rPr>
        <w:rFonts w:hint="default"/>
      </w:r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C9D"/>
    <w:rsid w:val="00024FA0"/>
    <w:rsid w:val="00065EB1"/>
    <w:rsid w:val="001D0653"/>
    <w:rsid w:val="0060287F"/>
    <w:rsid w:val="00974F47"/>
    <w:rsid w:val="00AC2C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071B73"/>
  <w14:defaultImageDpi w14:val="0"/>
  <w15:docId w15:val="{7C20AA06-4E2D-418C-85C1-AD14DC09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C20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CD0B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qFormat/>
    <w:rsid w:val="0028487F"/>
    <w:pPr>
      <w:keepNext/>
      <w:jc w:val="center"/>
      <w:outlineLvl w:val="2"/>
    </w:pPr>
    <w:rPr>
      <w:rFonts w:eastAsia="MS Mincho"/>
      <w:b/>
      <w:sz w:val="32"/>
      <w:szCs w:val="20"/>
      <w:lang w:val="es-MX"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r,Footnote Text Char,Pie de Págin,ft,C"/>
    <w:basedOn w:val="Normal"/>
    <w:link w:val="TextonotapieCar1"/>
    <w:uiPriority w:val="99"/>
    <w:qFormat/>
    <w:rsid w:val="00226D0F"/>
    <w:rPr>
      <w:sz w:val="20"/>
      <w:szCs w:val="20"/>
    </w:rPr>
  </w:style>
  <w:style w:type="character" w:customStyle="1" w:styleId="TextonotapieCar">
    <w:name w:val="Texto nota pie Car"/>
    <w:aliases w:val="Ref. de nota al pie1 Car,Footnote Text Char Car,Footnote Text Char Char Char Char Char Char1 Car,Footnote Text Char Char Char Char Char Char Char1 Car,referencia nota al pie Car,Fago Fußnotenzeichen Car,Appel note de bas de page Car"/>
    <w:basedOn w:val="Fuentedeprrafopredeter"/>
    <w:uiPriority w:val="99"/>
    <w:qFormat/>
    <w:rsid w:val="00226D0F"/>
    <w:rPr>
      <w:rFonts w:ascii="Times New Roman" w:eastAsia="Times New Roman" w:hAnsi="Times New Roman" w:cs="Times New Roman"/>
      <w:sz w:val="20"/>
      <w:szCs w:val="20"/>
      <w:lang w:val="es-ES" w:eastAsia="es-ES"/>
    </w:rPr>
  </w:style>
  <w:style w:type="character" w:styleId="Refdenotaalpie">
    <w:name w:val="footnote reference"/>
    <w:aliases w:val="Texto de nota al pie,Footnotes refss,Appel note de bas de page,referencia nota al pie,Footnote number,BVI fnr,f,Texto nota pie Car Car1,texto de nota al pie Car Car,Texto nota pie Car Car Car,Ref. de nota al pie 2,4_G,16 Point,FC,F,R"/>
    <w:link w:val="Piedepagina"/>
    <w:uiPriority w:val="99"/>
    <w:qFormat/>
    <w:rsid w:val="00226D0F"/>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Footnote Text Char Char Char Char Char Char Char Char Car"/>
    <w:link w:val="Textonotapie"/>
    <w:uiPriority w:val="99"/>
    <w:qFormat/>
    <w:locked/>
    <w:rsid w:val="00226D0F"/>
    <w:rPr>
      <w:rFonts w:ascii="Times New Roman" w:eastAsia="Times New Roman" w:hAnsi="Times New Roman" w:cs="Times New Roman"/>
      <w:sz w:val="20"/>
      <w:szCs w:val="20"/>
      <w:lang w:val="es-ES" w:eastAsia="es-ES"/>
    </w:rPr>
  </w:style>
  <w:style w:type="paragraph" w:customStyle="1" w:styleId="Piedepagina">
    <w:name w:val="Pie de pagina"/>
    <w:aliases w:val="Ref. de nota al pie2,Nota de pie"/>
    <w:basedOn w:val="Normal"/>
    <w:link w:val="Refdenotaalpie"/>
    <w:uiPriority w:val="99"/>
    <w:qFormat/>
    <w:rsid w:val="00226D0F"/>
    <w:pPr>
      <w:spacing w:line="240" w:lineRule="exact"/>
    </w:pPr>
    <w:rPr>
      <w:rFonts w:eastAsiaTheme="minorHAnsi"/>
      <w:vertAlign w:val="superscript"/>
      <w:lang w:eastAsia="en-US"/>
    </w:rPr>
  </w:style>
  <w:style w:type="paragraph" w:styleId="Prrafodelista">
    <w:name w:val="List Paragraph"/>
    <w:aliases w:val="Footnote,Colorful List - Accent 11,List Paragraph2,List Paragraph1,Ha,lp1,párrafo numerado,List1,titulo 3,Párrafo de lista1,Bullets,Párrafo de lista2,Cuadrícula clara - Énfasis 31,Dot pt,F5 List Paragraph,No Spacing1,Normal2,Normal1"/>
    <w:basedOn w:val="Normal"/>
    <w:link w:val="PrrafodelistaCar"/>
    <w:uiPriority w:val="34"/>
    <w:qFormat/>
    <w:rsid w:val="00226D0F"/>
    <w:pPr>
      <w:ind w:left="720"/>
      <w:contextualSpacing/>
    </w:pPr>
  </w:style>
  <w:style w:type="paragraph" w:customStyle="1" w:styleId="Listavistosa-nfasis11">
    <w:name w:val="Lista vistosa - Énfasis 11"/>
    <w:basedOn w:val="Normal"/>
    <w:uiPriority w:val="34"/>
    <w:qFormat/>
    <w:rsid w:val="00226D0F"/>
    <w:pPr>
      <w:ind w:left="720"/>
      <w:contextualSpacing/>
    </w:pPr>
    <w:rPr>
      <w:rFonts w:eastAsia="Calibri"/>
      <w:lang w:eastAsia="en-US"/>
    </w:rPr>
  </w:style>
  <w:style w:type="paragraph" w:customStyle="1" w:styleId="Style2">
    <w:name w:val="Style2"/>
    <w:basedOn w:val="Normal"/>
    <w:uiPriority w:val="99"/>
    <w:rsid w:val="00226D0F"/>
    <w:pPr>
      <w:widowControl w:val="0"/>
      <w:autoSpaceDE w:val="0"/>
      <w:autoSpaceDN w:val="0"/>
      <w:adjustRightInd w:val="0"/>
      <w:spacing w:line="322" w:lineRule="exact"/>
      <w:jc w:val="center"/>
    </w:pPr>
  </w:style>
  <w:style w:type="paragraph" w:customStyle="1" w:styleId="Style5">
    <w:name w:val="Style5"/>
    <w:basedOn w:val="Normal"/>
    <w:uiPriority w:val="99"/>
    <w:rsid w:val="00226D0F"/>
    <w:pPr>
      <w:widowControl w:val="0"/>
      <w:autoSpaceDE w:val="0"/>
      <w:autoSpaceDN w:val="0"/>
      <w:adjustRightInd w:val="0"/>
    </w:pPr>
  </w:style>
  <w:style w:type="paragraph" w:customStyle="1" w:styleId="Style6">
    <w:name w:val="Style6"/>
    <w:basedOn w:val="Normal"/>
    <w:uiPriority w:val="99"/>
    <w:rsid w:val="00226D0F"/>
    <w:pPr>
      <w:widowControl w:val="0"/>
      <w:autoSpaceDE w:val="0"/>
      <w:autoSpaceDN w:val="0"/>
      <w:adjustRightInd w:val="0"/>
      <w:spacing w:line="322" w:lineRule="exact"/>
      <w:jc w:val="both"/>
    </w:pPr>
  </w:style>
  <w:style w:type="character" w:customStyle="1" w:styleId="FontStyle11">
    <w:name w:val="Font Style11"/>
    <w:uiPriority w:val="99"/>
    <w:rsid w:val="00226D0F"/>
    <w:rPr>
      <w:rFonts w:ascii="Times New Roman" w:hAnsi="Times New Roman" w:cs="Times New Roman"/>
      <w:b/>
      <w:bCs/>
      <w:sz w:val="26"/>
      <w:szCs w:val="26"/>
    </w:rPr>
  </w:style>
  <w:style w:type="character" w:customStyle="1" w:styleId="FontStyle12">
    <w:name w:val="Font Style12"/>
    <w:uiPriority w:val="99"/>
    <w:rsid w:val="00226D0F"/>
    <w:rPr>
      <w:rFonts w:ascii="Times New Roman" w:hAnsi="Times New Roman" w:cs="Times New Roman"/>
      <w:sz w:val="26"/>
      <w:szCs w:val="26"/>
    </w:rPr>
  </w:style>
  <w:style w:type="character" w:customStyle="1" w:styleId="FontStyle13">
    <w:name w:val="Font Style13"/>
    <w:uiPriority w:val="99"/>
    <w:rsid w:val="00226D0F"/>
    <w:rPr>
      <w:rFonts w:ascii="Times New Roman" w:hAnsi="Times New Roman" w:cs="Times New Roman"/>
      <w:i/>
      <w:iCs/>
      <w:sz w:val="26"/>
      <w:szCs w:val="26"/>
    </w:rPr>
  </w:style>
  <w:style w:type="paragraph" w:styleId="Sinespaciado">
    <w:name w:val="No Spacing"/>
    <w:uiPriority w:val="1"/>
    <w:qFormat/>
    <w:rsid w:val="00226D0F"/>
    <w:pPr>
      <w:spacing w:after="0" w:line="240" w:lineRule="auto"/>
    </w:pPr>
    <w:rPr>
      <w:rFonts w:ascii="Times New Roman" w:eastAsia="Times New Roman" w:hAnsi="Times New Roman" w:cs="Times New Roman"/>
      <w:sz w:val="28"/>
      <w:szCs w:val="28"/>
      <w:lang w:val="es-ES" w:eastAsia="es-ES"/>
    </w:rPr>
  </w:style>
  <w:style w:type="paragraph" w:styleId="Encabezado">
    <w:name w:val="header"/>
    <w:basedOn w:val="Normal"/>
    <w:link w:val="EncabezadoCar"/>
    <w:uiPriority w:val="99"/>
    <w:unhideWhenUsed/>
    <w:rsid w:val="00DB7DCD"/>
    <w:pPr>
      <w:tabs>
        <w:tab w:val="center" w:pos="4419"/>
        <w:tab w:val="right" w:pos="8838"/>
      </w:tabs>
    </w:pPr>
  </w:style>
  <w:style w:type="character" w:customStyle="1" w:styleId="EncabezadoCar">
    <w:name w:val="Encabezado Car"/>
    <w:basedOn w:val="Fuentedeprrafopredeter"/>
    <w:link w:val="Encabezado"/>
    <w:uiPriority w:val="99"/>
    <w:rsid w:val="00DB7DCD"/>
    <w:rPr>
      <w:rFonts w:ascii="Times New Roman" w:eastAsia="Times New Roman" w:hAnsi="Times New Roman" w:cs="Times New Roman"/>
      <w:sz w:val="28"/>
      <w:szCs w:val="28"/>
      <w:lang w:val="es-ES" w:eastAsia="es-ES"/>
    </w:rPr>
  </w:style>
  <w:style w:type="paragraph" w:styleId="Piedepgina">
    <w:name w:val="footer"/>
    <w:basedOn w:val="Normal"/>
    <w:link w:val="PiedepginaCar"/>
    <w:uiPriority w:val="99"/>
    <w:unhideWhenUsed/>
    <w:rsid w:val="00DB7DCD"/>
    <w:pPr>
      <w:tabs>
        <w:tab w:val="center" w:pos="4419"/>
        <w:tab w:val="right" w:pos="8838"/>
      </w:tabs>
    </w:pPr>
  </w:style>
  <w:style w:type="character" w:customStyle="1" w:styleId="PiedepginaCar">
    <w:name w:val="Pie de página Car"/>
    <w:basedOn w:val="Fuentedeprrafopredeter"/>
    <w:link w:val="Piedepgina"/>
    <w:uiPriority w:val="99"/>
    <w:rsid w:val="00DB7DCD"/>
    <w:rPr>
      <w:rFonts w:ascii="Times New Roman" w:eastAsia="Times New Roman" w:hAnsi="Times New Roman" w:cs="Times New Roman"/>
      <w:sz w:val="28"/>
      <w:szCs w:val="28"/>
      <w:lang w:val="es-ES" w:eastAsia="es-ES"/>
    </w:rPr>
  </w:style>
  <w:style w:type="character" w:styleId="Hipervnculo">
    <w:name w:val="Hyperlink"/>
    <w:basedOn w:val="Fuentedeprrafopredeter"/>
    <w:uiPriority w:val="99"/>
    <w:unhideWhenUsed/>
    <w:rsid w:val="008F741C"/>
    <w:rPr>
      <w:color w:val="0563C1" w:themeColor="hyperlink"/>
      <w:u w:val="single"/>
    </w:rPr>
  </w:style>
  <w:style w:type="paragraph" w:styleId="Ttulo">
    <w:name w:val="Title"/>
    <w:basedOn w:val="Normal"/>
    <w:link w:val="TtuloCar"/>
    <w:qFormat/>
    <w:rsid w:val="00F12884"/>
    <w:pPr>
      <w:jc w:val="center"/>
    </w:pPr>
    <w:rPr>
      <w:rFonts w:ascii="Verdana" w:hAnsi="Verdana"/>
      <w:sz w:val="32"/>
      <w:szCs w:val="20"/>
    </w:rPr>
  </w:style>
  <w:style w:type="character" w:customStyle="1" w:styleId="TtuloCar">
    <w:name w:val="Título Car"/>
    <w:basedOn w:val="Fuentedeprrafopredeter"/>
    <w:link w:val="Ttulo"/>
    <w:rsid w:val="00F12884"/>
    <w:rPr>
      <w:rFonts w:ascii="Verdana" w:eastAsia="Times New Roman" w:hAnsi="Verdana" w:cs="Times New Roman"/>
      <w:sz w:val="32"/>
      <w:szCs w:val="20"/>
      <w:lang w:eastAsia="es-ES"/>
    </w:rPr>
  </w:style>
  <w:style w:type="character" w:styleId="Hipervnculovisitado">
    <w:name w:val="FollowedHyperlink"/>
    <w:basedOn w:val="Fuentedeprrafopredeter"/>
    <w:uiPriority w:val="99"/>
    <w:semiHidden/>
    <w:unhideWhenUsed/>
    <w:rsid w:val="00F12884"/>
    <w:rPr>
      <w:color w:val="954F72" w:themeColor="followedHyperlink"/>
      <w:u w:val="single"/>
    </w:rPr>
  </w:style>
  <w:style w:type="character" w:customStyle="1" w:styleId="textonavy1">
    <w:name w:val="texto_navy1"/>
    <w:rsid w:val="007C4930"/>
    <w:rPr>
      <w:rFonts w:ascii="Times New Roman" w:hAnsi="Times New Roman"/>
      <w:color w:val="000000"/>
    </w:rPr>
  </w:style>
  <w:style w:type="paragraph" w:customStyle="1" w:styleId="Default">
    <w:name w:val="Default"/>
    <w:rsid w:val="00D3017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rsid w:val="002142B3"/>
  </w:style>
  <w:style w:type="paragraph" w:customStyle="1" w:styleId="Car">
    <w:name w:val="Car"/>
    <w:basedOn w:val="Normal"/>
    <w:rsid w:val="00600310"/>
    <w:pPr>
      <w:spacing w:line="240" w:lineRule="exact"/>
    </w:pPr>
    <w:rPr>
      <w:rFonts w:eastAsia="MS Mincho"/>
      <w:noProof/>
      <w:color w:val="000000"/>
      <w:sz w:val="20"/>
      <w:szCs w:val="20"/>
    </w:rPr>
  </w:style>
  <w:style w:type="character" w:customStyle="1" w:styleId="Mencinsinresolver1">
    <w:name w:val="Mención sin resolver1"/>
    <w:basedOn w:val="Fuentedeprrafopredeter"/>
    <w:uiPriority w:val="99"/>
    <w:semiHidden/>
    <w:unhideWhenUsed/>
    <w:rsid w:val="00EA228B"/>
    <w:rPr>
      <w:color w:val="605E5C"/>
      <w:shd w:val="clear" w:color="auto" w:fill="E1DFDD"/>
    </w:rPr>
  </w:style>
  <w:style w:type="character" w:styleId="Refdecomentario">
    <w:name w:val="annotation reference"/>
    <w:basedOn w:val="Fuentedeprrafopredeter"/>
    <w:uiPriority w:val="99"/>
    <w:semiHidden/>
    <w:unhideWhenUsed/>
    <w:rsid w:val="00651BA7"/>
    <w:rPr>
      <w:sz w:val="16"/>
      <w:szCs w:val="16"/>
    </w:rPr>
  </w:style>
  <w:style w:type="paragraph" w:styleId="Textocomentario">
    <w:name w:val="annotation text"/>
    <w:basedOn w:val="Normal"/>
    <w:link w:val="TextocomentarioCar"/>
    <w:uiPriority w:val="99"/>
    <w:unhideWhenUsed/>
    <w:rsid w:val="00651BA7"/>
    <w:rPr>
      <w:sz w:val="20"/>
      <w:szCs w:val="20"/>
    </w:rPr>
  </w:style>
  <w:style w:type="character" w:customStyle="1" w:styleId="TextocomentarioCar">
    <w:name w:val="Texto comentario Car"/>
    <w:basedOn w:val="Fuentedeprrafopredeter"/>
    <w:link w:val="Textocomentario"/>
    <w:uiPriority w:val="99"/>
    <w:rsid w:val="00651BA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51BA7"/>
    <w:rPr>
      <w:b/>
      <w:bCs/>
    </w:rPr>
  </w:style>
  <w:style w:type="character" w:customStyle="1" w:styleId="AsuntodelcomentarioCar">
    <w:name w:val="Asunto del comentario Car"/>
    <w:basedOn w:val="TextocomentarioCar"/>
    <w:link w:val="Asuntodelcomentario"/>
    <w:uiPriority w:val="99"/>
    <w:semiHidden/>
    <w:rsid w:val="00651BA7"/>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651B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1BA7"/>
    <w:rPr>
      <w:rFonts w:ascii="Segoe UI" w:eastAsia="Times New Roman" w:hAnsi="Segoe UI" w:cs="Segoe UI"/>
      <w:sz w:val="18"/>
      <w:szCs w:val="18"/>
      <w:lang w:val="es-ES" w:eastAsia="es-ES"/>
    </w:rPr>
  </w:style>
  <w:style w:type="character" w:customStyle="1" w:styleId="PrrafodelistaCar">
    <w:name w:val="Párrafo de lista Car"/>
    <w:aliases w:val="Footnote Car,Colorful List - Accent 11 Car,List Paragraph2 Car,List Paragraph1 Car,Ha Car,lp1 Car,párrafo numerado Car,List1 Car,titulo 3 Car,Párrafo de lista1 Car,Bullets Car,Párrafo de lista2 Car,Cuadrícula clara - Énfasis 31 Car"/>
    <w:link w:val="Prrafodelista"/>
    <w:uiPriority w:val="34"/>
    <w:locked/>
    <w:rsid w:val="00BA49BA"/>
    <w:rPr>
      <w:rFonts w:ascii="Times New Roman" w:eastAsia="Times New Roman" w:hAnsi="Times New Roman" w:cs="Times New Roman"/>
      <w:sz w:val="28"/>
      <w:szCs w:val="28"/>
      <w:lang w:val="es-ES" w:eastAsia="es-ES"/>
    </w:rPr>
  </w:style>
  <w:style w:type="character" w:customStyle="1" w:styleId="Ttulo3Car">
    <w:name w:val="Título 3 Car"/>
    <w:basedOn w:val="Fuentedeprrafopredeter"/>
    <w:link w:val="Ttulo3"/>
    <w:uiPriority w:val="9"/>
    <w:rsid w:val="0028487F"/>
    <w:rPr>
      <w:rFonts w:ascii="Times New Roman" w:eastAsia="MS Mincho" w:hAnsi="Times New Roman" w:cs="Times New Roman"/>
      <w:b/>
      <w:sz w:val="32"/>
      <w:szCs w:val="20"/>
      <w:lang w:val="es-MX" w:eastAsia="zh-CN"/>
    </w:rPr>
  </w:style>
  <w:style w:type="character" w:customStyle="1" w:styleId="Mencinsinresolver2">
    <w:name w:val="Mención sin resolver2"/>
    <w:basedOn w:val="Fuentedeprrafopredeter"/>
    <w:uiPriority w:val="99"/>
    <w:semiHidden/>
    <w:unhideWhenUsed/>
    <w:rsid w:val="00051908"/>
    <w:rPr>
      <w:color w:val="605E5C"/>
      <w:shd w:val="clear" w:color="auto" w:fill="E1DFDD"/>
    </w:rPr>
  </w:style>
  <w:style w:type="paragraph" w:styleId="NormalWeb">
    <w:name w:val="Normal (Web)"/>
    <w:basedOn w:val="Normal"/>
    <w:uiPriority w:val="99"/>
    <w:unhideWhenUsed/>
    <w:rsid w:val="005A341B"/>
    <w:pPr>
      <w:spacing w:before="100" w:beforeAutospacing="1" w:after="100" w:afterAutospacing="1"/>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5A341B"/>
    <w:pPr>
      <w:jc w:val="both"/>
    </w:pPr>
    <w:rPr>
      <w:rFonts w:eastAsiaTheme="minorHAnsi"/>
      <w:vertAlign w:val="superscript"/>
      <w:lang w:eastAsia="en-US"/>
    </w:rPr>
  </w:style>
  <w:style w:type="character" w:customStyle="1" w:styleId="Mencinsinresolver3">
    <w:name w:val="Mención sin resolver3"/>
    <w:basedOn w:val="Fuentedeprrafopredeter"/>
    <w:uiPriority w:val="99"/>
    <w:semiHidden/>
    <w:unhideWhenUsed/>
    <w:rsid w:val="00011023"/>
    <w:rPr>
      <w:color w:val="605E5C"/>
      <w:shd w:val="clear" w:color="auto" w:fill="E1DFDD"/>
    </w:rPr>
  </w:style>
  <w:style w:type="paragraph" w:styleId="Revisin">
    <w:name w:val="Revision"/>
    <w:hidden/>
    <w:uiPriority w:val="99"/>
    <w:semiHidden/>
    <w:rsid w:val="00F05BDB"/>
    <w:pPr>
      <w:spacing w:after="0" w:line="240" w:lineRule="auto"/>
    </w:pPr>
    <w:rPr>
      <w:rFonts w:ascii="Times New Roman" w:eastAsia="Times New Roman" w:hAnsi="Times New Roman" w:cs="Times New Roman"/>
      <w:sz w:val="24"/>
      <w:szCs w:val="24"/>
      <w:lang w:eastAsia="es-MX"/>
    </w:rPr>
  </w:style>
  <w:style w:type="paragraph" w:customStyle="1" w:styleId="paragraph">
    <w:name w:val="paragraph"/>
    <w:basedOn w:val="Normal"/>
    <w:rsid w:val="009509F5"/>
    <w:pPr>
      <w:spacing w:before="100" w:beforeAutospacing="1" w:after="100" w:afterAutospacing="1"/>
    </w:pPr>
    <w:rPr>
      <w:lang w:val="es-419" w:eastAsia="es-419"/>
    </w:rPr>
  </w:style>
  <w:style w:type="character" w:customStyle="1" w:styleId="normaltextrun">
    <w:name w:val="normaltextrun"/>
    <w:basedOn w:val="Fuentedeprrafopredeter"/>
    <w:rsid w:val="009509F5"/>
  </w:style>
  <w:style w:type="character" w:customStyle="1" w:styleId="eop">
    <w:name w:val="eop"/>
    <w:basedOn w:val="Fuentedeprrafopredeter"/>
    <w:rsid w:val="009509F5"/>
  </w:style>
  <w:style w:type="character" w:customStyle="1" w:styleId="Mencinsinresolver4">
    <w:name w:val="Mención sin resolver4"/>
    <w:basedOn w:val="Fuentedeprrafopredeter"/>
    <w:uiPriority w:val="99"/>
    <w:semiHidden/>
    <w:unhideWhenUsed/>
    <w:rsid w:val="00C932BD"/>
    <w:rPr>
      <w:color w:val="605E5C"/>
      <w:shd w:val="clear" w:color="auto" w:fill="E1DFDD"/>
    </w:rPr>
  </w:style>
  <w:style w:type="paragraph" w:styleId="Textoindependiente">
    <w:name w:val="Body Text"/>
    <w:basedOn w:val="Normal"/>
    <w:link w:val="TextoindependienteCar"/>
    <w:uiPriority w:val="1"/>
    <w:qFormat/>
    <w:rsid w:val="00E04E4E"/>
    <w:pPr>
      <w:widowControl w:val="0"/>
      <w:autoSpaceDE w:val="0"/>
      <w:autoSpaceDN w:val="0"/>
      <w:spacing w:before="-1" w:after="-1"/>
    </w:pPr>
    <w:rPr>
      <w:sz w:val="28"/>
      <w:szCs w:val="28"/>
      <w:lang w:val="es-ES" w:eastAsia="en-US"/>
    </w:rPr>
  </w:style>
  <w:style w:type="character" w:customStyle="1" w:styleId="TextoindependienteCar">
    <w:name w:val="Texto independiente Car"/>
    <w:basedOn w:val="Fuentedeprrafopredeter"/>
    <w:link w:val="Textoindependiente"/>
    <w:uiPriority w:val="1"/>
    <w:rsid w:val="00E04E4E"/>
    <w:rPr>
      <w:rFonts w:ascii="Times New Roman" w:eastAsia="Times New Roman" w:hAnsi="Times New Roman" w:cs="Times New Roman"/>
      <w:sz w:val="28"/>
      <w:szCs w:val="28"/>
      <w:lang w:val="es-ES"/>
    </w:rPr>
  </w:style>
  <w:style w:type="character" w:customStyle="1" w:styleId="Mencinsinresolver5">
    <w:name w:val="Mención sin resolver5"/>
    <w:basedOn w:val="Fuentedeprrafopredeter"/>
    <w:uiPriority w:val="99"/>
    <w:semiHidden/>
    <w:unhideWhenUsed/>
    <w:rsid w:val="00B349F4"/>
    <w:rPr>
      <w:color w:val="605E5C"/>
      <w:shd w:val="clear" w:color="auto" w:fill="E1DFDD"/>
    </w:rPr>
  </w:style>
  <w:style w:type="table" w:styleId="Tablaconcuadrcula">
    <w:name w:val="Table Grid"/>
    <w:basedOn w:val="Tablanormal"/>
    <w:uiPriority w:val="39"/>
    <w:rsid w:val="00C94E5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004D4B"/>
    <w:pPr>
      <w:spacing w:after="200" w:line="276" w:lineRule="auto"/>
      <w:ind w:left="283" w:hanging="283"/>
      <w:contextualSpacing/>
    </w:pPr>
    <w:rPr>
      <w:sz w:val="28"/>
      <w:lang w:eastAsia="en-US"/>
    </w:rPr>
  </w:style>
  <w:style w:type="paragraph" w:customStyle="1" w:styleId="Prrafonumerado">
    <w:name w:val="Párrafo numerado"/>
    <w:basedOn w:val="Prrafodelista"/>
    <w:link w:val="PrrafonumeradoChar1"/>
    <w:qFormat/>
    <w:rsid w:val="002069B3"/>
    <w:pPr>
      <w:numPr>
        <w:numId w:val="1"/>
      </w:numPr>
      <w:tabs>
        <w:tab w:val="left" w:pos="426"/>
      </w:tabs>
      <w:jc w:val="both"/>
    </w:pPr>
    <w:rPr>
      <w:bCs/>
      <w:color w:val="000000" w:themeColor="text1"/>
      <w:sz w:val="28"/>
      <w:szCs w:val="28"/>
      <w:lang w:val="es-ES" w:eastAsia="es-ES"/>
    </w:rPr>
  </w:style>
  <w:style w:type="character" w:customStyle="1" w:styleId="PrrafonumeradoChar1">
    <w:name w:val="Párrafo numerado Char1"/>
    <w:basedOn w:val="Fuentedeprrafopredeter"/>
    <w:link w:val="Prrafonumerado"/>
    <w:rsid w:val="002069B3"/>
    <w:rPr>
      <w:rFonts w:ascii="Times New Roman" w:eastAsia="Times New Roman" w:hAnsi="Times New Roman" w:cs="Times New Roman"/>
      <w:bCs/>
      <w:color w:val="000000" w:themeColor="text1"/>
      <w:sz w:val="28"/>
      <w:szCs w:val="28"/>
      <w:lang w:val="es-ES" w:eastAsia="es-ES"/>
    </w:rPr>
  </w:style>
  <w:style w:type="character" w:customStyle="1" w:styleId="tabchar">
    <w:name w:val="tabchar"/>
    <w:basedOn w:val="Fuentedeprrafopredeter"/>
    <w:rsid w:val="00724646"/>
  </w:style>
  <w:style w:type="character" w:customStyle="1" w:styleId="superscript">
    <w:name w:val="superscript"/>
    <w:basedOn w:val="Fuentedeprrafopredeter"/>
    <w:rsid w:val="00724646"/>
  </w:style>
  <w:style w:type="character" w:customStyle="1" w:styleId="Ttulo2Car">
    <w:name w:val="Título 2 Car"/>
    <w:basedOn w:val="Fuentedeprrafopredeter"/>
    <w:link w:val="Ttulo2"/>
    <w:uiPriority w:val="9"/>
    <w:semiHidden/>
    <w:rsid w:val="00CD0B25"/>
    <w:rPr>
      <w:rFonts w:asciiTheme="majorHAnsi" w:eastAsiaTheme="majorEastAsia" w:hAnsiTheme="majorHAnsi" w:cstheme="majorBidi"/>
      <w:color w:val="2E74B5" w:themeColor="accent1" w:themeShade="BF"/>
      <w:sz w:val="26"/>
      <w:szCs w:val="26"/>
      <w:lang w:eastAsia="es-MX"/>
    </w:rPr>
  </w:style>
  <w:style w:type="character" w:customStyle="1" w:styleId="fontstyle110">
    <w:name w:val="fontstyle11"/>
    <w:basedOn w:val="Fuentedeprrafopredeter"/>
    <w:rsid w:val="00391399"/>
  </w:style>
  <w:style w:type="character" w:customStyle="1" w:styleId="Ttulo1Car">
    <w:name w:val="Título 1 Car"/>
    <w:basedOn w:val="Fuentedeprrafopredeter"/>
    <w:link w:val="Ttulo1"/>
    <w:uiPriority w:val="9"/>
    <w:rsid w:val="005C2025"/>
    <w:rPr>
      <w:rFonts w:asciiTheme="majorHAnsi" w:eastAsiaTheme="majorEastAsia" w:hAnsiTheme="majorHAnsi" w:cstheme="majorBidi"/>
      <w:color w:val="2E74B5" w:themeColor="accent1" w:themeShade="BF"/>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1921</Words>
  <Characters>10569</Characters>
  <Application>Microsoft Office Word</Application>
  <DocSecurity>0</DocSecurity>
  <Lines>88</Lines>
  <Paragraphs>24</Paragraphs>
  <ScaleCrop>false</ScaleCrop>
  <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UsrIIS</dc:creator>
  <cp:keywords/>
  <dc:description/>
  <cp:lastModifiedBy>Marleny Aldana Sandoval</cp:lastModifiedBy>
  <cp:revision>2</cp:revision>
  <dcterms:created xsi:type="dcterms:W3CDTF">2024-06-06T21:42:00Z</dcterms:created>
  <dcterms:modified xsi:type="dcterms:W3CDTF">2024-06-06T21:42:00Z</dcterms:modified>
</cp:coreProperties>
</file>