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D8C886" w14:textId="77777777" w:rsidR="00F03FC0" w:rsidRDefault="00590058">
      <w:pPr>
        <w:jc w:val="right"/>
        <w:rPr>
          <w:rFonts w:ascii="Century Gothic" w:eastAsia="Century Gothic" w:hAnsi="Century Gothic" w:cs="Century Gothic"/>
          <w:b/>
          <w:sz w:val="24"/>
          <w:szCs w:val="24"/>
        </w:rPr>
      </w:pPr>
      <w:r>
        <w:rPr>
          <w:rFonts w:ascii="Century Gothic" w:eastAsia="Century Gothic" w:hAnsi="Century Gothic" w:cs="Century Gothic"/>
          <w:b/>
          <w:noProof/>
          <w:sz w:val="24"/>
          <w:szCs w:val="24"/>
        </w:rPr>
        <w:drawing>
          <wp:anchor distT="0" distB="0" distL="0" distR="0" simplePos="0" relativeHeight="251658240" behindDoc="1" locked="0" layoutInCell="1" hidden="0" allowOverlap="1" wp14:anchorId="5D7C19E7" wp14:editId="7CFAA16F">
            <wp:simplePos x="0" y="0"/>
            <wp:positionH relativeFrom="page">
              <wp:posOffset>2786063</wp:posOffset>
            </wp:positionH>
            <wp:positionV relativeFrom="page">
              <wp:posOffset>80010</wp:posOffset>
            </wp:positionV>
            <wp:extent cx="2200275" cy="1247775"/>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00275" cy="1247775"/>
                    </a:xfrm>
                    <a:prstGeom prst="rect">
                      <a:avLst/>
                    </a:prstGeom>
                    <a:ln/>
                  </pic:spPr>
                </pic:pic>
              </a:graphicData>
            </a:graphic>
          </wp:anchor>
        </w:drawing>
      </w:r>
      <w:r>
        <w:rPr>
          <w:rFonts w:ascii="Century Gothic" w:eastAsia="Century Gothic" w:hAnsi="Century Gothic" w:cs="Century Gothic"/>
          <w:b/>
          <w:sz w:val="24"/>
          <w:szCs w:val="24"/>
        </w:rPr>
        <w:t>Índice 11</w:t>
      </w:r>
    </w:p>
    <w:p w14:paraId="12919B9E" w14:textId="77777777" w:rsidR="00F03FC0" w:rsidRDefault="00590058">
      <w:pPr>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CONSEJO DE ESTADO</w:t>
      </w:r>
    </w:p>
    <w:p w14:paraId="770BB531" w14:textId="77777777" w:rsidR="00F03FC0" w:rsidRDefault="00590058">
      <w:pPr>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SALA DE LO CONTENCIOSO ADMINISTRATIVO</w:t>
      </w:r>
    </w:p>
    <w:p w14:paraId="17330CDE" w14:textId="77777777" w:rsidR="00F03FC0" w:rsidRDefault="00590058">
      <w:pPr>
        <w:jc w:val="center"/>
        <w:rPr>
          <w:rFonts w:ascii="Century Gothic" w:eastAsia="Century Gothic" w:hAnsi="Century Gothic" w:cs="Century Gothic"/>
          <w:b/>
          <w:sz w:val="24"/>
          <w:szCs w:val="24"/>
        </w:rPr>
      </w:pPr>
      <w:r>
        <w:rPr>
          <w:rFonts w:ascii="Century Gothic" w:eastAsia="Century Gothic" w:hAnsi="Century Gothic" w:cs="Century Gothic"/>
          <w:b/>
          <w:sz w:val="24"/>
          <w:szCs w:val="24"/>
        </w:rPr>
        <w:t>SECCIÓN TERCERA</w:t>
      </w:r>
    </w:p>
    <w:p w14:paraId="1C816210" w14:textId="77777777" w:rsidR="00F03FC0" w:rsidRDefault="00590058">
      <w:pPr>
        <w:jc w:val="center"/>
        <w:rPr>
          <w:rFonts w:ascii="Century Gothic" w:eastAsia="Century Gothic" w:hAnsi="Century Gothic" w:cs="Century Gothic"/>
          <w:sz w:val="24"/>
          <w:szCs w:val="24"/>
        </w:rPr>
      </w:pPr>
      <w:r>
        <w:rPr>
          <w:rFonts w:ascii="Century Gothic" w:eastAsia="Century Gothic" w:hAnsi="Century Gothic" w:cs="Century Gothic"/>
          <w:b/>
          <w:sz w:val="24"/>
          <w:szCs w:val="24"/>
        </w:rPr>
        <w:t>SECRETARÍA</w:t>
      </w:r>
    </w:p>
    <w:p w14:paraId="2A9BC93E" w14:textId="77777777" w:rsidR="00F03FC0" w:rsidRDefault="00F03FC0">
      <w:pPr>
        <w:rPr>
          <w:rFonts w:ascii="Century Gothic" w:eastAsia="Century Gothic" w:hAnsi="Century Gothic" w:cs="Century Gothic"/>
          <w:b/>
          <w:sz w:val="24"/>
          <w:szCs w:val="24"/>
        </w:rPr>
      </w:pPr>
    </w:p>
    <w:tbl>
      <w:tblPr>
        <w:tblStyle w:val="af2"/>
        <w:tblW w:w="8766" w:type="dxa"/>
        <w:jc w:val="center"/>
        <w:tblInd w:w="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8766"/>
      </w:tblGrid>
      <w:tr w:rsidR="00F03FC0" w14:paraId="2A3F25F1" w14:textId="77777777">
        <w:trPr>
          <w:trHeight w:val="135"/>
          <w:jc w:val="center"/>
        </w:trPr>
        <w:tc>
          <w:tcPr>
            <w:tcW w:w="8766" w:type="dxa"/>
            <w:shd w:val="clear" w:color="auto" w:fill="CCCCCC"/>
          </w:tcPr>
          <w:p w14:paraId="358429AA" w14:textId="77777777" w:rsidR="00F03FC0" w:rsidRDefault="00590058">
            <w:pPr>
              <w:rPr>
                <w:rFonts w:ascii="Century Gothic" w:eastAsia="Century Gothic" w:hAnsi="Century Gothic" w:cs="Century Gothic"/>
                <w:b/>
                <w:sz w:val="24"/>
                <w:szCs w:val="24"/>
              </w:rPr>
            </w:pPr>
            <w:bookmarkStart w:id="0" w:name="_heading=h.gjdgxs" w:colFirst="0" w:colLast="0"/>
            <w:bookmarkEnd w:id="0"/>
            <w:r>
              <w:rPr>
                <w:rFonts w:ascii="Century Gothic" w:eastAsia="Century Gothic" w:hAnsi="Century Gothic" w:cs="Century Gothic"/>
                <w:b/>
                <w:sz w:val="24"/>
                <w:szCs w:val="24"/>
              </w:rPr>
              <w:t>REF:</w:t>
            </w:r>
            <w:r>
              <w:rPr>
                <w:rFonts w:ascii="Century Gothic" w:eastAsia="Century Gothic" w:hAnsi="Century Gothic" w:cs="Century Gothic"/>
                <w:b/>
                <w:sz w:val="24"/>
                <w:szCs w:val="24"/>
              </w:rPr>
              <w:tab/>
              <w:t xml:space="preserve">EXPEDIENTE </w:t>
            </w:r>
            <w:proofErr w:type="spellStart"/>
            <w:r>
              <w:rPr>
                <w:rFonts w:ascii="Century Gothic" w:eastAsia="Century Gothic" w:hAnsi="Century Gothic" w:cs="Century Gothic"/>
                <w:b/>
                <w:sz w:val="24"/>
                <w:szCs w:val="24"/>
              </w:rPr>
              <w:t>N°</w:t>
            </w:r>
            <w:proofErr w:type="spellEnd"/>
            <w:r>
              <w:rPr>
                <w:rFonts w:ascii="Century Gothic" w:eastAsia="Century Gothic" w:hAnsi="Century Gothic" w:cs="Century Gothic"/>
                <w:b/>
                <w:sz w:val="24"/>
                <w:szCs w:val="24"/>
              </w:rPr>
              <w:t xml:space="preserve"> 76001233300020160136001 (69731) </w:t>
            </w:r>
          </w:p>
        </w:tc>
      </w:tr>
    </w:tbl>
    <w:p w14:paraId="539F5775" w14:textId="77777777" w:rsidR="00F03FC0" w:rsidRDefault="00F03FC0">
      <w:pPr>
        <w:rPr>
          <w:rFonts w:ascii="Century Gothic" w:eastAsia="Century Gothic" w:hAnsi="Century Gothic" w:cs="Century Gothic"/>
          <w:b/>
          <w:sz w:val="24"/>
          <w:szCs w:val="24"/>
        </w:rPr>
      </w:pPr>
    </w:p>
    <w:p w14:paraId="22EAF33B" w14:textId="7E5806E2" w:rsidR="00F03FC0" w:rsidRDefault="00590058">
      <w:pPr>
        <w:jc w:val="both"/>
        <w:rPr>
          <w:rFonts w:ascii="Century Gothic" w:eastAsia="Century Gothic" w:hAnsi="Century Gothic" w:cs="Century Gothic"/>
          <w:sz w:val="24"/>
          <w:szCs w:val="24"/>
        </w:rPr>
      </w:pPr>
      <w:bookmarkStart w:id="1" w:name="_heading=h.30j0zll" w:colFirst="0" w:colLast="0"/>
      <w:bookmarkEnd w:id="1"/>
      <w:r>
        <w:rPr>
          <w:rFonts w:ascii="Century Gothic" w:eastAsia="Century Gothic" w:hAnsi="Century Gothic" w:cs="Century Gothic"/>
          <w:sz w:val="24"/>
          <w:szCs w:val="24"/>
        </w:rPr>
        <w:t xml:space="preserve">Al Despacho de la Magistrada </w:t>
      </w:r>
      <w:r>
        <w:rPr>
          <w:rFonts w:ascii="Century Gothic" w:eastAsia="Century Gothic" w:hAnsi="Century Gothic" w:cs="Century Gothic"/>
          <w:b/>
          <w:sz w:val="24"/>
          <w:szCs w:val="24"/>
        </w:rPr>
        <w:t>MARÍA ADRIANA MARÍN</w:t>
      </w:r>
      <w:r>
        <w:rPr>
          <w:rFonts w:ascii="Century Gothic" w:eastAsia="Century Gothic" w:hAnsi="Century Gothic" w:cs="Century Gothic"/>
          <w:sz w:val="24"/>
          <w:szCs w:val="24"/>
        </w:rPr>
        <w:t xml:space="preserve"> hoy 21 de junio de 2023, </w:t>
      </w:r>
      <w:r>
        <w:rPr>
          <w:rFonts w:ascii="Century Gothic" w:eastAsia="Century Gothic" w:hAnsi="Century Gothic" w:cs="Century Gothic"/>
          <w:sz w:val="24"/>
          <w:szCs w:val="24"/>
        </w:rPr>
        <w:t>informando que el auto visible a índice 3 de SAMAI, se incluyó en estado electrónico del 30 de mayo de 2023 (índice 5 SAMAI) de conformidad con el artículo 201 del CPACA y su término de ejecutoria corrió desde el 31 de mayo hasta el 2 de junio de 2022. As</w:t>
      </w:r>
      <w:r>
        <w:rPr>
          <w:rFonts w:ascii="Century Gothic" w:eastAsia="Century Gothic" w:hAnsi="Century Gothic" w:cs="Century Gothic"/>
          <w:sz w:val="24"/>
          <w:szCs w:val="24"/>
        </w:rPr>
        <w:t>í mismo, se informa que se realizó la notificación personal del auto previamente referido al Ministerio Público (</w:t>
      </w:r>
      <w:r>
        <w:rPr>
          <w:rFonts w:ascii="Century Gothic" w:eastAsia="Century Gothic" w:hAnsi="Century Gothic" w:cs="Century Gothic"/>
          <w:sz w:val="24"/>
          <w:szCs w:val="24"/>
        </w:rPr>
        <w:t>índices 7 y 8 de SAMAI).</w:t>
      </w:r>
    </w:p>
    <w:p w14:paraId="2A81DC1A" w14:textId="77777777" w:rsidR="00F03FC0" w:rsidRDefault="00F03FC0">
      <w:pPr>
        <w:jc w:val="both"/>
        <w:rPr>
          <w:rFonts w:ascii="Century Gothic" w:eastAsia="Century Gothic" w:hAnsi="Century Gothic" w:cs="Century Gothic"/>
          <w:sz w:val="24"/>
          <w:szCs w:val="24"/>
        </w:rPr>
      </w:pPr>
    </w:p>
    <w:p w14:paraId="52E597BA" w14:textId="77777777" w:rsidR="00F03FC0" w:rsidRDefault="00590058">
      <w:pPr>
        <w:jc w:val="both"/>
        <w:rPr>
          <w:rFonts w:ascii="Century Gothic" w:eastAsia="Century Gothic" w:hAnsi="Century Gothic" w:cs="Century Gothic"/>
          <w:sz w:val="24"/>
          <w:szCs w:val="24"/>
        </w:rPr>
      </w:pPr>
      <w:r>
        <w:rPr>
          <w:rFonts w:ascii="Century Gothic" w:eastAsia="Century Gothic" w:hAnsi="Century Gothic" w:cs="Century Gothic"/>
          <w:sz w:val="24"/>
          <w:szCs w:val="24"/>
        </w:rPr>
        <w:t>Del mismo modo se informa que se remitieron mensajes de datos visibles en índices 6 y 8 de SAMAI.</w:t>
      </w:r>
    </w:p>
    <w:p w14:paraId="4CFAA2F2" w14:textId="77777777" w:rsidR="00F03FC0" w:rsidRDefault="00F03FC0">
      <w:pPr>
        <w:ind w:hanging="2"/>
        <w:jc w:val="both"/>
        <w:rPr>
          <w:rFonts w:ascii="Century Gothic" w:eastAsia="Century Gothic" w:hAnsi="Century Gothic" w:cs="Century Gothic"/>
          <w:sz w:val="24"/>
          <w:szCs w:val="24"/>
        </w:rPr>
      </w:pPr>
    </w:p>
    <w:p w14:paraId="4649F8BA" w14:textId="77777777" w:rsidR="00F03FC0" w:rsidRDefault="00590058">
      <w:pPr>
        <w:ind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El 31 de mayo de </w:t>
      </w:r>
      <w:r>
        <w:rPr>
          <w:rFonts w:ascii="Century Gothic" w:eastAsia="Century Gothic" w:hAnsi="Century Gothic" w:cs="Century Gothic"/>
          <w:sz w:val="24"/>
          <w:szCs w:val="24"/>
        </w:rPr>
        <w:t>2023, el apoderado de la parte demandada Distrito Especial de Santiago de Cali presentó pronunciamiento frente al recurso de apelación interpuesto por la parte demandante (índices 9 y 10 SAMAI).</w:t>
      </w:r>
    </w:p>
    <w:p w14:paraId="1ED7D71B" w14:textId="77777777" w:rsidR="00F03FC0" w:rsidRDefault="00F03FC0">
      <w:pPr>
        <w:ind w:hanging="2"/>
        <w:jc w:val="both"/>
        <w:rPr>
          <w:rFonts w:ascii="Century Gothic" w:eastAsia="Century Gothic" w:hAnsi="Century Gothic" w:cs="Century Gothic"/>
          <w:sz w:val="24"/>
          <w:szCs w:val="24"/>
        </w:rPr>
      </w:pPr>
    </w:p>
    <w:p w14:paraId="5963F0FD" w14:textId="77777777" w:rsidR="00F03FC0" w:rsidRDefault="00590058">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Century Gothic" w:eastAsia="Century Gothic" w:hAnsi="Century Gothic" w:cs="Century Gothic"/>
          <w:color w:val="000000"/>
          <w:sz w:val="24"/>
          <w:szCs w:val="24"/>
        </w:rPr>
        <w:t xml:space="preserve">De conformidad con el artículo 247 de la Ley 1437 de 2011, modificado por el artículo 67, numeral sexto, de la Ley 2080 de 2021, se verifica que a la fecha el Ministerio Público no ha emitido concepto. </w:t>
      </w:r>
    </w:p>
    <w:p w14:paraId="6A20ED01" w14:textId="77777777" w:rsidR="00F03FC0" w:rsidRDefault="00F03FC0">
      <w:pPr>
        <w:jc w:val="both"/>
        <w:rPr>
          <w:rFonts w:ascii="Century Gothic" w:eastAsia="Century Gothic" w:hAnsi="Century Gothic" w:cs="Century Gothic"/>
          <w:sz w:val="24"/>
          <w:szCs w:val="24"/>
        </w:rPr>
      </w:pPr>
    </w:p>
    <w:p w14:paraId="0C312A11" w14:textId="77777777" w:rsidR="00F03FC0" w:rsidRDefault="00590058">
      <w:pPr>
        <w:jc w:val="both"/>
        <w:rPr>
          <w:rFonts w:ascii="Century Gothic" w:eastAsia="Century Gothic" w:hAnsi="Century Gothic" w:cs="Century Gothic"/>
          <w:sz w:val="24"/>
          <w:szCs w:val="24"/>
        </w:rPr>
      </w:pPr>
      <w:r>
        <w:rPr>
          <w:rFonts w:ascii="Century Gothic" w:eastAsia="Century Gothic" w:hAnsi="Century Gothic" w:cs="Century Gothic"/>
          <w:sz w:val="24"/>
          <w:szCs w:val="24"/>
        </w:rPr>
        <w:t xml:space="preserve">Sin otro particular, el proceso ingresa al despacho </w:t>
      </w:r>
      <w:r>
        <w:rPr>
          <w:rFonts w:ascii="Century Gothic" w:eastAsia="Century Gothic" w:hAnsi="Century Gothic" w:cs="Century Gothic"/>
          <w:sz w:val="24"/>
          <w:szCs w:val="24"/>
        </w:rPr>
        <w:t>para elaborar proyecto de sentencia, que desatará el recurso de apelación interpuesto en contra de la sentencia proferida por el Tribunal Administrativo del Valle del Cauca, el 31 de octubre de 2022, comoquiera que no se decretaron pruebas,  ni se solicita</w:t>
      </w:r>
      <w:r>
        <w:rPr>
          <w:rFonts w:ascii="Century Gothic" w:eastAsia="Century Gothic" w:hAnsi="Century Gothic" w:cs="Century Gothic"/>
          <w:sz w:val="24"/>
          <w:szCs w:val="24"/>
        </w:rPr>
        <w:t>ron en el término de ejecutoria del auto admisorio, de conformidad con lo dispuesto en el artículo 247, numeral quinto, de la Ley 1437 de 2011, modificado por el artículo 67 de la Ley 2080 de 2021.</w:t>
      </w:r>
    </w:p>
    <w:p w14:paraId="55277477" w14:textId="77777777" w:rsidR="00F03FC0" w:rsidRDefault="00F03FC0">
      <w:pPr>
        <w:ind w:hanging="2"/>
        <w:jc w:val="both"/>
        <w:rPr>
          <w:rFonts w:ascii="Century Gothic" w:eastAsia="Century Gothic" w:hAnsi="Century Gothic" w:cs="Century Gothic"/>
          <w:sz w:val="24"/>
          <w:szCs w:val="24"/>
        </w:rPr>
      </w:pPr>
    </w:p>
    <w:p w14:paraId="65ABCC19" w14:textId="77777777" w:rsidR="00F03FC0" w:rsidRDefault="00590058">
      <w:pPr>
        <w:ind w:hanging="2"/>
        <w:jc w:val="both"/>
        <w:rPr>
          <w:rFonts w:ascii="Century Gothic" w:eastAsia="Century Gothic" w:hAnsi="Century Gothic" w:cs="Century Gothic"/>
          <w:sz w:val="24"/>
          <w:szCs w:val="24"/>
        </w:rPr>
      </w:pPr>
      <w:r>
        <w:rPr>
          <w:rFonts w:ascii="Century Gothic" w:eastAsia="Century Gothic" w:hAnsi="Century Gothic" w:cs="Century Gothic"/>
          <w:sz w:val="24"/>
          <w:szCs w:val="24"/>
        </w:rPr>
        <w:t>La Oficial Mayor,</w:t>
      </w:r>
    </w:p>
    <w:p w14:paraId="0AC1D73E" w14:textId="77777777" w:rsidR="00F03FC0" w:rsidRDefault="00F03FC0">
      <w:pPr>
        <w:ind w:hanging="2"/>
        <w:jc w:val="both"/>
        <w:rPr>
          <w:rFonts w:ascii="Century Gothic" w:eastAsia="Century Gothic" w:hAnsi="Century Gothic" w:cs="Century Gothic"/>
          <w:sz w:val="24"/>
          <w:szCs w:val="24"/>
        </w:rPr>
      </w:pPr>
    </w:p>
    <w:p w14:paraId="496B182D" w14:textId="77777777" w:rsidR="00F03FC0" w:rsidRDefault="00F03FC0">
      <w:pPr>
        <w:ind w:hanging="2"/>
        <w:jc w:val="both"/>
        <w:rPr>
          <w:rFonts w:ascii="Century Gothic" w:eastAsia="Century Gothic" w:hAnsi="Century Gothic" w:cs="Century Gothic"/>
          <w:sz w:val="23"/>
          <w:szCs w:val="23"/>
        </w:rPr>
      </w:pPr>
    </w:p>
    <w:p w14:paraId="2C8B4819" w14:textId="77777777" w:rsidR="00F03FC0" w:rsidRDefault="00F03FC0">
      <w:pPr>
        <w:ind w:hanging="2"/>
        <w:jc w:val="both"/>
        <w:rPr>
          <w:rFonts w:ascii="Century Gothic" w:eastAsia="Century Gothic" w:hAnsi="Century Gothic" w:cs="Century Gothic"/>
          <w:sz w:val="23"/>
          <w:szCs w:val="23"/>
        </w:rPr>
      </w:pPr>
    </w:p>
    <w:p w14:paraId="7659A113" w14:textId="77777777" w:rsidR="00F03FC0" w:rsidRDefault="00590058">
      <w:pPr>
        <w:ind w:hanging="2"/>
        <w:jc w:val="center"/>
        <w:rPr>
          <w:rFonts w:ascii="Century Gothic" w:eastAsia="Century Gothic" w:hAnsi="Century Gothic" w:cs="Century Gothic"/>
          <w:b/>
          <w:sz w:val="23"/>
          <w:szCs w:val="23"/>
        </w:rPr>
      </w:pPr>
      <w:r>
        <w:rPr>
          <w:rFonts w:ascii="Century Gothic" w:eastAsia="Century Gothic" w:hAnsi="Century Gothic" w:cs="Century Gothic"/>
          <w:b/>
          <w:sz w:val="23"/>
          <w:szCs w:val="23"/>
        </w:rPr>
        <w:t>Leidy Johanna Gil Muñoz</w:t>
      </w:r>
    </w:p>
    <w:p w14:paraId="6785465E" w14:textId="77777777" w:rsidR="00F03FC0" w:rsidRDefault="00F03FC0">
      <w:pPr>
        <w:ind w:hanging="2"/>
        <w:jc w:val="both"/>
        <w:rPr>
          <w:rFonts w:ascii="Century Gothic" w:eastAsia="Century Gothic" w:hAnsi="Century Gothic" w:cs="Century Gothic"/>
          <w:b/>
          <w:sz w:val="23"/>
          <w:szCs w:val="23"/>
        </w:rPr>
      </w:pPr>
    </w:p>
    <w:p w14:paraId="7EE976B6" w14:textId="77777777" w:rsidR="00F03FC0" w:rsidRDefault="00590058">
      <w:pPr>
        <w:ind w:hanging="2"/>
        <w:jc w:val="both"/>
        <w:rPr>
          <w:rFonts w:ascii="Century Gothic" w:eastAsia="Century Gothic" w:hAnsi="Century Gothic" w:cs="Century Gothic"/>
          <w:b/>
        </w:rPr>
      </w:pPr>
      <w:proofErr w:type="spellStart"/>
      <w:r>
        <w:rPr>
          <w:rFonts w:ascii="Century Gothic" w:eastAsia="Century Gothic" w:hAnsi="Century Gothic" w:cs="Century Gothic"/>
          <w:b/>
        </w:rPr>
        <w:t>gyrc</w:t>
      </w:r>
      <w:proofErr w:type="spellEnd"/>
    </w:p>
    <w:sectPr w:rsidR="00F03FC0">
      <w:headerReference w:type="default" r:id="rId8"/>
      <w:pgSz w:w="12242" w:h="18722"/>
      <w:pgMar w:top="1701"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37F31" w14:textId="77777777" w:rsidR="00000000" w:rsidRDefault="00590058">
      <w:r>
        <w:separator/>
      </w:r>
    </w:p>
  </w:endnote>
  <w:endnote w:type="continuationSeparator" w:id="0">
    <w:p w14:paraId="5CA08BE8" w14:textId="77777777" w:rsidR="00000000" w:rsidRDefault="00590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man PS">
    <w:altName w:val="Calibri"/>
    <w:charset w:val="00"/>
    <w:family w:val="auto"/>
    <w:pitch w:val="default"/>
  </w:font>
  <w:font w:name="Georgia">
    <w:panose1 w:val="02040502050405020303"/>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01C75" w14:textId="77777777" w:rsidR="00000000" w:rsidRDefault="00590058">
      <w:r>
        <w:separator/>
      </w:r>
    </w:p>
  </w:footnote>
  <w:footnote w:type="continuationSeparator" w:id="0">
    <w:p w14:paraId="2F3BC318" w14:textId="77777777" w:rsidR="00000000" w:rsidRDefault="005900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BCC35" w14:textId="77777777" w:rsidR="00F03FC0" w:rsidRDefault="00F03FC0">
    <w:pPr>
      <w:pBdr>
        <w:top w:val="nil"/>
        <w:left w:val="nil"/>
        <w:bottom w:val="nil"/>
        <w:right w:val="nil"/>
        <w:between w:val="nil"/>
      </w:pBdr>
      <w:tabs>
        <w:tab w:val="center" w:pos="4419"/>
        <w:tab w:val="right" w:pos="8838"/>
      </w:tabs>
      <w:rPr>
        <w:rFonts w:ascii="Roman PS" w:eastAsia="Roman PS" w:hAnsi="Roman PS" w:cs="Roman PS"/>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FC0"/>
    <w:rsid w:val="00590058"/>
    <w:rsid w:val="00F03FC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83948"/>
  <w15:docId w15:val="{E2522E96-3739-4246-8C64-169AE79DE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table" w:customStyle="1" w:styleId="TableNormald">
    <w:name w:val="Table Normal"/>
    <w:tblPr>
      <w:tblCellMar>
        <w:top w:w="0" w:type="dxa"/>
        <w:left w:w="0" w:type="dxa"/>
        <w:bottom w:w="0" w:type="dxa"/>
        <w:right w:w="0" w:type="dxa"/>
      </w:tblCellMar>
    </w:tblPr>
  </w:style>
  <w:style w:type="table" w:customStyle="1" w:styleId="TableNormale">
    <w:name w:val="Table Normal"/>
    <w:tblPr>
      <w:tblCellMar>
        <w:top w:w="0" w:type="dxa"/>
        <w:left w:w="0" w:type="dxa"/>
        <w:bottom w:w="0" w:type="dxa"/>
        <w:right w:w="0" w:type="dxa"/>
      </w:tblCellMar>
    </w:tblPr>
  </w:style>
  <w:style w:type="table" w:customStyle="1" w:styleId="TableNormalf">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360723"/>
    <w:pPr>
      <w:tabs>
        <w:tab w:val="center" w:pos="4419"/>
        <w:tab w:val="right" w:pos="8838"/>
      </w:tabs>
    </w:pPr>
    <w:rPr>
      <w:rFonts w:ascii="Roman PS" w:eastAsia="Times New Roman" w:hAnsi="Roman PS"/>
      <w:sz w:val="20"/>
      <w:szCs w:val="20"/>
      <w:lang w:val="es-ES_tradnl" w:eastAsia="es-CO"/>
    </w:rPr>
  </w:style>
  <w:style w:type="character" w:customStyle="1" w:styleId="EncabezadoCar">
    <w:name w:val="Encabezado Car"/>
    <w:link w:val="Encabezado"/>
    <w:uiPriority w:val="99"/>
    <w:rsid w:val="00360723"/>
    <w:rPr>
      <w:rFonts w:ascii="Roman PS" w:eastAsia="Times New Roman" w:hAnsi="Roman PS"/>
      <w:lang w:val="es-ES_tradnl"/>
    </w:rPr>
  </w:style>
  <w:style w:type="paragraph" w:styleId="Piedepgina">
    <w:name w:val="footer"/>
    <w:basedOn w:val="Normal"/>
    <w:link w:val="PiedepginaCar"/>
    <w:uiPriority w:val="99"/>
    <w:unhideWhenUsed/>
    <w:rsid w:val="00ED7924"/>
    <w:pPr>
      <w:tabs>
        <w:tab w:val="center" w:pos="4419"/>
        <w:tab w:val="right" w:pos="8838"/>
      </w:tabs>
    </w:pPr>
  </w:style>
  <w:style w:type="character" w:customStyle="1" w:styleId="PiedepginaCar">
    <w:name w:val="Pie de página Car"/>
    <w:basedOn w:val="Fuentedeprrafopredeter"/>
    <w:link w:val="Piedepgina"/>
    <w:uiPriority w:val="99"/>
    <w:rsid w:val="00ED7924"/>
    <w:rPr>
      <w:sz w:val="22"/>
      <w:szCs w:val="22"/>
      <w:lang w:val="es-CO" w:eastAsia="en-US"/>
    </w:rPr>
  </w:style>
  <w:style w:type="paragraph" w:styleId="Textonotapie">
    <w:name w:val="footnote text"/>
    <w:basedOn w:val="Normal"/>
    <w:link w:val="TextonotapieCar"/>
    <w:uiPriority w:val="99"/>
    <w:semiHidden/>
    <w:unhideWhenUsed/>
    <w:rsid w:val="00064608"/>
    <w:rPr>
      <w:sz w:val="20"/>
      <w:szCs w:val="20"/>
    </w:rPr>
  </w:style>
  <w:style w:type="character" w:customStyle="1" w:styleId="TextonotapieCar">
    <w:name w:val="Texto nota pie Car"/>
    <w:basedOn w:val="Fuentedeprrafopredeter"/>
    <w:link w:val="Textonotapie"/>
    <w:uiPriority w:val="99"/>
    <w:semiHidden/>
    <w:rsid w:val="00064608"/>
    <w:rPr>
      <w:lang w:val="es-CO" w:eastAsia="en-US"/>
    </w:rPr>
  </w:style>
  <w:style w:type="character" w:styleId="Refdenotaalpie">
    <w:name w:val="footnote reference"/>
    <w:basedOn w:val="Fuentedeprrafopredeter"/>
    <w:uiPriority w:val="99"/>
    <w:semiHidden/>
    <w:unhideWhenUsed/>
    <w:rsid w:val="00064608"/>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f"/>
    <w:tblPr>
      <w:tblStyleRowBandSize w:val="1"/>
      <w:tblStyleColBandSize w:val="1"/>
      <w:tblCellMar>
        <w:left w:w="70" w:type="dxa"/>
        <w:right w:w="70" w:type="dxa"/>
      </w:tblCellMar>
    </w:tblPr>
  </w:style>
  <w:style w:type="table" w:customStyle="1" w:styleId="a0">
    <w:basedOn w:val="TableNormalf"/>
    <w:tblPr>
      <w:tblStyleRowBandSize w:val="1"/>
      <w:tblStyleColBandSize w:val="1"/>
      <w:tblCellMar>
        <w:left w:w="70" w:type="dxa"/>
        <w:right w:w="70" w:type="dxa"/>
      </w:tblCellMar>
    </w:tblPr>
  </w:style>
  <w:style w:type="table" w:customStyle="1" w:styleId="a1">
    <w:basedOn w:val="TableNormale"/>
    <w:tblPr>
      <w:tblStyleRowBandSize w:val="1"/>
      <w:tblStyleColBandSize w:val="1"/>
      <w:tblCellMar>
        <w:left w:w="70" w:type="dxa"/>
        <w:right w:w="70" w:type="dxa"/>
      </w:tblCellMar>
    </w:tblPr>
  </w:style>
  <w:style w:type="table" w:customStyle="1" w:styleId="a2">
    <w:basedOn w:val="TableNormald"/>
    <w:tblPr>
      <w:tblStyleRowBandSize w:val="1"/>
      <w:tblStyleColBandSize w:val="1"/>
      <w:tblCellMar>
        <w:left w:w="70" w:type="dxa"/>
        <w:right w:w="70" w:type="dxa"/>
      </w:tblCellMar>
    </w:tblPr>
  </w:style>
  <w:style w:type="table" w:styleId="Tablaconcuadrcula">
    <w:name w:val="Table Grid"/>
    <w:basedOn w:val="Tablanormal"/>
    <w:uiPriority w:val="39"/>
    <w:rsid w:val="006D6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3">
    <w:basedOn w:val="TableNormalc"/>
    <w:tblPr>
      <w:tblStyleRowBandSize w:val="1"/>
      <w:tblStyleColBandSize w:val="1"/>
      <w:tblCellMar>
        <w:left w:w="70" w:type="dxa"/>
        <w:right w:w="70" w:type="dxa"/>
      </w:tblCellMar>
    </w:tblPr>
  </w:style>
  <w:style w:type="table" w:customStyle="1" w:styleId="a4">
    <w:basedOn w:val="TableNormalc"/>
    <w:tblPr>
      <w:tblStyleRowBandSize w:val="1"/>
      <w:tblStyleColBandSize w:val="1"/>
      <w:tblCellMar>
        <w:left w:w="108" w:type="dxa"/>
        <w:right w:w="108" w:type="dxa"/>
      </w:tblCellMar>
    </w:tblPr>
  </w:style>
  <w:style w:type="table" w:customStyle="1" w:styleId="a5">
    <w:basedOn w:val="TableNormalb"/>
    <w:tblPr>
      <w:tblStyleRowBandSize w:val="1"/>
      <w:tblStyleColBandSize w:val="1"/>
      <w:tblCellMar>
        <w:left w:w="108" w:type="dxa"/>
        <w:right w:w="108" w:type="dxa"/>
      </w:tblCellMar>
    </w:tblPr>
  </w:style>
  <w:style w:type="table" w:customStyle="1" w:styleId="a6">
    <w:basedOn w:val="TableNormalb"/>
    <w:tblPr>
      <w:tblStyleRowBandSize w:val="1"/>
      <w:tblStyleColBandSize w:val="1"/>
      <w:tblCellMar>
        <w:left w:w="108" w:type="dxa"/>
        <w:right w:w="108" w:type="dxa"/>
      </w:tblCellMar>
    </w:tblPr>
  </w:style>
  <w:style w:type="table" w:customStyle="1" w:styleId="a7">
    <w:basedOn w:val="TableNormala"/>
    <w:tblPr>
      <w:tblStyleRowBandSize w:val="1"/>
      <w:tblStyleColBandSize w:val="1"/>
      <w:tblCellMar>
        <w:left w:w="108" w:type="dxa"/>
        <w:right w:w="108" w:type="dxa"/>
      </w:tblCellMar>
    </w:tblPr>
  </w:style>
  <w:style w:type="table" w:customStyle="1" w:styleId="a8">
    <w:basedOn w:val="TableNormala"/>
    <w:tblPr>
      <w:tblStyleRowBandSize w:val="1"/>
      <w:tblStyleColBandSize w:val="1"/>
      <w:tblCellMar>
        <w:left w:w="108" w:type="dxa"/>
        <w:right w:w="108" w:type="dxa"/>
      </w:tblCellMar>
    </w:tblPr>
  </w:style>
  <w:style w:type="character" w:styleId="Hipervnculo">
    <w:name w:val="Hyperlink"/>
    <w:basedOn w:val="Fuentedeprrafopredeter"/>
    <w:uiPriority w:val="99"/>
    <w:unhideWhenUsed/>
    <w:rsid w:val="002836F4"/>
    <w:rPr>
      <w:color w:val="0563C1" w:themeColor="hyperlink"/>
      <w:u w:val="single"/>
    </w:rPr>
  </w:style>
  <w:style w:type="character" w:styleId="Mencinsinresolver">
    <w:name w:val="Unresolved Mention"/>
    <w:basedOn w:val="Fuentedeprrafopredeter"/>
    <w:uiPriority w:val="99"/>
    <w:semiHidden/>
    <w:unhideWhenUsed/>
    <w:rsid w:val="002836F4"/>
    <w:rPr>
      <w:color w:val="605E5C"/>
      <w:shd w:val="clear" w:color="auto" w:fill="E1DFDD"/>
    </w:rPr>
  </w:style>
  <w:style w:type="table" w:customStyle="1" w:styleId="a9">
    <w:basedOn w:val="TableNormal9"/>
    <w:tblPr>
      <w:tblStyleRowBandSize w:val="1"/>
      <w:tblStyleColBandSize w:val="1"/>
      <w:tblCellMar>
        <w:left w:w="108" w:type="dxa"/>
        <w:right w:w="108" w:type="dxa"/>
      </w:tblCellMar>
    </w:tblPr>
  </w:style>
  <w:style w:type="paragraph" w:styleId="NormalWeb">
    <w:name w:val="Normal (Web)"/>
    <w:basedOn w:val="Normal"/>
    <w:uiPriority w:val="99"/>
    <w:unhideWhenUsed/>
    <w:rsid w:val="00A32A05"/>
    <w:pPr>
      <w:spacing w:before="100" w:beforeAutospacing="1" w:after="100" w:afterAutospacing="1"/>
    </w:pPr>
    <w:rPr>
      <w:rFonts w:ascii="Times New Roman" w:eastAsia="Times New Roman" w:hAnsi="Times New Roman" w:cs="Times New Roman"/>
      <w:sz w:val="24"/>
      <w:szCs w:val="24"/>
      <w:lang w:eastAsia="es-CO"/>
    </w:rPr>
  </w:style>
  <w:style w:type="table" w:customStyle="1" w:styleId="aa">
    <w:basedOn w:val="TableNormal8"/>
    <w:tblPr>
      <w:tblStyleRowBandSize w:val="1"/>
      <w:tblStyleColBandSize w:val="1"/>
      <w:tblCellMar>
        <w:left w:w="108" w:type="dxa"/>
        <w:right w:w="108" w:type="dxa"/>
      </w:tblCellMar>
    </w:tblPr>
  </w:style>
  <w:style w:type="table" w:customStyle="1" w:styleId="ab">
    <w:basedOn w:val="TableNormal7"/>
    <w:tblPr>
      <w:tblStyleRowBandSize w:val="1"/>
      <w:tblStyleColBandSize w:val="1"/>
      <w:tblCellMar>
        <w:left w:w="108" w:type="dxa"/>
        <w:right w:w="108" w:type="dxa"/>
      </w:tblCellMar>
    </w:tblPr>
  </w:style>
  <w:style w:type="table" w:customStyle="1" w:styleId="ac">
    <w:basedOn w:val="TableNormal6"/>
    <w:tblPr>
      <w:tblStyleRowBandSize w:val="1"/>
      <w:tblStyleColBandSize w:val="1"/>
      <w:tblCellMar>
        <w:left w:w="108" w:type="dxa"/>
        <w:right w:w="108" w:type="dxa"/>
      </w:tblCellMar>
    </w:tblPr>
  </w:style>
  <w:style w:type="table" w:customStyle="1" w:styleId="ad">
    <w:basedOn w:val="TableNormal6"/>
    <w:tblPr>
      <w:tblStyleRowBandSize w:val="1"/>
      <w:tblStyleColBandSize w:val="1"/>
      <w:tblCellMar>
        <w:left w:w="108" w:type="dxa"/>
        <w:right w:w="108" w:type="dxa"/>
      </w:tblCellMar>
    </w:tblPr>
  </w:style>
  <w:style w:type="table" w:customStyle="1" w:styleId="ae">
    <w:basedOn w:val="TableNormal6"/>
    <w:tblPr>
      <w:tblStyleRowBandSize w:val="1"/>
      <w:tblStyleColBandSize w:val="1"/>
      <w:tblCellMar>
        <w:left w:w="108" w:type="dxa"/>
        <w:right w:w="108" w:type="dxa"/>
      </w:tblCellMar>
    </w:tblPr>
  </w:style>
  <w:style w:type="table" w:customStyle="1" w:styleId="af">
    <w:basedOn w:val="TableNormal3"/>
    <w:tblPr>
      <w:tblStyleRowBandSize w:val="1"/>
      <w:tblStyleColBandSize w:val="1"/>
      <w:tblCellMar>
        <w:left w:w="108" w:type="dxa"/>
        <w:right w:w="108" w:type="dxa"/>
      </w:tblCellMar>
    </w:tblPr>
  </w:style>
  <w:style w:type="table" w:customStyle="1" w:styleId="af0">
    <w:basedOn w:val="TableNormal2"/>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1PGsuOoHGPiIwC1Eo2NBWy0pIw==">CgMxLjAyCGguZ2pkZ3hzMgloLjMwajB6bGw4AHIhMVNFNzh3NWpUTmxmOWtqOTJRY1Awek9ITG1xeUNhOHNo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1431</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CAICEDO</dc:creator>
  <cp:lastModifiedBy>Luz Mery Martinez Rodriguez</cp:lastModifiedBy>
  <cp:revision>2</cp:revision>
  <dcterms:created xsi:type="dcterms:W3CDTF">2023-06-09T15:12:00Z</dcterms:created>
  <dcterms:modified xsi:type="dcterms:W3CDTF">2023-06-21T17:19:00Z</dcterms:modified>
</cp:coreProperties>
</file>