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Pr>
        <w:drawing>
          <wp:anchor allowOverlap="1" behindDoc="1" distB="0" distT="0" distL="0" distR="0" hidden="0" layoutInCell="1" locked="0" relativeHeight="0" simplePos="0">
            <wp:simplePos x="0" y="0"/>
            <wp:positionH relativeFrom="page">
              <wp:posOffset>2786063</wp:posOffset>
            </wp:positionH>
            <wp:positionV relativeFrom="page">
              <wp:posOffset>1080135</wp:posOffset>
            </wp:positionV>
            <wp:extent cx="2200275" cy="1247775"/>
            <wp:effectExtent b="0" l="0" r="0" t="0"/>
            <wp:wrapNone/>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200275" cy="1247775"/>
                    </a:xfrm>
                    <a:prstGeom prst="rect"/>
                    <a:ln/>
                  </pic:spPr>
                </pic:pic>
              </a:graphicData>
            </a:graphic>
          </wp:anchor>
        </w:drawing>
      </w:r>
      <w:r w:rsidDel="00000000" w:rsidR="00000000" w:rsidRPr="00000000">
        <w:rPr>
          <w:rFonts w:ascii="Century Gothic" w:cs="Century Gothic" w:eastAsia="Century Gothic" w:hAnsi="Century Gothic"/>
          <w:b w:val="1"/>
          <w:sz w:val="24"/>
          <w:szCs w:val="24"/>
          <w:rtl w:val="0"/>
        </w:rPr>
        <w:t xml:space="preserve">Índice 9</w:t>
      </w:r>
    </w:p>
    <w:p w:rsidR="00000000" w:rsidDel="00000000" w:rsidP="00000000" w:rsidRDefault="00000000" w:rsidRPr="00000000" w14:paraId="00000002">
      <w:pPr>
        <w:jc w:val="center"/>
        <w:rPr>
          <w:rFonts w:ascii="Century Gothic" w:cs="Century Gothic" w:eastAsia="Century Gothic" w:hAnsi="Century Gothic"/>
          <w:b w:val="1"/>
          <w:sz w:val="24"/>
          <w:szCs w:val="24"/>
        </w:rPr>
      </w:pPr>
      <w:r w:rsidDel="00000000" w:rsidR="00000000" w:rsidRPr="00000000">
        <w:rPr>
          <w:rtl w:val="0"/>
        </w:rPr>
      </w:r>
    </w:p>
    <w:p w:rsidR="00000000" w:rsidDel="00000000" w:rsidP="00000000" w:rsidRDefault="00000000" w:rsidRPr="00000000" w14:paraId="00000003">
      <w:pPr>
        <w:jc w:val="center"/>
        <w:rPr>
          <w:rFonts w:ascii="Century Gothic" w:cs="Century Gothic" w:eastAsia="Century Gothic" w:hAnsi="Century Gothic"/>
          <w:b w:val="1"/>
          <w:sz w:val="24"/>
          <w:szCs w:val="24"/>
        </w:rPr>
      </w:pPr>
      <w:r w:rsidDel="00000000" w:rsidR="00000000" w:rsidRPr="00000000">
        <w:rPr>
          <w:rtl w:val="0"/>
        </w:rPr>
      </w:r>
    </w:p>
    <w:p w:rsidR="00000000" w:rsidDel="00000000" w:rsidP="00000000" w:rsidRDefault="00000000" w:rsidRPr="00000000" w14:paraId="00000004">
      <w:pPr>
        <w:jc w:val="center"/>
        <w:rPr>
          <w:rFonts w:ascii="Century Gothic" w:cs="Century Gothic" w:eastAsia="Century Gothic" w:hAnsi="Century Gothic"/>
          <w:b w:val="1"/>
          <w:sz w:val="24"/>
          <w:szCs w:val="24"/>
        </w:rPr>
      </w:pPr>
      <w:r w:rsidDel="00000000" w:rsidR="00000000" w:rsidRPr="00000000">
        <w:rPr>
          <w:rtl w:val="0"/>
        </w:rPr>
      </w:r>
    </w:p>
    <w:p w:rsidR="00000000" w:rsidDel="00000000" w:rsidP="00000000" w:rsidRDefault="00000000" w:rsidRPr="00000000" w14:paraId="00000005">
      <w:pPr>
        <w:jc w:val="center"/>
        <w:rPr>
          <w:rFonts w:ascii="Century Gothic" w:cs="Century Gothic" w:eastAsia="Century Gothic" w:hAnsi="Century Gothic"/>
          <w:b w:val="1"/>
          <w:sz w:val="24"/>
          <w:szCs w:val="24"/>
        </w:rPr>
      </w:pPr>
      <w:r w:rsidDel="00000000" w:rsidR="00000000" w:rsidRPr="00000000">
        <w:rPr>
          <w:rtl w:val="0"/>
        </w:rPr>
      </w:r>
    </w:p>
    <w:p w:rsidR="00000000" w:rsidDel="00000000" w:rsidP="00000000" w:rsidRDefault="00000000" w:rsidRPr="00000000" w14:paraId="00000006">
      <w:pPr>
        <w:jc w:val="center"/>
        <w:rPr>
          <w:rFonts w:ascii="Century Gothic" w:cs="Century Gothic" w:eastAsia="Century Gothic" w:hAnsi="Century Gothic"/>
          <w:b w:val="1"/>
          <w:sz w:val="24"/>
          <w:szCs w:val="24"/>
        </w:rPr>
      </w:pPr>
      <w:r w:rsidDel="00000000" w:rsidR="00000000" w:rsidRPr="00000000">
        <w:rPr>
          <w:rtl w:val="0"/>
        </w:rPr>
      </w:r>
    </w:p>
    <w:p w:rsidR="00000000" w:rsidDel="00000000" w:rsidP="00000000" w:rsidRDefault="00000000" w:rsidRPr="00000000" w14:paraId="00000007">
      <w:pPr>
        <w:jc w:val="center"/>
        <w:rPr>
          <w:rFonts w:ascii="Century Gothic" w:cs="Century Gothic" w:eastAsia="Century Gothic" w:hAnsi="Century Gothic"/>
          <w:b w:val="1"/>
          <w:sz w:val="24"/>
          <w:szCs w:val="24"/>
        </w:rPr>
      </w:pPr>
      <w:r w:rsidDel="00000000" w:rsidR="00000000" w:rsidRPr="00000000">
        <w:rPr>
          <w:rtl w:val="0"/>
        </w:rPr>
      </w:r>
    </w:p>
    <w:p w:rsidR="00000000" w:rsidDel="00000000" w:rsidP="00000000" w:rsidRDefault="00000000" w:rsidRPr="00000000" w14:paraId="00000008">
      <w:pPr>
        <w:jc w:val="cente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CONSEJO DE ESTADO</w:t>
      </w:r>
    </w:p>
    <w:p w:rsidR="00000000" w:rsidDel="00000000" w:rsidP="00000000" w:rsidRDefault="00000000" w:rsidRPr="00000000" w14:paraId="00000009">
      <w:pPr>
        <w:jc w:val="cente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SALA DE LO CONTENCIOSO ADMINISTRATIVO</w:t>
      </w:r>
    </w:p>
    <w:p w:rsidR="00000000" w:rsidDel="00000000" w:rsidP="00000000" w:rsidRDefault="00000000" w:rsidRPr="00000000" w14:paraId="0000000A">
      <w:pPr>
        <w:jc w:val="cente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SECCIÓN TERCERA</w:t>
      </w:r>
    </w:p>
    <w:p w:rsidR="00000000" w:rsidDel="00000000" w:rsidP="00000000" w:rsidRDefault="00000000" w:rsidRPr="00000000" w14:paraId="0000000B">
      <w:pPr>
        <w:jc w:val="cente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24"/>
          <w:szCs w:val="24"/>
          <w:rtl w:val="0"/>
        </w:rPr>
        <w:t xml:space="preserve">SECRETARÍA</w:t>
      </w:r>
      <w:r w:rsidDel="00000000" w:rsidR="00000000" w:rsidRPr="00000000">
        <w:rPr>
          <w:rtl w:val="0"/>
        </w:rPr>
      </w:r>
    </w:p>
    <w:p w:rsidR="00000000" w:rsidDel="00000000" w:rsidP="00000000" w:rsidRDefault="00000000" w:rsidRPr="00000000" w14:paraId="0000000C">
      <w:pPr>
        <w:rPr>
          <w:rFonts w:ascii="Century Gothic" w:cs="Century Gothic" w:eastAsia="Century Gothic" w:hAnsi="Century Gothic"/>
          <w:sz w:val="24"/>
          <w:szCs w:val="24"/>
        </w:rPr>
      </w:pPr>
      <w:r w:rsidDel="00000000" w:rsidR="00000000" w:rsidRPr="00000000">
        <w:rPr>
          <w:rtl w:val="0"/>
        </w:rPr>
      </w:r>
    </w:p>
    <w:tbl>
      <w:tblPr>
        <w:tblStyle w:val="Table1"/>
        <w:tblW w:w="8766.0" w:type="dxa"/>
        <w:jc w:val="center"/>
        <w:tblBorders>
          <w:top w:color="000000" w:space="0" w:sz="6" w:val="single"/>
          <w:left w:color="000000" w:space="0" w:sz="6" w:val="single"/>
          <w:bottom w:color="000000" w:space="0" w:sz="6" w:val="single"/>
          <w:right w:color="000000" w:space="0" w:sz="6" w:val="single"/>
        </w:tblBorders>
        <w:tblLayout w:type="fixed"/>
        <w:tblLook w:val="0000"/>
      </w:tblPr>
      <w:tblGrid>
        <w:gridCol w:w="8766"/>
        <w:tblGridChange w:id="0">
          <w:tblGrid>
            <w:gridCol w:w="8766"/>
          </w:tblGrid>
        </w:tblGridChange>
      </w:tblGrid>
      <w:tr>
        <w:trPr>
          <w:cantSplit w:val="0"/>
          <w:trHeight w:val="135" w:hRule="atLeast"/>
          <w:tblHeader w:val="0"/>
        </w:trPr>
        <w:tc>
          <w:tcPr>
            <w:shd w:fill="cccccc" w:val="clear"/>
          </w:tcPr>
          <w:p w:rsidR="00000000" w:rsidDel="00000000" w:rsidP="00000000" w:rsidRDefault="00000000" w:rsidRPr="00000000" w14:paraId="0000000D">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24"/>
                <w:szCs w:val="24"/>
                <w:rtl w:val="0"/>
              </w:rPr>
              <w:t xml:space="preserve">REF:</w:t>
              <w:tab/>
              <w:t xml:space="preserve">EXPEDIENTE No.  76001233100020100177401 (67730)</w:t>
            </w:r>
            <w:r w:rsidDel="00000000" w:rsidR="00000000" w:rsidRPr="00000000">
              <w:rPr>
                <w:rtl w:val="0"/>
              </w:rPr>
            </w:r>
          </w:p>
        </w:tc>
      </w:tr>
    </w:tbl>
    <w:p w:rsidR="00000000" w:rsidDel="00000000" w:rsidP="00000000" w:rsidRDefault="00000000" w:rsidRPr="00000000" w14:paraId="0000000E">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0F">
      <w:pPr>
        <w:jc w:val="both"/>
        <w:rPr>
          <w:rFonts w:ascii="Century Gothic" w:cs="Century Gothic" w:eastAsia="Century Gothic" w:hAnsi="Century Gothic"/>
          <w:sz w:val="24"/>
          <w:szCs w:val="24"/>
        </w:rPr>
      </w:pPr>
      <w:bookmarkStart w:colFirst="0" w:colLast="0" w:name="_heading=h.30j0zll" w:id="0"/>
      <w:bookmarkEnd w:id="0"/>
      <w:r w:rsidDel="00000000" w:rsidR="00000000" w:rsidRPr="00000000">
        <w:rPr>
          <w:rFonts w:ascii="Century Gothic" w:cs="Century Gothic" w:eastAsia="Century Gothic" w:hAnsi="Century Gothic"/>
          <w:sz w:val="24"/>
          <w:szCs w:val="24"/>
          <w:rtl w:val="0"/>
        </w:rPr>
        <w:t xml:space="preserve">Al despacho del honorable consejero doctor </w:t>
      </w:r>
      <w:r w:rsidDel="00000000" w:rsidR="00000000" w:rsidRPr="00000000">
        <w:rPr>
          <w:rFonts w:ascii="Century Gothic" w:cs="Century Gothic" w:eastAsia="Century Gothic" w:hAnsi="Century Gothic"/>
          <w:b w:val="1"/>
          <w:sz w:val="24"/>
          <w:szCs w:val="24"/>
          <w:rtl w:val="0"/>
        </w:rPr>
        <w:t xml:space="preserve">GUILLERMO SÁNCHEZ LUQUE,</w:t>
      </w:r>
      <w:r w:rsidDel="00000000" w:rsidR="00000000" w:rsidRPr="00000000">
        <w:rPr>
          <w:rFonts w:ascii="Century Gothic" w:cs="Century Gothic" w:eastAsia="Century Gothic" w:hAnsi="Century Gothic"/>
          <w:sz w:val="24"/>
          <w:szCs w:val="24"/>
          <w:rtl w:val="0"/>
        </w:rPr>
        <w:t xml:space="preserve"> hoy 09 de febrero de 2022, informando que el término de ejecutoria del auto que antecede, corrió desde el 24 hasta el 26 de enero de 2022, en silencio de las partes.</w:t>
      </w:r>
    </w:p>
    <w:p w:rsidR="00000000" w:rsidDel="00000000" w:rsidP="00000000" w:rsidRDefault="00000000" w:rsidRPr="00000000" w14:paraId="00000010">
      <w:pPr>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11">
      <w:pPr>
        <w:ind w:hanging="2"/>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De conformidad con el artículo el 9º del Decreto 806 de 2020, se envió a las partes y al señor Agente del Ministerio Público el mensaje de datos, vía correo electrónico, por medio del cual se informó la notificación por estado del auto proferido y se adjuntó medio magnético del mismo (índices 7 y 8).</w:t>
      </w:r>
    </w:p>
    <w:p w:rsidR="00000000" w:rsidDel="00000000" w:rsidP="00000000" w:rsidRDefault="00000000" w:rsidRPr="00000000" w14:paraId="00000012">
      <w:pPr>
        <w:ind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13">
      <w:pPr>
        <w:ind w:hanging="2"/>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Sin otro particular, el proceso se encuentra pendiente de proveer respecto de la posibilidad de abrir a etapa probatoria, si a ello hubiere lugar, o considerar el traslado a las partes por diez (10) días para que presenten alegatos de conclusión, y por diez (10) días al señor agente del Ministerio Público para que, si a bien lo tiene, presente concepto, de conformidad con lo dispuesto en el artículo 212 del Decreto 01 de 1984.</w:t>
      </w:r>
    </w:p>
    <w:p w:rsidR="00000000" w:rsidDel="00000000" w:rsidP="00000000" w:rsidRDefault="00000000" w:rsidRPr="00000000" w14:paraId="00000014">
      <w:pPr>
        <w:ind w:hanging="2"/>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15">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El Oficial Mayor,</w:t>
      </w:r>
    </w:p>
    <w:p w:rsidR="00000000" w:rsidDel="00000000" w:rsidP="00000000" w:rsidRDefault="00000000" w:rsidRPr="00000000" w14:paraId="00000016">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17">
      <w:pPr>
        <w:rPr>
          <w:rFonts w:ascii="Century Gothic" w:cs="Century Gothic" w:eastAsia="Century Gothic" w:hAnsi="Century Gothic"/>
          <w:b w:val="1"/>
          <w:sz w:val="24"/>
          <w:szCs w:val="24"/>
        </w:rPr>
      </w:pPr>
      <w:r w:rsidDel="00000000" w:rsidR="00000000" w:rsidRPr="00000000">
        <w:rPr>
          <w:rtl w:val="0"/>
        </w:rPr>
      </w:r>
    </w:p>
    <w:p w:rsidR="00000000" w:rsidDel="00000000" w:rsidP="00000000" w:rsidRDefault="00000000" w:rsidRPr="00000000" w14:paraId="00000018">
      <w:pPr>
        <w:jc w:val="cente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ESTEBAN DAVID RIVERA BUENO</w:t>
      </w:r>
    </w:p>
    <w:p w:rsidR="00000000" w:rsidDel="00000000" w:rsidP="00000000" w:rsidRDefault="00000000" w:rsidRPr="00000000" w14:paraId="00000019">
      <w:pPr>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1A">
      <w:pPr>
        <w:rPr/>
      </w:pPr>
      <w:r w:rsidDel="00000000" w:rsidR="00000000" w:rsidRPr="00000000">
        <w:rPr>
          <w:rFonts w:ascii="Century Gothic" w:cs="Century Gothic" w:eastAsia="Century Gothic" w:hAnsi="Century Gothic"/>
          <w:b w:val="1"/>
          <w:rtl w:val="0"/>
        </w:rPr>
        <w:t xml:space="preserve">gyrc </w:t>
      </w:r>
      <w:r w:rsidDel="00000000" w:rsidR="00000000" w:rsidRPr="00000000">
        <w:rPr>
          <w:rtl w:val="0"/>
        </w:rPr>
      </w:r>
    </w:p>
    <w:sectPr>
      <w:headerReference r:id="rId8" w:type="default"/>
      <w:pgSz w:h="18722" w:w="12242" w:orient="portrait"/>
      <w:pgMar w:bottom="1701" w:top="1701" w:left="1701" w:right="170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Roman PS"/>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pos="4419"/>
        <w:tab w:val="right" w:pos="8838"/>
      </w:tabs>
      <w:jc w:val="left"/>
      <w:rPr>
        <w:rFonts w:ascii="Roman PS" w:cs="Roman PS" w:eastAsia="Roman PS" w:hAnsi="Roman PS"/>
        <w:color w:val="000000"/>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lang w:eastAsia="en-US"/>
    </w:rPr>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paragraph" w:styleId="Encabezado">
    <w:name w:val="header"/>
    <w:basedOn w:val="Normal"/>
    <w:link w:val="EncabezadoCar"/>
    <w:uiPriority w:val="99"/>
    <w:unhideWhenUsed w:val="1"/>
    <w:rsid w:val="00360723"/>
    <w:pPr>
      <w:tabs>
        <w:tab w:val="center" w:pos="4419"/>
        <w:tab w:val="right" w:pos="8838"/>
      </w:tabs>
    </w:pPr>
    <w:rPr>
      <w:rFonts w:ascii="Roman PS" w:eastAsia="Times New Roman" w:hAnsi="Roman PS"/>
      <w:sz w:val="20"/>
      <w:szCs w:val="20"/>
      <w:lang w:eastAsia="es-CO" w:val="es-ES_tradnl"/>
    </w:rPr>
  </w:style>
  <w:style w:type="character" w:styleId="EncabezadoCar" w:customStyle="1">
    <w:name w:val="Encabezado Car"/>
    <w:link w:val="Encabezado"/>
    <w:uiPriority w:val="99"/>
    <w:rsid w:val="00360723"/>
    <w:rPr>
      <w:rFonts w:ascii="Roman PS" w:eastAsia="Times New Roman" w:hAnsi="Roman PS"/>
      <w:lang w:val="es-ES_tradnl"/>
    </w:rPr>
  </w:style>
  <w:style w:type="paragraph" w:styleId="Piedepgina">
    <w:name w:val="footer"/>
    <w:basedOn w:val="Normal"/>
    <w:link w:val="PiedepginaCar"/>
    <w:uiPriority w:val="99"/>
    <w:unhideWhenUsed w:val="1"/>
    <w:rsid w:val="00ED7924"/>
    <w:pPr>
      <w:tabs>
        <w:tab w:val="center" w:pos="4419"/>
        <w:tab w:val="right" w:pos="8838"/>
      </w:tabs>
    </w:pPr>
  </w:style>
  <w:style w:type="character" w:styleId="PiedepginaCar" w:customStyle="1">
    <w:name w:val="Pie de página Car"/>
    <w:basedOn w:val="Fuentedeprrafopredeter"/>
    <w:link w:val="Piedepgina"/>
    <w:uiPriority w:val="99"/>
    <w:rsid w:val="00ED7924"/>
    <w:rPr>
      <w:sz w:val="22"/>
      <w:szCs w:val="22"/>
      <w:lang w:eastAsia="en-US" w:val="es-CO"/>
    </w:rPr>
  </w:style>
  <w:style w:type="paragraph" w:styleId="Textonotapie">
    <w:name w:val="footnote text"/>
    <w:basedOn w:val="Normal"/>
    <w:link w:val="TextonotapieCar"/>
    <w:uiPriority w:val="99"/>
    <w:semiHidden w:val="1"/>
    <w:unhideWhenUsed w:val="1"/>
    <w:rsid w:val="00064608"/>
    <w:rPr>
      <w:sz w:val="20"/>
      <w:szCs w:val="20"/>
    </w:rPr>
  </w:style>
  <w:style w:type="character" w:styleId="TextonotapieCar" w:customStyle="1">
    <w:name w:val="Texto nota pie Car"/>
    <w:basedOn w:val="Fuentedeprrafopredeter"/>
    <w:link w:val="Textonotapie"/>
    <w:uiPriority w:val="99"/>
    <w:semiHidden w:val="1"/>
    <w:rsid w:val="00064608"/>
    <w:rPr>
      <w:lang w:eastAsia="en-US" w:val="es-CO"/>
    </w:rPr>
  </w:style>
  <w:style w:type="character" w:styleId="Refdenotaalpie">
    <w:name w:val="footnote reference"/>
    <w:basedOn w:val="Fuentedeprrafopredeter"/>
    <w:uiPriority w:val="99"/>
    <w:semiHidden w:val="1"/>
    <w:unhideWhenUsed w:val="1"/>
    <w:rsid w:val="00064608"/>
    <w:rPr>
      <w:vertAlign w:val="superscript"/>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4"/>
    <w:tblPr>
      <w:tblStyleRowBandSize w:val="1"/>
      <w:tblStyleColBandSize w:val="1"/>
      <w:tblCellMar>
        <w:left w:w="70.0" w:type="dxa"/>
        <w:right w:w="70.0" w:type="dxa"/>
      </w:tblCellMar>
    </w:tblPr>
  </w:style>
  <w:style w:type="table" w:styleId="a0" w:customStyle="1">
    <w:basedOn w:val="TableNormal4"/>
    <w:tblPr>
      <w:tblStyleRowBandSize w:val="1"/>
      <w:tblStyleColBandSize w:val="1"/>
      <w:tblCellMar>
        <w:left w:w="70.0" w:type="dxa"/>
        <w:right w:w="70.0" w:type="dxa"/>
      </w:tblCellMar>
    </w:tblPr>
  </w:style>
  <w:style w:type="table" w:styleId="a1" w:customStyle="1">
    <w:basedOn w:val="TableNormal3"/>
    <w:tblPr>
      <w:tblStyleRowBandSize w:val="1"/>
      <w:tblStyleColBandSize w:val="1"/>
      <w:tblCellMar>
        <w:left w:w="70.0" w:type="dxa"/>
        <w:right w:w="70.0" w:type="dxa"/>
      </w:tblCellMar>
    </w:tblPr>
  </w:style>
  <w:style w:type="table" w:styleId="a2" w:customStyle="1">
    <w:basedOn w:val="TableNormal2"/>
    <w:tblPr>
      <w:tblStyleRowBandSize w:val="1"/>
      <w:tblStyleColBandSize w:val="1"/>
      <w:tblCellMar>
        <w:left w:w="70.0" w:type="dxa"/>
        <w:right w:w="70.0" w:type="dxa"/>
      </w:tblCellMar>
    </w:tblPr>
  </w:style>
  <w:style w:type="table" w:styleId="Tablaconcuadrcula">
    <w:name w:val="Table Grid"/>
    <w:basedOn w:val="Tablanormal"/>
    <w:uiPriority w:val="39"/>
    <w:rsid w:val="006D6CFF"/>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3" w:customStyle="1">
    <w:basedOn w:val="TableNormal1"/>
    <w:tblPr>
      <w:tblStyleRowBandSize w:val="1"/>
      <w:tblStyleColBandSize w:val="1"/>
      <w:tblCellMar>
        <w:left w:w="70.0" w:type="dxa"/>
        <w:right w:w="70.0" w:type="dxa"/>
      </w:tblCellMar>
    </w:tblPr>
  </w:style>
  <w:style w:type="table" w:styleId="a4" w:customStyle="1">
    <w:basedOn w:val="TableNormal1"/>
    <w:tblPr>
      <w:tblStyleRowBandSize w:val="1"/>
      <w:tblStyleColBandSize w:val="1"/>
      <w:tblCellMar>
        <w:left w:w="108.0" w:type="dxa"/>
        <w:right w:w="108.0" w:type="dxa"/>
      </w:tblCellMar>
    </w:tblPr>
  </w:style>
  <w:style w:type="table" w:styleId="a5" w:customStyle="1">
    <w:basedOn w:val="TableNormal0"/>
    <w:tblPr>
      <w:tblStyleRowBandSize w:val="1"/>
      <w:tblStyleColBandSize w:val="1"/>
      <w:tblCellMar>
        <w:left w:w="108.0" w:type="dxa"/>
        <w:right w:w="108.0" w:type="dxa"/>
      </w:tblCellMar>
    </w:tblPr>
  </w:style>
  <w:style w:type="table" w:styleId="a6" w:customStyle="1">
    <w:basedOn w:val="TableNormal0"/>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tH9DI7UBi1hq2D4w27rMLuw0DA==">AMUW2mV39L9zHxpIahNXOJgufYfdoWWHVS1aFHOxm3xpoH3lzCAuY6LfqA3SnPcpZrghskGZ27bHvzwwHK1k64gVdZuZ/7rIS75BHlS5I6h+9zy4Nr5Tg9rvY6DUqUkDLyodpNLxh18k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2022-02-08T20:16:00Z</dcterms:created>
  <dc:creator>ANDREA CAICEDO</dc:creator>
</cp:coreProperties>
</file>