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C6058" w14:textId="77777777" w:rsidR="008E4323" w:rsidRPr="003751CE" w:rsidRDefault="008E4323" w:rsidP="008E4323">
      <w:pPr>
        <w:shd w:val="clear" w:color="auto" w:fill="FFFFFF"/>
        <w:tabs>
          <w:tab w:val="left" w:pos="2110"/>
          <w:tab w:val="center" w:pos="3527"/>
        </w:tabs>
        <w:rPr>
          <w:rFonts w:ascii="Arial" w:eastAsia="Times New Roman" w:hAnsi="Arial" w:cs="Arial"/>
          <w:b/>
          <w:bCs/>
          <w:color w:val="212121"/>
          <w:sz w:val="18"/>
          <w:szCs w:val="24"/>
          <w:lang w:eastAsia="es-CO"/>
        </w:rPr>
      </w:pPr>
    </w:p>
    <w:p w14:paraId="4527EB5A" w14:textId="77777777" w:rsidR="008E4323" w:rsidRDefault="008E4323" w:rsidP="008E4323">
      <w:pPr>
        <w:jc w:val="center"/>
        <w:rPr>
          <w:rFonts w:ascii="Arial" w:hAnsi="Arial" w:cs="Arial"/>
          <w:b/>
          <w:sz w:val="24"/>
          <w:szCs w:val="24"/>
        </w:rPr>
      </w:pPr>
    </w:p>
    <w:p w14:paraId="3AA8ED68" w14:textId="77777777" w:rsidR="008E4323" w:rsidRPr="00824CCD" w:rsidRDefault="008E4323" w:rsidP="008E4323">
      <w:pPr>
        <w:jc w:val="center"/>
        <w:rPr>
          <w:rFonts w:ascii="Arial" w:hAnsi="Arial" w:cs="Arial"/>
          <w:b/>
          <w:sz w:val="24"/>
          <w:szCs w:val="24"/>
        </w:rPr>
      </w:pPr>
      <w:r w:rsidRPr="00824CCD">
        <w:rPr>
          <w:rFonts w:ascii="Arial" w:hAnsi="Arial" w:cs="Arial"/>
          <w:b/>
          <w:sz w:val="24"/>
          <w:szCs w:val="24"/>
        </w:rPr>
        <w:t>CONSEJO DE ESTADO</w:t>
      </w:r>
    </w:p>
    <w:p w14:paraId="7DA875BC" w14:textId="77777777" w:rsidR="008E4323" w:rsidRPr="00824CCD" w:rsidRDefault="008E4323" w:rsidP="008E432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4CCD">
        <w:rPr>
          <w:rFonts w:ascii="Arial" w:hAnsi="Arial" w:cs="Arial"/>
          <w:b/>
          <w:bCs/>
          <w:sz w:val="24"/>
          <w:szCs w:val="24"/>
        </w:rPr>
        <w:t>SALA DE LO CONTENCIOSO ADMINISTRATIVO</w:t>
      </w:r>
    </w:p>
    <w:p w14:paraId="42B9AE06" w14:textId="77777777" w:rsidR="008E4323" w:rsidRPr="00824CCD" w:rsidRDefault="008E4323" w:rsidP="008E432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4CCD">
        <w:rPr>
          <w:rFonts w:ascii="Arial" w:hAnsi="Arial" w:cs="Arial"/>
          <w:b/>
          <w:bCs/>
          <w:sz w:val="24"/>
          <w:szCs w:val="24"/>
        </w:rPr>
        <w:t>SECCIÓN TERCERA</w:t>
      </w:r>
    </w:p>
    <w:p w14:paraId="3BBE4F77" w14:textId="277CA44D" w:rsidR="009D482D" w:rsidRDefault="008E4323" w:rsidP="008E432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4CCD">
        <w:rPr>
          <w:rFonts w:ascii="Arial" w:hAnsi="Arial" w:cs="Arial"/>
          <w:b/>
          <w:bCs/>
          <w:sz w:val="24"/>
          <w:szCs w:val="24"/>
        </w:rPr>
        <w:t>SUBSECCIÓN C</w:t>
      </w:r>
    </w:p>
    <w:p w14:paraId="73B7F82F" w14:textId="77777777" w:rsidR="008E4323" w:rsidRPr="008E4323" w:rsidRDefault="008E4323" w:rsidP="008E432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EFB655F" w14:textId="77777777" w:rsidR="009D482D" w:rsidRDefault="009D482D">
      <w:pPr>
        <w:jc w:val="both"/>
        <w:rPr>
          <w:rFonts w:ascii="Arial" w:eastAsia="Arial" w:hAnsi="Arial" w:cs="Arial"/>
          <w:sz w:val="24"/>
          <w:szCs w:val="24"/>
        </w:rPr>
      </w:pPr>
    </w:p>
    <w:p w14:paraId="5D6C9885" w14:textId="31099B38" w:rsidR="009D482D" w:rsidRDefault="00B67F45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Bogotá D.C., </w:t>
      </w:r>
      <w:r w:rsidR="006F180D">
        <w:rPr>
          <w:rFonts w:ascii="Arial" w:eastAsia="Arial" w:hAnsi="Arial" w:cs="Arial"/>
          <w:sz w:val="24"/>
          <w:szCs w:val="24"/>
        </w:rPr>
        <w:t>tres</w:t>
      </w:r>
      <w:r>
        <w:rPr>
          <w:rFonts w:ascii="Arial" w:eastAsia="Arial" w:hAnsi="Arial" w:cs="Arial"/>
          <w:sz w:val="24"/>
          <w:szCs w:val="24"/>
        </w:rPr>
        <w:t xml:space="preserve"> (</w:t>
      </w:r>
      <w:r w:rsidR="006F180D"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) de </w:t>
      </w:r>
      <w:r w:rsidR="006F180D">
        <w:rPr>
          <w:rFonts w:ascii="Arial" w:eastAsia="Arial" w:hAnsi="Arial" w:cs="Arial"/>
          <w:sz w:val="24"/>
          <w:szCs w:val="24"/>
        </w:rPr>
        <w:t>diciembre</w:t>
      </w:r>
      <w:r>
        <w:rPr>
          <w:rFonts w:ascii="Arial" w:eastAsia="Arial" w:hAnsi="Arial" w:cs="Arial"/>
          <w:sz w:val="24"/>
          <w:szCs w:val="24"/>
        </w:rPr>
        <w:t xml:space="preserve"> de dos mil veintiuno (2021)</w:t>
      </w:r>
    </w:p>
    <w:p w14:paraId="7F095394" w14:textId="23D84CBA" w:rsidR="006F180D" w:rsidRDefault="006F180D">
      <w:pPr>
        <w:widowControl w:val="0"/>
        <w:jc w:val="both"/>
        <w:rPr>
          <w:rFonts w:ascii="Arial" w:eastAsia="Arial" w:hAnsi="Arial" w:cs="Arial"/>
          <w:b/>
          <w:sz w:val="24"/>
          <w:szCs w:val="24"/>
        </w:rPr>
      </w:pPr>
    </w:p>
    <w:p w14:paraId="3C044E11" w14:textId="0C33BB7E" w:rsidR="006F180D" w:rsidRPr="006F180D" w:rsidRDefault="006F180D">
      <w:pPr>
        <w:widowControl w:val="0"/>
        <w:jc w:val="both"/>
        <w:rPr>
          <w:rFonts w:ascii="Arial" w:eastAsia="Arial" w:hAnsi="Arial" w:cs="Arial"/>
          <w:b/>
          <w:sz w:val="24"/>
          <w:szCs w:val="24"/>
        </w:rPr>
      </w:pPr>
    </w:p>
    <w:p w14:paraId="73513AC7" w14:textId="023DDF8A" w:rsidR="006F180D" w:rsidRPr="006F180D" w:rsidRDefault="006F180D" w:rsidP="006F180D">
      <w:pPr>
        <w:tabs>
          <w:tab w:val="left" w:pos="2835"/>
        </w:tabs>
        <w:ind w:left="2835" w:hanging="2835"/>
        <w:jc w:val="both"/>
        <w:rPr>
          <w:rFonts w:ascii="Arial" w:hAnsi="Arial" w:cs="Arial"/>
          <w:sz w:val="24"/>
          <w:szCs w:val="24"/>
        </w:rPr>
      </w:pPr>
      <w:r w:rsidRPr="006F180D">
        <w:rPr>
          <w:rFonts w:ascii="Arial" w:hAnsi="Arial" w:cs="Arial"/>
          <w:b/>
          <w:sz w:val="24"/>
          <w:szCs w:val="24"/>
        </w:rPr>
        <w:t>Número interno:</w:t>
      </w:r>
      <w:r w:rsidRPr="006F180D">
        <w:rPr>
          <w:rFonts w:ascii="Arial" w:hAnsi="Arial" w:cs="Arial"/>
          <w:b/>
          <w:sz w:val="24"/>
          <w:szCs w:val="24"/>
        </w:rPr>
        <w:tab/>
      </w:r>
      <w:r w:rsidRPr="006F180D">
        <w:rPr>
          <w:rFonts w:ascii="Arial" w:hAnsi="Arial" w:cs="Arial"/>
          <w:sz w:val="24"/>
          <w:szCs w:val="24"/>
        </w:rPr>
        <w:t>67.</w:t>
      </w:r>
      <w:r>
        <w:rPr>
          <w:rFonts w:ascii="Arial" w:hAnsi="Arial" w:cs="Arial"/>
          <w:sz w:val="24"/>
          <w:szCs w:val="24"/>
        </w:rPr>
        <w:t>730</w:t>
      </w:r>
    </w:p>
    <w:p w14:paraId="0E48D643" w14:textId="16A1062F" w:rsidR="006F180D" w:rsidRPr="006F180D" w:rsidRDefault="006F180D" w:rsidP="006F180D">
      <w:pPr>
        <w:tabs>
          <w:tab w:val="left" w:pos="2835"/>
        </w:tabs>
        <w:ind w:left="2835" w:hanging="2835"/>
        <w:jc w:val="both"/>
        <w:rPr>
          <w:rFonts w:ascii="Arial" w:hAnsi="Arial" w:cs="Arial"/>
          <w:bCs/>
          <w:sz w:val="24"/>
          <w:szCs w:val="24"/>
        </w:rPr>
      </w:pPr>
      <w:r w:rsidRPr="006F180D">
        <w:rPr>
          <w:rFonts w:ascii="Arial" w:hAnsi="Arial" w:cs="Arial"/>
          <w:b/>
          <w:sz w:val="24"/>
          <w:szCs w:val="24"/>
        </w:rPr>
        <w:t>Radicación:</w:t>
      </w:r>
      <w:r w:rsidRPr="006F180D">
        <w:rPr>
          <w:rFonts w:ascii="Arial" w:hAnsi="Arial" w:cs="Arial"/>
          <w:b/>
          <w:sz w:val="24"/>
          <w:szCs w:val="24"/>
        </w:rPr>
        <w:tab/>
      </w:r>
      <w:r w:rsidRPr="006F180D">
        <w:rPr>
          <w:rFonts w:ascii="Arial" w:eastAsia="Arial" w:hAnsi="Arial" w:cs="Arial"/>
          <w:bCs/>
          <w:sz w:val="24"/>
          <w:szCs w:val="24"/>
        </w:rPr>
        <w:t>76001-23-31-000-2010-01774-01</w:t>
      </w:r>
    </w:p>
    <w:p w14:paraId="1B508675" w14:textId="5692555C" w:rsidR="006F180D" w:rsidRPr="006F180D" w:rsidRDefault="006F180D" w:rsidP="006F180D">
      <w:pPr>
        <w:tabs>
          <w:tab w:val="left" w:pos="2835"/>
        </w:tabs>
        <w:ind w:left="2835" w:hanging="2835"/>
        <w:jc w:val="both"/>
        <w:rPr>
          <w:rFonts w:ascii="Arial" w:hAnsi="Arial" w:cs="Arial"/>
          <w:sz w:val="24"/>
          <w:szCs w:val="24"/>
        </w:rPr>
      </w:pPr>
      <w:r w:rsidRPr="006F180D">
        <w:rPr>
          <w:rFonts w:ascii="Arial" w:hAnsi="Arial" w:cs="Arial"/>
          <w:b/>
          <w:sz w:val="24"/>
          <w:szCs w:val="24"/>
        </w:rPr>
        <w:t>Demandante:</w:t>
      </w:r>
      <w:r w:rsidRPr="006F180D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  <w:r w:rsidR="006252CD">
        <w:rPr>
          <w:rFonts w:ascii="Arial" w:hAnsi="Arial" w:cs="Arial"/>
          <w:sz w:val="24"/>
          <w:szCs w:val="24"/>
        </w:rPr>
        <w:t>Luz Mery Gallego Cano</w:t>
      </w:r>
      <w:r w:rsidRPr="006F180D">
        <w:rPr>
          <w:rFonts w:ascii="Arial" w:hAnsi="Arial" w:cs="Arial"/>
          <w:sz w:val="24"/>
          <w:szCs w:val="24"/>
        </w:rPr>
        <w:t xml:space="preserve"> y otros</w:t>
      </w:r>
    </w:p>
    <w:p w14:paraId="7B43003B" w14:textId="78306260" w:rsidR="006F180D" w:rsidRPr="006F180D" w:rsidRDefault="006F180D" w:rsidP="006F180D">
      <w:pPr>
        <w:tabs>
          <w:tab w:val="left" w:pos="2835"/>
        </w:tabs>
        <w:ind w:left="2835" w:hanging="2835"/>
        <w:jc w:val="both"/>
        <w:rPr>
          <w:rFonts w:ascii="Arial" w:hAnsi="Arial" w:cs="Arial"/>
          <w:sz w:val="24"/>
          <w:szCs w:val="24"/>
        </w:rPr>
      </w:pPr>
      <w:r w:rsidRPr="006F180D">
        <w:rPr>
          <w:rFonts w:ascii="Arial" w:hAnsi="Arial" w:cs="Arial"/>
          <w:b/>
          <w:sz w:val="24"/>
          <w:szCs w:val="24"/>
        </w:rPr>
        <w:t>Demandado:</w:t>
      </w:r>
      <w:r w:rsidRPr="006F180D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Municipio de Santiago de Cali</w:t>
      </w:r>
      <w:r w:rsidR="006252CD">
        <w:rPr>
          <w:rFonts w:ascii="Arial" w:hAnsi="Arial" w:cs="Arial"/>
          <w:sz w:val="24"/>
          <w:szCs w:val="24"/>
        </w:rPr>
        <w:t xml:space="preserve"> y otros</w:t>
      </w:r>
    </w:p>
    <w:p w14:paraId="37AC9808" w14:textId="381BBBDB" w:rsidR="006F180D" w:rsidRPr="006F180D" w:rsidRDefault="006F180D" w:rsidP="006F180D">
      <w:pPr>
        <w:tabs>
          <w:tab w:val="left" w:pos="2835"/>
        </w:tabs>
        <w:ind w:left="2835" w:hanging="2835"/>
        <w:jc w:val="both"/>
        <w:rPr>
          <w:rFonts w:ascii="Arial" w:hAnsi="Arial" w:cs="Arial"/>
          <w:sz w:val="24"/>
          <w:szCs w:val="24"/>
        </w:rPr>
      </w:pPr>
      <w:r w:rsidRPr="006F180D">
        <w:rPr>
          <w:rFonts w:ascii="Arial" w:hAnsi="Arial" w:cs="Arial"/>
          <w:b/>
          <w:sz w:val="24"/>
          <w:szCs w:val="24"/>
        </w:rPr>
        <w:t>Asunto:</w:t>
      </w:r>
      <w:r w:rsidRPr="006F180D">
        <w:rPr>
          <w:rFonts w:ascii="Arial" w:hAnsi="Arial" w:cs="Arial"/>
          <w:b/>
          <w:sz w:val="24"/>
          <w:szCs w:val="24"/>
        </w:rPr>
        <w:tab/>
      </w:r>
      <w:r w:rsidRPr="006F180D">
        <w:rPr>
          <w:rFonts w:ascii="Arial" w:hAnsi="Arial" w:cs="Arial"/>
          <w:sz w:val="24"/>
          <w:szCs w:val="24"/>
        </w:rPr>
        <w:t>Reparación directa</w:t>
      </w:r>
    </w:p>
    <w:p w14:paraId="755BC66F" w14:textId="77777777" w:rsidR="009D482D" w:rsidRDefault="009D482D">
      <w:pPr>
        <w:jc w:val="both"/>
        <w:rPr>
          <w:rFonts w:ascii="Arial" w:eastAsia="Arial" w:hAnsi="Arial" w:cs="Arial"/>
        </w:rPr>
      </w:pPr>
    </w:p>
    <w:p w14:paraId="5CD879AC" w14:textId="77777777" w:rsidR="009D482D" w:rsidRDefault="009D482D">
      <w:pPr>
        <w:jc w:val="both"/>
        <w:rPr>
          <w:rFonts w:ascii="Arial" w:eastAsia="Arial" w:hAnsi="Arial" w:cs="Arial"/>
        </w:rPr>
      </w:pPr>
    </w:p>
    <w:p w14:paraId="77C0A44E" w14:textId="77777777" w:rsidR="009D482D" w:rsidRDefault="009D482D">
      <w:pPr>
        <w:jc w:val="both"/>
        <w:rPr>
          <w:rFonts w:ascii="Arial" w:eastAsia="Arial" w:hAnsi="Arial" w:cs="Arial"/>
        </w:rPr>
      </w:pPr>
    </w:p>
    <w:p w14:paraId="346C48F6" w14:textId="05383566" w:rsidR="009D482D" w:rsidRDefault="00AA53BE" w:rsidP="00AA53BE">
      <w:pPr>
        <w:jc w:val="both"/>
        <w:rPr>
          <w:rFonts w:ascii="Arial" w:eastAsia="Arial" w:hAnsi="Arial" w:cs="Arial"/>
          <w:sz w:val="18"/>
          <w:szCs w:val="18"/>
        </w:rPr>
      </w:pPr>
      <w:r w:rsidRPr="00AA53BE">
        <w:rPr>
          <w:rFonts w:ascii="Arial" w:eastAsia="Arial" w:hAnsi="Arial" w:cs="Arial"/>
          <w:sz w:val="18"/>
          <w:szCs w:val="18"/>
        </w:rPr>
        <w:t>APELACIÓN DE SENTENCIA</w:t>
      </w:r>
      <w:r w:rsidR="005F6B86">
        <w:rPr>
          <w:rFonts w:ascii="Arial" w:eastAsia="Arial" w:hAnsi="Arial" w:cs="Arial"/>
          <w:sz w:val="18"/>
          <w:szCs w:val="18"/>
        </w:rPr>
        <w:t>-</w:t>
      </w:r>
      <w:r w:rsidRPr="00AA53BE">
        <w:rPr>
          <w:rFonts w:ascii="Arial" w:eastAsia="Arial" w:hAnsi="Arial" w:cs="Arial"/>
          <w:sz w:val="18"/>
          <w:szCs w:val="18"/>
        </w:rPr>
        <w:t>Admisión</w:t>
      </w:r>
      <w:r w:rsidR="005F6B86">
        <w:rPr>
          <w:rFonts w:ascii="Arial" w:eastAsia="Arial" w:hAnsi="Arial" w:cs="Arial"/>
          <w:sz w:val="18"/>
          <w:szCs w:val="18"/>
        </w:rPr>
        <w:t xml:space="preserve"> CCA</w:t>
      </w:r>
      <w:r w:rsidRPr="00AA53BE">
        <w:rPr>
          <w:rFonts w:ascii="Arial" w:eastAsia="Arial" w:hAnsi="Arial" w:cs="Arial"/>
          <w:sz w:val="18"/>
          <w:szCs w:val="18"/>
        </w:rPr>
        <w:t>.</w:t>
      </w:r>
      <w:r w:rsidR="00003317" w:rsidRPr="00003317">
        <w:t xml:space="preserve"> </w:t>
      </w:r>
      <w:r w:rsidR="00003317" w:rsidRPr="00003317">
        <w:rPr>
          <w:rFonts w:ascii="Arial" w:eastAsia="Arial" w:hAnsi="Arial" w:cs="Arial"/>
          <w:sz w:val="18"/>
          <w:szCs w:val="18"/>
        </w:rPr>
        <w:t>APELACIÓN ADHESIVA</w:t>
      </w:r>
      <w:r w:rsidR="005F6B86">
        <w:rPr>
          <w:rFonts w:ascii="Arial" w:eastAsia="Arial" w:hAnsi="Arial" w:cs="Arial"/>
          <w:sz w:val="18"/>
          <w:szCs w:val="18"/>
        </w:rPr>
        <w:t>-</w:t>
      </w:r>
      <w:r w:rsidR="00003317" w:rsidRPr="00003317">
        <w:rPr>
          <w:rFonts w:ascii="Arial" w:eastAsia="Arial" w:hAnsi="Arial" w:cs="Arial"/>
          <w:sz w:val="18"/>
          <w:szCs w:val="18"/>
        </w:rPr>
        <w:t>Admisión</w:t>
      </w:r>
      <w:r w:rsidR="005F6B86">
        <w:rPr>
          <w:rFonts w:ascii="Arial" w:eastAsia="Arial" w:hAnsi="Arial" w:cs="Arial"/>
          <w:sz w:val="18"/>
          <w:szCs w:val="18"/>
        </w:rPr>
        <w:t xml:space="preserve"> CPC</w:t>
      </w:r>
      <w:r w:rsidR="00003317" w:rsidRPr="00003317">
        <w:rPr>
          <w:rFonts w:ascii="Arial" w:eastAsia="Arial" w:hAnsi="Arial" w:cs="Arial"/>
          <w:sz w:val="18"/>
          <w:szCs w:val="18"/>
        </w:rPr>
        <w:t>.</w:t>
      </w:r>
    </w:p>
    <w:p w14:paraId="3937CC53" w14:textId="77777777" w:rsidR="009D482D" w:rsidRDefault="009D482D">
      <w:pPr>
        <w:jc w:val="both"/>
        <w:rPr>
          <w:rFonts w:ascii="Arial" w:eastAsia="Arial" w:hAnsi="Arial" w:cs="Arial"/>
        </w:rPr>
      </w:pPr>
    </w:p>
    <w:p w14:paraId="2CA66684" w14:textId="77777777" w:rsidR="009D482D" w:rsidRDefault="009D482D">
      <w:pPr>
        <w:jc w:val="both"/>
        <w:rPr>
          <w:rFonts w:ascii="Arial" w:eastAsia="Arial" w:hAnsi="Arial" w:cs="Arial"/>
        </w:rPr>
      </w:pPr>
    </w:p>
    <w:p w14:paraId="06B7B20B" w14:textId="471EA5DF" w:rsidR="009D482D" w:rsidRDefault="009D482D">
      <w:pPr>
        <w:jc w:val="both"/>
        <w:rPr>
          <w:rFonts w:ascii="Arial" w:eastAsia="Arial" w:hAnsi="Arial" w:cs="Arial"/>
        </w:rPr>
      </w:pPr>
    </w:p>
    <w:p w14:paraId="1AAA2481" w14:textId="270A41EC" w:rsidR="00257845" w:rsidRPr="005F6B86" w:rsidRDefault="00AA53BE" w:rsidP="00AA53BE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5F6B86">
        <w:rPr>
          <w:rFonts w:ascii="Arial" w:eastAsia="Arial" w:hAnsi="Arial" w:cs="Arial"/>
          <w:b/>
          <w:bCs/>
          <w:color w:val="000000"/>
          <w:sz w:val="24"/>
          <w:szCs w:val="24"/>
        </w:rPr>
        <w:t>ADMÍTESE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 xml:space="preserve"> los recursos de apelación interpuestos por la parte </w:t>
      </w:r>
      <w:r w:rsidR="005F6B86" w:rsidRPr="005F6B86">
        <w:rPr>
          <w:rFonts w:ascii="Arial" w:eastAsia="Arial" w:hAnsi="Arial" w:cs="Arial"/>
          <w:color w:val="000000"/>
          <w:sz w:val="24"/>
          <w:szCs w:val="24"/>
        </w:rPr>
        <w:t xml:space="preserve">demandante, 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>demandada</w:t>
      </w:r>
      <w:r w:rsidR="003E579C" w:rsidRPr="005F6B86">
        <w:rPr>
          <w:rFonts w:ascii="Arial" w:eastAsia="Arial" w:hAnsi="Arial" w:cs="Arial"/>
          <w:color w:val="000000"/>
          <w:sz w:val="24"/>
          <w:szCs w:val="24"/>
        </w:rPr>
        <w:t>, los demandantes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 xml:space="preserve"> y la llamada en garantía, La Previsora</w:t>
      </w:r>
      <w:r w:rsidR="005F6B86" w:rsidRPr="005F6B86">
        <w:rPr>
          <w:rFonts w:ascii="Arial" w:eastAsia="Arial" w:hAnsi="Arial" w:cs="Arial"/>
          <w:color w:val="000000"/>
          <w:sz w:val="24"/>
          <w:szCs w:val="24"/>
        </w:rPr>
        <w:t xml:space="preserve"> SA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 xml:space="preserve">, contra la sentencia del 23 de septiembre de 2020, proferida por el Tribunal Administrativo de Valle del Cauca, </w:t>
      </w:r>
      <w:r w:rsidR="00003317" w:rsidRPr="005F6B86">
        <w:rPr>
          <w:rFonts w:ascii="Arial" w:eastAsia="Arial" w:hAnsi="Arial" w:cs="Arial"/>
          <w:color w:val="000000"/>
          <w:sz w:val="24"/>
          <w:szCs w:val="24"/>
        </w:rPr>
        <w:t xml:space="preserve">concedidos el 13 de julio de 2021, 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 xml:space="preserve">de conformidad con el artículo </w:t>
      </w:r>
      <w:r w:rsidR="00BD4FF6" w:rsidRPr="005F6B86">
        <w:rPr>
          <w:rFonts w:ascii="Arial" w:eastAsia="Arial" w:hAnsi="Arial" w:cs="Arial"/>
          <w:color w:val="000000"/>
          <w:sz w:val="24"/>
          <w:szCs w:val="24"/>
        </w:rPr>
        <w:t>212 CCA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7E1443B5" w14:textId="6A767934" w:rsidR="00AA53BE" w:rsidRPr="00D521E0" w:rsidRDefault="00AA53BE" w:rsidP="00AA53BE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5E14A2DF" w14:textId="1857F7EE" w:rsidR="00AA53BE" w:rsidRDefault="00AA53BE" w:rsidP="00AA53BE">
      <w:pP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5F6B86">
        <w:rPr>
          <w:rFonts w:ascii="Arial" w:eastAsia="Arial" w:hAnsi="Arial" w:cs="Arial"/>
          <w:b/>
          <w:bCs/>
          <w:color w:val="000000"/>
          <w:sz w:val="24"/>
          <w:szCs w:val="24"/>
        </w:rPr>
        <w:t>ADMÍTESE</w:t>
      </w:r>
      <w:r w:rsidRPr="005F6B86">
        <w:rPr>
          <w:rFonts w:ascii="Arial" w:eastAsia="Arial" w:hAnsi="Arial" w:cs="Arial"/>
          <w:color w:val="000000"/>
          <w:sz w:val="24"/>
          <w:szCs w:val="24"/>
        </w:rPr>
        <w:t xml:space="preserve"> el recurso de apelación adhesiva interpuesto el 3 de mayo de 2021, ante el Tribunal Administrativo de Valle del Cauca, por la llamada en garantía, Liberty Seguros, de conformidad con el 353 CPC.</w:t>
      </w:r>
    </w:p>
    <w:p w14:paraId="177DA7B5" w14:textId="77777777" w:rsidR="009D482D" w:rsidRDefault="009D482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4A9781D3" w14:textId="35F46022" w:rsidR="009D482D" w:rsidRDefault="00AA53BE" w:rsidP="00AA53BE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AA53BE">
        <w:rPr>
          <w:rFonts w:ascii="Arial" w:eastAsia="Arial" w:hAnsi="Arial" w:cs="Arial"/>
          <w:b/>
          <w:sz w:val="24"/>
          <w:szCs w:val="24"/>
        </w:rPr>
        <w:t xml:space="preserve">NOTIFÍQUESE </w:t>
      </w:r>
      <w:r w:rsidRPr="00AA53BE">
        <w:rPr>
          <w:rFonts w:ascii="Arial" w:eastAsia="Arial" w:hAnsi="Arial" w:cs="Arial"/>
          <w:bCs/>
          <w:sz w:val="24"/>
          <w:szCs w:val="24"/>
        </w:rPr>
        <w:t>personalmente al Ministerio Público y por estado a las demás partes</w:t>
      </w:r>
      <w:r w:rsidR="00B67F45">
        <w:rPr>
          <w:rFonts w:ascii="Arial" w:eastAsia="Arial" w:hAnsi="Arial" w:cs="Arial"/>
          <w:sz w:val="24"/>
          <w:szCs w:val="24"/>
        </w:rPr>
        <w:t>.</w:t>
      </w:r>
    </w:p>
    <w:p w14:paraId="315C68E6" w14:textId="77777777" w:rsidR="009D482D" w:rsidRDefault="009D482D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413112F3" w14:textId="77777777" w:rsidR="009D482D" w:rsidRDefault="009D482D">
      <w:pPr>
        <w:jc w:val="both"/>
        <w:rPr>
          <w:rFonts w:ascii="Arial" w:eastAsia="Arial" w:hAnsi="Arial" w:cs="Arial"/>
          <w:sz w:val="24"/>
          <w:szCs w:val="24"/>
        </w:rPr>
      </w:pPr>
    </w:p>
    <w:p w14:paraId="12B0D47D" w14:textId="77777777" w:rsidR="009D482D" w:rsidRDefault="009D482D">
      <w:pPr>
        <w:jc w:val="both"/>
        <w:rPr>
          <w:rFonts w:ascii="Arial" w:eastAsia="Arial" w:hAnsi="Arial" w:cs="Arial"/>
          <w:sz w:val="24"/>
          <w:szCs w:val="24"/>
        </w:rPr>
      </w:pPr>
    </w:p>
    <w:p w14:paraId="24D47B94" w14:textId="77777777" w:rsidR="009D482D" w:rsidRDefault="009D482D">
      <w:pPr>
        <w:jc w:val="both"/>
        <w:rPr>
          <w:rFonts w:ascii="Arial" w:eastAsia="Arial" w:hAnsi="Arial" w:cs="Arial"/>
          <w:sz w:val="24"/>
          <w:szCs w:val="24"/>
        </w:rPr>
      </w:pPr>
    </w:p>
    <w:p w14:paraId="0695B124" w14:textId="77777777" w:rsidR="009D482D" w:rsidRDefault="009D482D">
      <w:pPr>
        <w:jc w:val="both"/>
        <w:rPr>
          <w:rFonts w:ascii="Arial" w:eastAsia="Arial" w:hAnsi="Arial" w:cs="Arial"/>
          <w:sz w:val="24"/>
          <w:szCs w:val="24"/>
        </w:rPr>
      </w:pPr>
    </w:p>
    <w:p w14:paraId="37B9536C" w14:textId="77777777" w:rsidR="009D482D" w:rsidRDefault="00B67F4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GUILLERMO SÁNCHEZ LUQUE</w:t>
      </w:r>
    </w:p>
    <w:p w14:paraId="42C105D3" w14:textId="12C263DC" w:rsidR="009D482D" w:rsidRPr="00E42322" w:rsidRDefault="00B67F45" w:rsidP="00E42322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Firmado electrónicamente a través de SAMAI</w:t>
      </w:r>
    </w:p>
    <w:p w14:paraId="0209564F" w14:textId="13648802" w:rsidR="009D482D" w:rsidRDefault="00B67F45">
      <w:pPr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FGC/</w:t>
      </w:r>
      <w:r w:rsidR="00E42322">
        <w:rPr>
          <w:rFonts w:ascii="Arial" w:eastAsia="Arial" w:hAnsi="Arial" w:cs="Arial"/>
          <w:sz w:val="14"/>
          <w:szCs w:val="14"/>
        </w:rPr>
        <w:t>HDN</w:t>
      </w:r>
    </w:p>
    <w:p w14:paraId="3B40C255" w14:textId="77777777" w:rsidR="009D482D" w:rsidRDefault="009D482D"/>
    <w:p w14:paraId="3E6C021C" w14:textId="77777777" w:rsidR="009D482D" w:rsidRDefault="009D482D"/>
    <w:sectPr w:rsidR="009D482D">
      <w:headerReference w:type="default" r:id="rId7"/>
      <w:headerReference w:type="first" r:id="rId8"/>
      <w:pgSz w:w="12242" w:h="18722"/>
      <w:pgMar w:top="1701" w:right="1701" w:bottom="1701" w:left="1701" w:header="720" w:footer="115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75E37" w14:textId="77777777" w:rsidR="00F62E63" w:rsidRDefault="00F62E63">
      <w:r>
        <w:separator/>
      </w:r>
    </w:p>
  </w:endnote>
  <w:endnote w:type="continuationSeparator" w:id="0">
    <w:p w14:paraId="3AAB8CF1" w14:textId="77777777" w:rsidR="00F62E63" w:rsidRDefault="00F6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D56B9" w14:textId="77777777" w:rsidR="00F62E63" w:rsidRDefault="00F62E63">
      <w:r>
        <w:separator/>
      </w:r>
    </w:p>
  </w:footnote>
  <w:footnote w:type="continuationSeparator" w:id="0">
    <w:p w14:paraId="2E62427F" w14:textId="77777777" w:rsidR="00F62E63" w:rsidRDefault="00F62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291BF" w14:textId="77777777" w:rsidR="009D482D" w:rsidRDefault="00B67F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center" w:pos="4536"/>
      </w:tabs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noProof/>
        <w:color w:val="000000"/>
        <w:sz w:val="26"/>
        <w:szCs w:val="26"/>
        <w:lang w:eastAsia="es-CO"/>
      </w:rPr>
      <w:drawing>
        <wp:inline distT="0" distB="0" distL="0" distR="0" wp14:anchorId="5ECF611D" wp14:editId="54CD8733">
          <wp:extent cx="790575" cy="80708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0575" cy="807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000000"/>
        <w:sz w:val="24"/>
        <w:szCs w:val="24"/>
      </w:rPr>
      <w:t xml:space="preserve"> </w:t>
    </w:r>
    <w:r>
      <w:rPr>
        <w:rFonts w:ascii="Arial" w:eastAsia="Arial" w:hAnsi="Arial" w:cs="Arial"/>
        <w:color w:val="000000"/>
        <w:sz w:val="28"/>
        <w:szCs w:val="28"/>
      </w:rPr>
      <w:tab/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BB270D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248E3836" w14:textId="77777777" w:rsidR="009D482D" w:rsidRDefault="00B67F45">
    <w:pPr>
      <w:tabs>
        <w:tab w:val="left" w:pos="468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Expediente n°. 67.431</w:t>
    </w:r>
  </w:p>
  <w:p w14:paraId="7F0F31C6" w14:textId="77777777" w:rsidR="009D482D" w:rsidRDefault="00B67F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Demandante: Luis Eduardo Vega Barrera</w:t>
    </w:r>
  </w:p>
  <w:p w14:paraId="04F5880C" w14:textId="77777777" w:rsidR="009D482D" w:rsidRDefault="00B67F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18"/>
        <w:szCs w:val="18"/>
      </w:rPr>
      <w:t>Rechaza recurso de apelación</w:t>
    </w:r>
  </w:p>
  <w:p w14:paraId="5A70E570" w14:textId="77777777" w:rsidR="009D482D" w:rsidRDefault="009D48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174"/>
      <w:rPr>
        <w:rFonts w:ascii="Arial" w:eastAsia="Arial" w:hAnsi="Arial" w:cs="Arial"/>
        <w:b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05566" w14:textId="77777777" w:rsidR="009D482D" w:rsidRDefault="00B67F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noProof/>
        <w:color w:val="000000"/>
        <w:sz w:val="24"/>
        <w:szCs w:val="24"/>
        <w:lang w:eastAsia="es-CO"/>
      </w:rPr>
      <w:drawing>
        <wp:anchor distT="0" distB="0" distL="114300" distR="114300" simplePos="0" relativeHeight="251658240" behindDoc="0" locked="0" layoutInCell="1" hidden="0" allowOverlap="1" wp14:anchorId="6BC89E6B" wp14:editId="0A72687C">
          <wp:simplePos x="0" y="0"/>
          <wp:positionH relativeFrom="margin">
            <wp:posOffset>-1904</wp:posOffset>
          </wp:positionH>
          <wp:positionV relativeFrom="margin">
            <wp:posOffset>-640079</wp:posOffset>
          </wp:positionV>
          <wp:extent cx="790575" cy="809625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0575" cy="809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2D"/>
    <w:rsid w:val="00003317"/>
    <w:rsid w:val="00106511"/>
    <w:rsid w:val="001873AF"/>
    <w:rsid w:val="001E7D50"/>
    <w:rsid w:val="00257845"/>
    <w:rsid w:val="003E579C"/>
    <w:rsid w:val="00421794"/>
    <w:rsid w:val="004B0B94"/>
    <w:rsid w:val="005F6B86"/>
    <w:rsid w:val="006252CD"/>
    <w:rsid w:val="006F180D"/>
    <w:rsid w:val="007E04DC"/>
    <w:rsid w:val="008908C0"/>
    <w:rsid w:val="008E4323"/>
    <w:rsid w:val="009D482D"/>
    <w:rsid w:val="00A55B8D"/>
    <w:rsid w:val="00AA53BE"/>
    <w:rsid w:val="00B67F45"/>
    <w:rsid w:val="00B86EFB"/>
    <w:rsid w:val="00BB270D"/>
    <w:rsid w:val="00BD4FF6"/>
    <w:rsid w:val="00C52B84"/>
    <w:rsid w:val="00C94F13"/>
    <w:rsid w:val="00D521E0"/>
    <w:rsid w:val="00E42322"/>
    <w:rsid w:val="00F6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AA4348"/>
  <w15:docId w15:val="{B98A363F-E045-49BD-96CA-D1C5CD83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rsid w:val="00D276F0"/>
    <w:pPr>
      <w:tabs>
        <w:tab w:val="center" w:pos="4252"/>
        <w:tab w:val="right" w:pos="8504"/>
      </w:tabs>
    </w:pPr>
    <w:rPr>
      <w:rFonts w:ascii="Arial" w:eastAsia="Times New Roman" w:hAnsi="Arial"/>
      <w:sz w:val="24"/>
      <w:szCs w:val="20"/>
      <w:lang w:val="es-ES" w:eastAsia="es-ES"/>
    </w:rPr>
  </w:style>
  <w:style w:type="character" w:customStyle="1" w:styleId="EncabezadoCar">
    <w:name w:val="Encabezado Car"/>
    <w:link w:val="Encabezado"/>
    <w:uiPriority w:val="99"/>
    <w:rsid w:val="00D276F0"/>
    <w:rPr>
      <w:rFonts w:ascii="Arial" w:eastAsia="Times New Roman" w:hAnsi="Arial"/>
      <w:sz w:val="24"/>
      <w:lang w:val="es-ES" w:eastAsia="es-ES"/>
    </w:rPr>
  </w:style>
  <w:style w:type="character" w:styleId="Nmerodepgina">
    <w:name w:val="page number"/>
    <w:rsid w:val="00D276F0"/>
  </w:style>
  <w:style w:type="paragraph" w:customStyle="1" w:styleId="xmsonormal">
    <w:name w:val="x_msonormal"/>
    <w:basedOn w:val="Normal"/>
    <w:rsid w:val="00D276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59B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A59B8"/>
    <w:rPr>
      <w:rFonts w:ascii="Segoe UI" w:hAnsi="Segoe UI" w:cs="Segoe UI"/>
      <w:sz w:val="18"/>
      <w:szCs w:val="18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25C8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rsid w:val="00A25C85"/>
    <w:rPr>
      <w:sz w:val="22"/>
      <w:szCs w:val="22"/>
      <w:lang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smzPt9afVgJowdtUisavNZUnBw==">AMUW2mXLHiwK0Tyb4yGIjDhAAjZijld+GGObDCuQFasyHPzO0aSJXhh79TquQdUhD1Jsvg+LPTt/rCYG87A4DEcD8snqbdwcPjYuN+v/gGpT7vpYT3Bm5dlBTQXWYFDq6aQ2GRtaopqC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ALICIA CAROLINA CAYUELA DAVILA</dc:creator>
  <cp:lastModifiedBy>ALICIA CAROLINA CAYUELA DAVILA</cp:lastModifiedBy>
  <cp:revision>3</cp:revision>
  <cp:lastPrinted>2021-12-10T17:03:00Z</cp:lastPrinted>
  <dcterms:created xsi:type="dcterms:W3CDTF">2021-12-10T15:51:00Z</dcterms:created>
  <dcterms:modified xsi:type="dcterms:W3CDTF">2021-12-10T17:07:00Z</dcterms:modified>
</cp:coreProperties>
</file>