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201F" w14:textId="01D7858D" w:rsidR="00A17EC2" w:rsidRDefault="00250525" w:rsidP="0025052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</w:pPr>
      <w:r w:rsidRPr="00250525">
        <w:rPr>
          <w:rFonts w:ascii="Times-Bold" w:hAnsi="Times-Bold" w:cs="Times-Bold"/>
          <w:b/>
          <w:bCs/>
          <w:noProof/>
          <w:color w:val="000000"/>
          <w:kern w:val="0"/>
          <w:sz w:val="24"/>
          <w:szCs w:val="24"/>
          <w:lang w:val="es-CO"/>
        </w:rPr>
        <w:drawing>
          <wp:inline distT="0" distB="0" distL="0" distR="0" wp14:anchorId="07B0607C" wp14:editId="1994F068">
            <wp:extent cx="1819275" cy="2314575"/>
            <wp:effectExtent l="0" t="0" r="9525" b="9525"/>
            <wp:docPr id="48475025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4E57B" w14:textId="77777777" w:rsidR="00A17EC2" w:rsidRDefault="00A17EC2" w:rsidP="002E679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</w:pPr>
    </w:p>
    <w:p w14:paraId="1590A9A3" w14:textId="77777777" w:rsidR="00A17EC2" w:rsidRDefault="00A17EC2" w:rsidP="002E679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</w:pPr>
    </w:p>
    <w:p w14:paraId="4E4D36FF" w14:textId="77777777" w:rsidR="00A17EC2" w:rsidRDefault="00A17EC2" w:rsidP="002E679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</w:pPr>
    </w:p>
    <w:p w14:paraId="159F6218" w14:textId="69C8901A" w:rsidR="002E6799" w:rsidRDefault="002E6799" w:rsidP="003F6C6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  <w:t>REPÚBLICA DE COLOMBIA</w:t>
      </w:r>
    </w:p>
    <w:p w14:paraId="1E82DE2E" w14:textId="77777777" w:rsidR="002E6799" w:rsidRDefault="002E6799" w:rsidP="003F6C6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  <w:t>TRIBUNAL SUPERIOR DEL DISTRITO JUDICIAL DE BOGOTÁ D.C.</w:t>
      </w:r>
    </w:p>
    <w:p w14:paraId="1D924BAD" w14:textId="77777777" w:rsidR="002E6799" w:rsidRDefault="002E6799" w:rsidP="003F6C6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  <w:t>SALA LABORAL</w:t>
      </w:r>
    </w:p>
    <w:p w14:paraId="106DF1D5" w14:textId="77777777" w:rsidR="002E6799" w:rsidRDefault="002E6799" w:rsidP="003F6C6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 xml:space="preserve">Magistrado Ponente: </w:t>
      </w:r>
      <w:r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  <w:t>RODRIGO ÁVALOS OSPINA.</w:t>
      </w:r>
    </w:p>
    <w:p w14:paraId="61F36D41" w14:textId="77777777" w:rsidR="003F6C6E" w:rsidRDefault="003F6C6E" w:rsidP="002E67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</w:pPr>
    </w:p>
    <w:p w14:paraId="44390B8E" w14:textId="77777777" w:rsidR="003F6C6E" w:rsidRDefault="003F6C6E" w:rsidP="002E67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</w:pPr>
    </w:p>
    <w:p w14:paraId="64E344E1" w14:textId="52B3510C" w:rsidR="002E6799" w:rsidRDefault="002E6799" w:rsidP="003F6C6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PROCESO ORDINARIO LABORAL PROMOVIDO POR MARTHA CECILIA GAITÁN</w:t>
      </w:r>
    </w:p>
    <w:p w14:paraId="7FF1D2AC" w14:textId="7198FD88" w:rsidR="002E6799" w:rsidRDefault="002E6799" w:rsidP="003F6C6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SÁNCHEZ contra ADMINISTRADORA COLOMBIANA DE PENSIONES -</w:t>
      </w:r>
      <w:r w:rsidR="003F6C6E"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COLPENSIONES, COLFONDOS S.A. PENSIONES Y CESANTIAS, la</w:t>
      </w:r>
      <w:r w:rsidR="003F6C6E"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ADMINISTRADORA DE FONDOS DE PENSIONES Y CESANTÍAS PROTECCIÓN S.A</w:t>
      </w:r>
    </w:p>
    <w:p w14:paraId="7ED0043D" w14:textId="49BAC3A7" w:rsidR="002E6799" w:rsidRDefault="002E6799" w:rsidP="003F6C6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y la SOCIEDAD ADMINISTRADORA DE FONDOS DE PENSIONES Y CESANTÍAS</w:t>
      </w:r>
      <w:r w:rsidR="003F6C6E"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PORVENIR S.A. y llamada en garantía ALLIANZ SEGUROS DE VIDA S.A, Radicación</w:t>
      </w:r>
      <w:r w:rsidR="003F6C6E"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No. 11001-31-05-035-</w:t>
      </w:r>
      <w:r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  <w:t>2021-00414</w:t>
      </w: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-01.</w:t>
      </w:r>
    </w:p>
    <w:p w14:paraId="43E251C4" w14:textId="77777777" w:rsidR="00250525" w:rsidRDefault="00250525" w:rsidP="003F6C6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</w:pPr>
    </w:p>
    <w:p w14:paraId="73FF1161" w14:textId="77777777" w:rsidR="00250525" w:rsidRDefault="00250525" w:rsidP="003F6C6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</w:pPr>
    </w:p>
    <w:p w14:paraId="0D3F82B6" w14:textId="705B2749" w:rsidR="002E6799" w:rsidRDefault="002E6799" w:rsidP="003F6C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Bogotá D.C., diecisiete (17) de junio de dos mil veinticuatro (2024)</w:t>
      </w:r>
    </w:p>
    <w:p w14:paraId="0EC44C65" w14:textId="77777777" w:rsidR="00250525" w:rsidRDefault="00250525" w:rsidP="003F6C6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</w:pPr>
    </w:p>
    <w:p w14:paraId="58863EFB" w14:textId="5C67A225" w:rsidR="002E6799" w:rsidRDefault="002E6799" w:rsidP="003F6C6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  <w:t>AUTO</w:t>
      </w:r>
    </w:p>
    <w:p w14:paraId="517CC745" w14:textId="77777777" w:rsidR="00250525" w:rsidRDefault="00250525" w:rsidP="003F6C6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</w:pPr>
    </w:p>
    <w:p w14:paraId="78F52A0D" w14:textId="77777777" w:rsidR="00250525" w:rsidRDefault="00250525" w:rsidP="003F6C6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</w:pPr>
    </w:p>
    <w:p w14:paraId="5D23A991" w14:textId="7817E0AC" w:rsidR="002E6799" w:rsidRDefault="002E6799" w:rsidP="003F6C6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De conformidad con lo dispuesto en el artículo 13 de la Ley 2213 del 13 de junio de 2022</w:t>
      </w:r>
      <w:r w:rsidR="003F6C6E"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por medio de la cual se establece la vigencia permanente del Decreto Legislativo 806 de</w:t>
      </w:r>
      <w:r w:rsidR="003F6C6E"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 xml:space="preserve">2020, se dispone </w:t>
      </w:r>
      <w:r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  <w:t xml:space="preserve">ADMITIR </w:t>
      </w: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los recursos de apelación presentados por la demandada</w:t>
      </w:r>
      <w:r w:rsidR="003F6C6E"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ADMINISTRADORA COLOMBIANA DE PENSIONES - COLPENSIONES y</w:t>
      </w:r>
      <w:r w:rsidR="003F6C6E"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COLFONDOS S.A. PENSIONES Y CESANTIAS contra la sentencia proferida por el</w:t>
      </w:r>
      <w:r w:rsidR="003F6C6E"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Juzgado Treinta y Cinco Laboral del Circuito de Bogotá el 08 de abril de 2024.</w:t>
      </w:r>
    </w:p>
    <w:p w14:paraId="465B0D44" w14:textId="77777777" w:rsidR="003F6C6E" w:rsidRDefault="003F6C6E" w:rsidP="003F6C6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</w:pPr>
    </w:p>
    <w:p w14:paraId="1F64951E" w14:textId="035DC229" w:rsidR="002E6799" w:rsidRDefault="002E6799" w:rsidP="003F6C6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 xml:space="preserve">Ejecutoriado el presente auto, se ordena </w:t>
      </w:r>
      <w:r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  <w:t xml:space="preserve">CORRER </w:t>
      </w: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 xml:space="preserve">traslado </w:t>
      </w:r>
      <w:r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  <w:t xml:space="preserve">COMÚN </w:t>
      </w: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a las partes por el</w:t>
      </w:r>
      <w:r w:rsidR="003F6C6E"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término legal de cinco (5) días para que presenten por escrito los alegatos de conclusión, para</w:t>
      </w:r>
      <w:r w:rsidR="003F6C6E"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lastRenderedPageBreak/>
        <w:t>lo cual, deberán enviar su memorial de manera simultánea con individualización de la parte</w:t>
      </w:r>
      <w:r w:rsidR="003F6C6E"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que lo interpone y el respectivo radicado del proceso, tanto al Tribunal como a su contraparte,</w:t>
      </w:r>
    </w:p>
    <w:p w14:paraId="70B9588B" w14:textId="77777777" w:rsidR="002E6799" w:rsidRDefault="002E6799" w:rsidP="003F6C6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conforme lo ordena el artículo 3º del Ley 2213 de 2022.</w:t>
      </w:r>
    </w:p>
    <w:p w14:paraId="5781BC31" w14:textId="77777777" w:rsidR="003F6C6E" w:rsidRDefault="003F6C6E" w:rsidP="003F6C6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</w:pPr>
    </w:p>
    <w:p w14:paraId="6EA35A56" w14:textId="5E852F87" w:rsidR="002E6799" w:rsidRDefault="002E6799" w:rsidP="003F6C6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Los memoriales dirigidos al presente proceso deberán ser remitidos en medio digital,</w:t>
      </w:r>
      <w:r w:rsidR="003F6C6E"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  <w:t xml:space="preserve">ÚNICAMENTE </w:t>
      </w: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al correo electrónico de la Secretaría de la Sala Laboral del Tribunal</w:t>
      </w:r>
      <w:r w:rsidR="003F6C6E"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Superior del Distrito Judicial de Bogotá (</w:t>
      </w:r>
      <w:r>
        <w:rPr>
          <w:rFonts w:ascii="TimesNewRoman" w:hAnsi="TimesNewRoman" w:cs="TimesNewRoman"/>
          <w:color w:val="1E11CE"/>
          <w:kern w:val="0"/>
          <w:sz w:val="24"/>
          <w:szCs w:val="24"/>
          <w:lang w:val="es-CO"/>
        </w:rPr>
        <w:t>secsltribsupbta@cendoj.ramajudicial.gov.co</w:t>
      </w: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) para</w:t>
      </w:r>
    </w:p>
    <w:p w14:paraId="0BCD7694" w14:textId="77777777" w:rsidR="002E6799" w:rsidRDefault="002E6799" w:rsidP="003F6C6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la contabilización de términos si a ello hay lugar y registro en el sistema informático Siglo</w:t>
      </w:r>
    </w:p>
    <w:p w14:paraId="2252824D" w14:textId="7BAEEC6A" w:rsidR="002E6799" w:rsidRDefault="002E6799" w:rsidP="003F6C6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 xml:space="preserve">XXI, sin que sea necesaria la radicación física de los documentos, por tanto, </w:t>
      </w:r>
      <w:proofErr w:type="gramStart"/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el envío de</w:t>
      </w:r>
      <w:r w:rsidR="003F6C6E"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escritos a los correos electrónicos de los despachos judiciales se tendrán</w:t>
      </w:r>
      <w:proofErr w:type="gramEnd"/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 xml:space="preserve"> por no presentados.</w:t>
      </w:r>
    </w:p>
    <w:p w14:paraId="333E592C" w14:textId="77777777" w:rsidR="003F6C6E" w:rsidRDefault="003F6C6E" w:rsidP="003F6C6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</w:pPr>
    </w:p>
    <w:p w14:paraId="525D8D2D" w14:textId="271D89DB" w:rsidR="002E6799" w:rsidRDefault="002E6799" w:rsidP="003F6C6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Cumplido lo anterior, ingrese el proceso al despacho para que posteriormente, de acuerdo al</w:t>
      </w:r>
    </w:p>
    <w:p w14:paraId="0B8E43A7" w14:textId="1A76E75A" w:rsidR="002E6799" w:rsidRDefault="002E6799" w:rsidP="003F6C6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turno, le sea asignada fecha para resolver por escrito el referido recurso de apelación,</w:t>
      </w:r>
      <w:r w:rsidR="003F6C6E"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conforme lo ordena la norma antes citada; téngase en cuenta que, en vista del cúmulo de</w:t>
      </w:r>
      <w:r w:rsidR="003F6C6E"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negocios pendientes para desatar el recurso de apelación o la consulta, el presente asunto será</w:t>
      </w:r>
    </w:p>
    <w:p w14:paraId="6BC61197" w14:textId="77777777" w:rsidR="002E6799" w:rsidRDefault="002E6799" w:rsidP="003F6C6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  <w:lang w:val="es-CO"/>
        </w:rPr>
        <w:t>tramitado únicamente acorde con el orden de llegada.</w:t>
      </w:r>
    </w:p>
    <w:p w14:paraId="1F52880D" w14:textId="77777777" w:rsidR="0057571C" w:rsidRDefault="0057571C" w:rsidP="003F6C6E">
      <w:pPr>
        <w:jc w:val="both"/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</w:pPr>
    </w:p>
    <w:p w14:paraId="292C4CBB" w14:textId="14807699" w:rsidR="00B9243D" w:rsidRDefault="002E6799" w:rsidP="003F6C6E">
      <w:pPr>
        <w:jc w:val="both"/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color w:val="000000"/>
          <w:kern w:val="0"/>
          <w:sz w:val="24"/>
          <w:szCs w:val="24"/>
          <w:lang w:val="es-CO"/>
        </w:rPr>
        <w:t>NOTIFÍQUESE</w:t>
      </w:r>
    </w:p>
    <w:p w14:paraId="1FB95A8B" w14:textId="5E111339" w:rsidR="002E6799" w:rsidRDefault="00A257E9" w:rsidP="003F6C6E">
      <w:pPr>
        <w:jc w:val="both"/>
      </w:pPr>
      <w:r w:rsidRPr="00A257E9">
        <w:rPr>
          <w:noProof/>
        </w:rPr>
        <w:drawing>
          <wp:inline distT="0" distB="0" distL="0" distR="0" wp14:anchorId="3F683AD1" wp14:editId="790E729E">
            <wp:extent cx="4981575" cy="1428750"/>
            <wp:effectExtent l="0" t="0" r="9525" b="0"/>
            <wp:docPr id="21302743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B0588" w14:textId="77777777" w:rsidR="0057571C" w:rsidRDefault="0057571C" w:rsidP="003F6C6E">
      <w:pPr>
        <w:jc w:val="both"/>
      </w:pPr>
    </w:p>
    <w:sectPr w:rsidR="005757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99"/>
    <w:rsid w:val="00180EBA"/>
    <w:rsid w:val="00250525"/>
    <w:rsid w:val="002E6799"/>
    <w:rsid w:val="003F6C6E"/>
    <w:rsid w:val="0057571C"/>
    <w:rsid w:val="00737460"/>
    <w:rsid w:val="00A17EC2"/>
    <w:rsid w:val="00A257E9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639E"/>
  <w15:chartTrackingRefBased/>
  <w15:docId w15:val="{C6E057F5-F298-4B94-AC6D-99D8ADF6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6</cp:revision>
  <dcterms:created xsi:type="dcterms:W3CDTF">2024-06-18T21:22:00Z</dcterms:created>
  <dcterms:modified xsi:type="dcterms:W3CDTF">2024-06-18T21:30:00Z</dcterms:modified>
</cp:coreProperties>
</file>