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8153" w14:textId="18644DF6" w:rsidR="00C06BE7" w:rsidRDefault="007B6EF2">
      <w:pPr>
        <w:pStyle w:val="Textoindependiente"/>
        <w:ind w:hanging="284"/>
        <w:rPr>
          <w:rFonts w:cs="Arial"/>
          <w:sz w:val="18"/>
        </w:rPr>
      </w:pPr>
      <w:r>
        <w:rPr>
          <w:rFonts w:cs="Arial"/>
          <w:sz w:val="18"/>
        </w:rPr>
        <w:t>Sant</w:t>
      </w:r>
      <w:r w:rsidR="00082192">
        <w:rPr>
          <w:rFonts w:cs="Arial"/>
          <w:sz w:val="18"/>
        </w:rPr>
        <w:t>iago de Cali,</w:t>
      </w:r>
      <w:r w:rsidR="00A60C4E">
        <w:rPr>
          <w:rFonts w:cs="Arial"/>
          <w:sz w:val="18"/>
        </w:rPr>
        <w:t xml:space="preserve"> </w:t>
      </w:r>
      <w:r w:rsidR="007F7AAE">
        <w:rPr>
          <w:rFonts w:cs="Arial"/>
          <w:sz w:val="18"/>
        </w:rPr>
        <w:t>01</w:t>
      </w:r>
      <w:r w:rsidR="00A10CC7">
        <w:rPr>
          <w:rFonts w:cs="Arial"/>
          <w:sz w:val="18"/>
        </w:rPr>
        <w:t xml:space="preserve"> </w:t>
      </w:r>
      <w:r w:rsidR="005534DF">
        <w:rPr>
          <w:rFonts w:cs="Arial"/>
          <w:sz w:val="18"/>
        </w:rPr>
        <w:t>de</w:t>
      </w:r>
      <w:r w:rsidR="00EE7032">
        <w:rPr>
          <w:rFonts w:cs="Arial"/>
          <w:sz w:val="18"/>
        </w:rPr>
        <w:t xml:space="preserve"> </w:t>
      </w:r>
      <w:r w:rsidR="007F7AAE">
        <w:rPr>
          <w:rFonts w:cs="Arial"/>
          <w:sz w:val="18"/>
        </w:rPr>
        <w:t xml:space="preserve">abril </w:t>
      </w:r>
      <w:r w:rsidR="00BC306D">
        <w:rPr>
          <w:rFonts w:cs="Arial"/>
          <w:sz w:val="18"/>
        </w:rPr>
        <w:t>de 202</w:t>
      </w:r>
      <w:r w:rsidR="00856675">
        <w:rPr>
          <w:rFonts w:cs="Arial"/>
          <w:sz w:val="18"/>
        </w:rPr>
        <w:t>5</w:t>
      </w:r>
      <w:r w:rsidR="007F7AAE">
        <w:rPr>
          <w:rFonts w:cs="Arial"/>
          <w:sz w:val="18"/>
        </w:rPr>
        <w:t>.</w:t>
      </w:r>
    </w:p>
    <w:p w14:paraId="25250AE5" w14:textId="77777777" w:rsidR="00C06BE7" w:rsidRDefault="00C06BE7">
      <w:pPr>
        <w:pStyle w:val="Textoindependiente"/>
        <w:ind w:hanging="284"/>
        <w:rPr>
          <w:rFonts w:cs="Arial"/>
          <w:sz w:val="18"/>
        </w:rPr>
      </w:pPr>
    </w:p>
    <w:p w14:paraId="191FC072" w14:textId="77777777" w:rsidR="00C06BE7" w:rsidRDefault="00C06BE7">
      <w:pPr>
        <w:pStyle w:val="Textoindependiente"/>
        <w:rPr>
          <w:rFonts w:cs="Arial"/>
          <w:bCs/>
          <w:sz w:val="18"/>
        </w:rPr>
      </w:pPr>
    </w:p>
    <w:p w14:paraId="7226934D" w14:textId="77777777" w:rsidR="00C06BE7" w:rsidRDefault="00C06BE7">
      <w:pPr>
        <w:pStyle w:val="Textoindependiente"/>
        <w:ind w:hanging="284"/>
        <w:outlineLvl w:val="0"/>
        <w:rPr>
          <w:rFonts w:cs="Arial"/>
          <w:bCs/>
          <w:sz w:val="18"/>
        </w:rPr>
      </w:pPr>
      <w:r>
        <w:rPr>
          <w:rFonts w:cs="Arial"/>
          <w:bCs/>
          <w:sz w:val="18"/>
        </w:rPr>
        <w:t>Señores</w:t>
      </w:r>
    </w:p>
    <w:p w14:paraId="4CEDF286" w14:textId="77777777" w:rsidR="00C06BE7" w:rsidRDefault="00065658">
      <w:pPr>
        <w:pStyle w:val="Textoindependiente"/>
        <w:ind w:hanging="284"/>
        <w:outlineLvl w:val="0"/>
        <w:rPr>
          <w:rFonts w:cs="Arial"/>
          <w:b/>
          <w:sz w:val="18"/>
        </w:rPr>
      </w:pPr>
      <w:r>
        <w:rPr>
          <w:rFonts w:cs="Arial"/>
          <w:b/>
          <w:sz w:val="18"/>
        </w:rPr>
        <w:t xml:space="preserve">DIRECCION PROCESOS JUDICIALES </w:t>
      </w:r>
    </w:p>
    <w:p w14:paraId="5F7DDAC4" w14:textId="77777777" w:rsidR="00C06BE7" w:rsidRDefault="00065658" w:rsidP="00065658">
      <w:pPr>
        <w:pStyle w:val="Textoindependiente"/>
        <w:ind w:hanging="284"/>
        <w:outlineLvl w:val="0"/>
        <w:rPr>
          <w:rFonts w:cs="Arial"/>
          <w:b/>
          <w:sz w:val="18"/>
        </w:rPr>
      </w:pPr>
      <w:r>
        <w:rPr>
          <w:rFonts w:cs="Arial"/>
          <w:b/>
          <w:sz w:val="18"/>
        </w:rPr>
        <w:t>ASUNTOS LEGALES</w:t>
      </w:r>
    </w:p>
    <w:p w14:paraId="7A3E741B" w14:textId="77777777" w:rsidR="00065658" w:rsidRDefault="00065658" w:rsidP="00065658">
      <w:pPr>
        <w:pStyle w:val="Textoindependiente"/>
        <w:ind w:hanging="284"/>
        <w:outlineLvl w:val="0"/>
        <w:rPr>
          <w:rFonts w:cs="Arial"/>
          <w:b/>
          <w:sz w:val="18"/>
        </w:rPr>
      </w:pPr>
      <w:r>
        <w:rPr>
          <w:rFonts w:cs="Arial"/>
          <w:b/>
          <w:sz w:val="18"/>
        </w:rPr>
        <w:t>CIUDAD</w:t>
      </w:r>
    </w:p>
    <w:p w14:paraId="48F92705" w14:textId="77777777" w:rsidR="00C92097" w:rsidRDefault="00C92097" w:rsidP="00065658">
      <w:pPr>
        <w:pStyle w:val="Textoindependiente"/>
        <w:ind w:hanging="284"/>
        <w:outlineLvl w:val="0"/>
        <w:rPr>
          <w:rFonts w:cs="Arial"/>
          <w:b/>
          <w:sz w:val="18"/>
        </w:rPr>
      </w:pPr>
    </w:p>
    <w:p w14:paraId="195AC45C" w14:textId="77777777" w:rsidR="00C92097" w:rsidRDefault="00C92097" w:rsidP="00065658">
      <w:pPr>
        <w:pStyle w:val="Textoindependiente"/>
        <w:ind w:hanging="284"/>
        <w:outlineLvl w:val="0"/>
        <w:rPr>
          <w:rFonts w:cs="Arial"/>
          <w:b/>
          <w:sz w:val="18"/>
        </w:rPr>
      </w:pPr>
    </w:p>
    <w:p w14:paraId="4A2BB338" w14:textId="77777777" w:rsidR="00C06BE7" w:rsidRDefault="00360CC4" w:rsidP="00360CC4">
      <w:pPr>
        <w:pStyle w:val="Ttulo1"/>
        <w:jc w:val="center"/>
        <w:rPr>
          <w:rFonts w:ascii="Arial" w:hAnsi="Arial" w:cs="Arial"/>
          <w:sz w:val="18"/>
        </w:rPr>
      </w:pPr>
      <w:r>
        <w:rPr>
          <w:rFonts w:ascii="Arial" w:hAnsi="Arial" w:cs="Arial"/>
          <w:sz w:val="18"/>
        </w:rPr>
        <w:t>RESUMEN DE INFORMACI</w:t>
      </w:r>
      <w:r w:rsidR="00307B68">
        <w:rPr>
          <w:rFonts w:ascii="Arial" w:hAnsi="Arial" w:cs="Arial"/>
          <w:sz w:val="18"/>
        </w:rPr>
        <w:t>Ó</w:t>
      </w:r>
      <w:r>
        <w:rPr>
          <w:rFonts w:ascii="Arial" w:hAnsi="Arial" w:cs="Arial"/>
          <w:sz w:val="18"/>
        </w:rPr>
        <w:t xml:space="preserve">N PARA </w:t>
      </w:r>
      <w:r w:rsidR="00307B68">
        <w:rPr>
          <w:rFonts w:ascii="Arial" w:hAnsi="Arial" w:cs="Arial"/>
          <w:sz w:val="18"/>
        </w:rPr>
        <w:t>AUDIENCIA</w:t>
      </w:r>
    </w:p>
    <w:tbl>
      <w:tblPr>
        <w:tblW w:w="9782"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69"/>
        <w:gridCol w:w="7513"/>
      </w:tblGrid>
      <w:tr w:rsidR="00C06BE7" w14:paraId="670B1660" w14:textId="77777777" w:rsidTr="008730F8">
        <w:trPr>
          <w:trHeight w:val="624"/>
        </w:trPr>
        <w:tc>
          <w:tcPr>
            <w:tcW w:w="2269" w:type="dxa"/>
            <w:shd w:val="clear" w:color="auto" w:fill="9CC2E5"/>
            <w:vAlign w:val="center"/>
          </w:tcPr>
          <w:p w14:paraId="09875539" w14:textId="77777777" w:rsidR="00C06BE7" w:rsidRDefault="00360CC4">
            <w:pPr>
              <w:rPr>
                <w:rFonts w:ascii="Arial" w:hAnsi="Arial" w:cs="Arial"/>
                <w:b/>
                <w:sz w:val="18"/>
              </w:rPr>
            </w:pPr>
            <w:r>
              <w:rPr>
                <w:rFonts w:ascii="Arial" w:hAnsi="Arial" w:cs="Arial"/>
                <w:b/>
                <w:sz w:val="18"/>
              </w:rPr>
              <w:t>PROCESO</w:t>
            </w:r>
          </w:p>
        </w:tc>
        <w:tc>
          <w:tcPr>
            <w:tcW w:w="7513" w:type="dxa"/>
            <w:vAlign w:val="center"/>
          </w:tcPr>
          <w:p w14:paraId="27DD1212" w14:textId="0FEA621B" w:rsidR="00C06BE7" w:rsidRDefault="00004BBD">
            <w:pPr>
              <w:pStyle w:val="Ttulo4"/>
              <w:rPr>
                <w:rFonts w:ascii="Arial" w:hAnsi="Arial" w:cs="Arial"/>
                <w:sz w:val="18"/>
              </w:rPr>
            </w:pPr>
            <w:r w:rsidRPr="00004BBD">
              <w:rPr>
                <w:rFonts w:ascii="Arial" w:hAnsi="Arial" w:cs="Arial"/>
                <w:sz w:val="18"/>
              </w:rPr>
              <w:t>ORDINARIO LABORAL DE PRIMERA INSTANCIA</w:t>
            </w:r>
            <w:r>
              <w:rPr>
                <w:rFonts w:ascii="Arial" w:hAnsi="Arial" w:cs="Arial"/>
                <w:sz w:val="18"/>
              </w:rPr>
              <w:t>.</w:t>
            </w:r>
          </w:p>
        </w:tc>
      </w:tr>
      <w:tr w:rsidR="00C06BE7" w14:paraId="00D37380" w14:textId="77777777" w:rsidTr="006D3F30">
        <w:trPr>
          <w:trHeight w:val="704"/>
        </w:trPr>
        <w:tc>
          <w:tcPr>
            <w:tcW w:w="2269" w:type="dxa"/>
            <w:shd w:val="clear" w:color="auto" w:fill="9CC2E5"/>
            <w:vAlign w:val="center"/>
          </w:tcPr>
          <w:p w14:paraId="2F6658E9" w14:textId="77777777" w:rsidR="00C06BE7" w:rsidRDefault="00360CC4">
            <w:pPr>
              <w:rPr>
                <w:rFonts w:ascii="Arial" w:hAnsi="Arial" w:cs="Arial"/>
                <w:b/>
                <w:sz w:val="18"/>
              </w:rPr>
            </w:pPr>
            <w:r>
              <w:rPr>
                <w:rFonts w:ascii="Arial" w:hAnsi="Arial" w:cs="Arial"/>
                <w:b/>
                <w:sz w:val="18"/>
              </w:rPr>
              <w:t>DEMANDANTE</w:t>
            </w:r>
            <w:r w:rsidR="00EF2531">
              <w:rPr>
                <w:rFonts w:ascii="Arial" w:hAnsi="Arial" w:cs="Arial"/>
                <w:b/>
                <w:sz w:val="18"/>
              </w:rPr>
              <w:t>S</w:t>
            </w:r>
          </w:p>
        </w:tc>
        <w:tc>
          <w:tcPr>
            <w:tcW w:w="7513" w:type="dxa"/>
            <w:vAlign w:val="center"/>
          </w:tcPr>
          <w:p w14:paraId="046DBC0A" w14:textId="778CE19D" w:rsidR="00C626C5" w:rsidRPr="007F7AAE" w:rsidRDefault="00004BBD" w:rsidP="007F7AAE">
            <w:pPr>
              <w:jc w:val="both"/>
              <w:rPr>
                <w:rFonts w:ascii="Arial" w:hAnsi="Arial" w:cs="Arial"/>
                <w:iCs/>
                <w:sz w:val="18"/>
                <w:szCs w:val="18"/>
              </w:rPr>
            </w:pPr>
            <w:r w:rsidRPr="00004BBD">
              <w:rPr>
                <w:rFonts w:ascii="Arial" w:hAnsi="Arial" w:cs="Arial"/>
                <w:iCs/>
                <w:sz w:val="18"/>
                <w:szCs w:val="18"/>
              </w:rPr>
              <w:t>ZULY VANESSA CARRILLO PARD</w:t>
            </w:r>
            <w:r>
              <w:rPr>
                <w:rFonts w:ascii="Arial" w:hAnsi="Arial" w:cs="Arial"/>
                <w:iCs/>
                <w:sz w:val="18"/>
                <w:szCs w:val="18"/>
              </w:rPr>
              <w:t xml:space="preserve">O C.C. </w:t>
            </w:r>
            <w:r w:rsidRPr="00004BBD">
              <w:rPr>
                <w:rFonts w:ascii="Arial" w:hAnsi="Arial" w:cs="Arial"/>
                <w:iCs/>
                <w:sz w:val="18"/>
                <w:szCs w:val="18"/>
              </w:rPr>
              <w:t>29</w:t>
            </w:r>
            <w:r>
              <w:rPr>
                <w:rFonts w:ascii="Arial" w:hAnsi="Arial" w:cs="Arial"/>
                <w:iCs/>
                <w:sz w:val="18"/>
                <w:szCs w:val="18"/>
              </w:rPr>
              <w:t>.</w:t>
            </w:r>
            <w:r w:rsidRPr="00004BBD">
              <w:rPr>
                <w:rFonts w:ascii="Arial" w:hAnsi="Arial" w:cs="Arial"/>
                <w:iCs/>
                <w:sz w:val="18"/>
                <w:szCs w:val="18"/>
              </w:rPr>
              <w:t>231</w:t>
            </w:r>
            <w:r>
              <w:rPr>
                <w:rFonts w:ascii="Arial" w:hAnsi="Arial" w:cs="Arial"/>
                <w:iCs/>
                <w:sz w:val="18"/>
                <w:szCs w:val="18"/>
              </w:rPr>
              <w:t>.</w:t>
            </w:r>
            <w:r w:rsidRPr="00004BBD">
              <w:rPr>
                <w:rFonts w:ascii="Arial" w:hAnsi="Arial" w:cs="Arial"/>
                <w:iCs/>
                <w:sz w:val="18"/>
                <w:szCs w:val="18"/>
              </w:rPr>
              <w:t>715</w:t>
            </w:r>
          </w:p>
        </w:tc>
      </w:tr>
      <w:tr w:rsidR="00C06BE7" w14:paraId="09620F4B" w14:textId="77777777" w:rsidTr="00323565">
        <w:trPr>
          <w:trHeight w:val="702"/>
        </w:trPr>
        <w:tc>
          <w:tcPr>
            <w:tcW w:w="2269" w:type="dxa"/>
            <w:shd w:val="clear" w:color="auto" w:fill="9CC2E5"/>
            <w:vAlign w:val="center"/>
          </w:tcPr>
          <w:p w14:paraId="4B029AE4" w14:textId="77777777" w:rsidR="00C06BE7" w:rsidRDefault="00360CC4">
            <w:pPr>
              <w:rPr>
                <w:rFonts w:ascii="Arial" w:hAnsi="Arial" w:cs="Arial"/>
                <w:b/>
                <w:sz w:val="18"/>
              </w:rPr>
            </w:pPr>
            <w:r>
              <w:rPr>
                <w:rFonts w:ascii="Arial" w:hAnsi="Arial" w:cs="Arial"/>
                <w:b/>
                <w:sz w:val="18"/>
              </w:rPr>
              <w:t>DEMANDADO</w:t>
            </w:r>
          </w:p>
        </w:tc>
        <w:tc>
          <w:tcPr>
            <w:tcW w:w="7513" w:type="dxa"/>
            <w:vAlign w:val="center"/>
          </w:tcPr>
          <w:p w14:paraId="7FE82F0D" w14:textId="67BFDFF6" w:rsidR="00C626C5" w:rsidRPr="007F7AAE" w:rsidRDefault="00004BBD" w:rsidP="007F7AAE">
            <w:pPr>
              <w:pStyle w:val="Ttulo4"/>
              <w:rPr>
                <w:rFonts w:ascii="Arial" w:hAnsi="Arial" w:cs="Arial"/>
                <w:sz w:val="18"/>
                <w:szCs w:val="18"/>
              </w:rPr>
            </w:pPr>
            <w:r w:rsidRPr="00004BBD">
              <w:rPr>
                <w:rFonts w:ascii="Arial" w:hAnsi="Arial" w:cs="Arial"/>
                <w:sz w:val="18"/>
                <w:szCs w:val="18"/>
              </w:rPr>
              <w:t>SEGUROS DE VIDA SURAMERICANA S.A.</w:t>
            </w:r>
            <w:r>
              <w:rPr>
                <w:rFonts w:ascii="Arial" w:hAnsi="Arial" w:cs="Arial"/>
                <w:sz w:val="18"/>
                <w:szCs w:val="18"/>
              </w:rPr>
              <w:t xml:space="preserve"> Y </w:t>
            </w:r>
            <w:r w:rsidRPr="00004BBD">
              <w:rPr>
                <w:rFonts w:ascii="Arial" w:hAnsi="Arial" w:cs="Arial"/>
                <w:sz w:val="18"/>
                <w:szCs w:val="18"/>
              </w:rPr>
              <w:t>EPS SANITAS</w:t>
            </w:r>
            <w:r>
              <w:rPr>
                <w:rFonts w:ascii="Arial" w:hAnsi="Arial" w:cs="Arial"/>
                <w:sz w:val="18"/>
                <w:szCs w:val="18"/>
              </w:rPr>
              <w:t>.</w:t>
            </w:r>
            <w:r w:rsidRPr="00004BBD">
              <w:rPr>
                <w:rFonts w:ascii="Arial" w:hAnsi="Arial" w:cs="Arial"/>
                <w:sz w:val="18"/>
                <w:szCs w:val="18"/>
              </w:rPr>
              <w:tab/>
            </w:r>
          </w:p>
        </w:tc>
      </w:tr>
      <w:tr w:rsidR="00C06BE7" w14:paraId="3452AA93" w14:textId="77777777" w:rsidTr="008730F8">
        <w:trPr>
          <w:trHeight w:val="652"/>
        </w:trPr>
        <w:tc>
          <w:tcPr>
            <w:tcW w:w="2269" w:type="dxa"/>
            <w:shd w:val="clear" w:color="auto" w:fill="9CC2E5"/>
            <w:vAlign w:val="center"/>
          </w:tcPr>
          <w:p w14:paraId="11F1769B" w14:textId="77777777" w:rsidR="00C06BE7" w:rsidRDefault="00360CC4">
            <w:pPr>
              <w:rPr>
                <w:rFonts w:ascii="Arial" w:hAnsi="Arial" w:cs="Arial"/>
                <w:b/>
                <w:sz w:val="18"/>
              </w:rPr>
            </w:pPr>
            <w:r>
              <w:rPr>
                <w:rFonts w:ascii="Arial" w:hAnsi="Arial" w:cs="Arial"/>
                <w:b/>
                <w:sz w:val="18"/>
              </w:rPr>
              <w:t>Llamado en Gtía</w:t>
            </w:r>
          </w:p>
        </w:tc>
        <w:tc>
          <w:tcPr>
            <w:tcW w:w="7513" w:type="dxa"/>
            <w:vAlign w:val="center"/>
          </w:tcPr>
          <w:p w14:paraId="775FE149" w14:textId="3F81B04E" w:rsidR="00C06BE7" w:rsidRDefault="007F7AAE" w:rsidP="00BC3031">
            <w:pPr>
              <w:pStyle w:val="Ttulo4"/>
              <w:rPr>
                <w:rFonts w:ascii="Arial" w:hAnsi="Arial" w:cs="Arial"/>
                <w:sz w:val="18"/>
              </w:rPr>
            </w:pPr>
            <w:r>
              <w:rPr>
                <w:rFonts w:ascii="Arial" w:hAnsi="Arial" w:cs="Arial"/>
                <w:iCs/>
                <w:sz w:val="18"/>
                <w:szCs w:val="18"/>
              </w:rPr>
              <w:t>N/A</w:t>
            </w:r>
          </w:p>
        </w:tc>
      </w:tr>
      <w:tr w:rsidR="00C06BE7" w14:paraId="32BF6997" w14:textId="77777777" w:rsidTr="008730F8">
        <w:trPr>
          <w:trHeight w:val="725"/>
        </w:trPr>
        <w:tc>
          <w:tcPr>
            <w:tcW w:w="2269" w:type="dxa"/>
            <w:tcBorders>
              <w:bottom w:val="single" w:sz="4" w:space="0" w:color="auto"/>
            </w:tcBorders>
            <w:shd w:val="clear" w:color="auto" w:fill="9CC2E5"/>
            <w:vAlign w:val="center"/>
          </w:tcPr>
          <w:p w14:paraId="6266A962" w14:textId="77777777" w:rsidR="00C06BE7" w:rsidRDefault="00360CC4">
            <w:pPr>
              <w:rPr>
                <w:rFonts w:ascii="Arial" w:hAnsi="Arial" w:cs="Arial"/>
                <w:b/>
                <w:sz w:val="18"/>
              </w:rPr>
            </w:pPr>
            <w:r>
              <w:rPr>
                <w:rFonts w:ascii="Arial" w:hAnsi="Arial" w:cs="Arial"/>
                <w:b/>
                <w:sz w:val="18"/>
              </w:rPr>
              <w:t>JUZGADO</w:t>
            </w:r>
          </w:p>
        </w:tc>
        <w:tc>
          <w:tcPr>
            <w:tcW w:w="7513" w:type="dxa"/>
            <w:tcBorders>
              <w:bottom w:val="single" w:sz="4" w:space="0" w:color="auto"/>
            </w:tcBorders>
            <w:vAlign w:val="center"/>
          </w:tcPr>
          <w:p w14:paraId="177D0898" w14:textId="5700ED25" w:rsidR="00C06BE7" w:rsidRDefault="00004BBD" w:rsidP="00856675">
            <w:pPr>
              <w:rPr>
                <w:rFonts w:ascii="Arial" w:hAnsi="Arial" w:cs="Arial"/>
                <w:sz w:val="18"/>
              </w:rPr>
            </w:pPr>
            <w:r w:rsidRPr="00004BBD">
              <w:rPr>
                <w:rFonts w:ascii="Arial" w:hAnsi="Arial" w:cs="Arial"/>
                <w:sz w:val="18"/>
              </w:rPr>
              <w:t xml:space="preserve">JUZGADO SEGUNDO LABORAL DEL CIRCUITO DE BUENAVENTURA </w:t>
            </w:r>
            <w:r>
              <w:rPr>
                <w:rFonts w:ascii="Arial" w:hAnsi="Arial" w:cs="Arial"/>
                <w:sz w:val="18"/>
              </w:rPr>
              <w:t>–</w:t>
            </w:r>
            <w:r w:rsidRPr="00004BBD">
              <w:rPr>
                <w:rFonts w:ascii="Arial" w:hAnsi="Arial" w:cs="Arial"/>
                <w:sz w:val="18"/>
              </w:rPr>
              <w:t xml:space="preserve"> VALLE</w:t>
            </w:r>
            <w:r>
              <w:rPr>
                <w:rFonts w:ascii="Arial" w:hAnsi="Arial" w:cs="Arial"/>
                <w:sz w:val="18"/>
              </w:rPr>
              <w:t>.</w:t>
            </w:r>
          </w:p>
        </w:tc>
      </w:tr>
      <w:tr w:rsidR="00C06BE7" w14:paraId="39280BCF" w14:textId="77777777" w:rsidTr="008730F8">
        <w:trPr>
          <w:trHeight w:val="585"/>
        </w:trPr>
        <w:tc>
          <w:tcPr>
            <w:tcW w:w="2269" w:type="dxa"/>
            <w:tcBorders>
              <w:top w:val="single" w:sz="4" w:space="0" w:color="auto"/>
            </w:tcBorders>
            <w:shd w:val="clear" w:color="auto" w:fill="9CC2E5"/>
            <w:vAlign w:val="center"/>
          </w:tcPr>
          <w:p w14:paraId="74428C6F" w14:textId="77777777" w:rsidR="00C06BE7" w:rsidRDefault="00360CC4">
            <w:pPr>
              <w:rPr>
                <w:rFonts w:ascii="Arial" w:hAnsi="Arial" w:cs="Arial"/>
                <w:b/>
                <w:sz w:val="18"/>
              </w:rPr>
            </w:pPr>
            <w:r>
              <w:rPr>
                <w:rFonts w:ascii="Arial" w:hAnsi="Arial" w:cs="Arial"/>
                <w:b/>
                <w:sz w:val="18"/>
              </w:rPr>
              <w:t>RADICACION</w:t>
            </w:r>
          </w:p>
        </w:tc>
        <w:tc>
          <w:tcPr>
            <w:tcW w:w="7513" w:type="dxa"/>
            <w:tcBorders>
              <w:top w:val="single" w:sz="4" w:space="0" w:color="auto"/>
            </w:tcBorders>
            <w:vAlign w:val="center"/>
          </w:tcPr>
          <w:p w14:paraId="38128293" w14:textId="365C3A2E" w:rsidR="00C06BE7" w:rsidRPr="002A4455" w:rsidRDefault="00004BBD" w:rsidP="00856675">
            <w:pPr>
              <w:rPr>
                <w:rFonts w:ascii="Arial" w:hAnsi="Arial" w:cs="Arial"/>
                <w:sz w:val="18"/>
              </w:rPr>
            </w:pPr>
            <w:r w:rsidRPr="00004BBD">
              <w:rPr>
                <w:rFonts w:ascii="Arial" w:hAnsi="Arial" w:cs="Arial"/>
                <w:sz w:val="18"/>
              </w:rPr>
              <w:t>76109310500220220008400</w:t>
            </w:r>
            <w:r>
              <w:rPr>
                <w:rFonts w:ascii="Arial" w:hAnsi="Arial" w:cs="Arial"/>
                <w:sz w:val="18"/>
              </w:rPr>
              <w:t>.</w:t>
            </w:r>
          </w:p>
        </w:tc>
      </w:tr>
      <w:tr w:rsidR="00C06BE7" w14:paraId="7DEFAA0A" w14:textId="77777777" w:rsidTr="008730F8">
        <w:trPr>
          <w:trHeight w:val="622"/>
        </w:trPr>
        <w:tc>
          <w:tcPr>
            <w:tcW w:w="2269" w:type="dxa"/>
            <w:shd w:val="clear" w:color="auto" w:fill="9CC2E5"/>
            <w:vAlign w:val="center"/>
          </w:tcPr>
          <w:p w14:paraId="5059C5D6" w14:textId="77777777" w:rsidR="00C06BE7" w:rsidRDefault="00360CC4">
            <w:pPr>
              <w:rPr>
                <w:rFonts w:ascii="Arial" w:hAnsi="Arial" w:cs="Arial"/>
                <w:b/>
                <w:sz w:val="18"/>
              </w:rPr>
            </w:pPr>
            <w:r>
              <w:rPr>
                <w:rFonts w:ascii="Arial" w:hAnsi="Arial" w:cs="Arial"/>
                <w:b/>
                <w:sz w:val="18"/>
              </w:rPr>
              <w:t>APODERADO</w:t>
            </w:r>
          </w:p>
        </w:tc>
        <w:tc>
          <w:tcPr>
            <w:tcW w:w="7513" w:type="dxa"/>
            <w:vAlign w:val="center"/>
          </w:tcPr>
          <w:p w14:paraId="1F078114" w14:textId="555D6223" w:rsidR="00C06BE7" w:rsidRPr="00C626C5" w:rsidRDefault="00004BBD" w:rsidP="00C626C5">
            <w:pPr>
              <w:jc w:val="both"/>
              <w:rPr>
                <w:rFonts w:ascii="Arial" w:hAnsi="Arial" w:cs="Arial"/>
                <w:iCs/>
                <w:sz w:val="18"/>
                <w:szCs w:val="18"/>
              </w:rPr>
            </w:pPr>
            <w:r w:rsidRPr="00004BBD">
              <w:rPr>
                <w:rFonts w:ascii="Arial" w:hAnsi="Arial" w:cs="Arial"/>
                <w:iCs/>
                <w:sz w:val="18"/>
                <w:szCs w:val="18"/>
              </w:rPr>
              <w:t>LINA MARIA SALCEDO CASTAÑEDA</w:t>
            </w:r>
            <w:r>
              <w:rPr>
                <w:rFonts w:ascii="Arial" w:hAnsi="Arial" w:cs="Arial"/>
                <w:iCs/>
                <w:sz w:val="18"/>
                <w:szCs w:val="18"/>
              </w:rPr>
              <w:t xml:space="preserve"> C.C. </w:t>
            </w:r>
            <w:r w:rsidRPr="00004BBD">
              <w:rPr>
                <w:rFonts w:ascii="Arial" w:hAnsi="Arial" w:cs="Arial"/>
                <w:iCs/>
                <w:sz w:val="18"/>
                <w:szCs w:val="18"/>
              </w:rPr>
              <w:t>1</w:t>
            </w:r>
            <w:r>
              <w:rPr>
                <w:rFonts w:ascii="Arial" w:hAnsi="Arial" w:cs="Arial"/>
                <w:iCs/>
                <w:sz w:val="18"/>
                <w:szCs w:val="18"/>
              </w:rPr>
              <w:t>.</w:t>
            </w:r>
            <w:r w:rsidRPr="00004BBD">
              <w:rPr>
                <w:rFonts w:ascii="Arial" w:hAnsi="Arial" w:cs="Arial"/>
                <w:iCs/>
                <w:sz w:val="18"/>
                <w:szCs w:val="18"/>
              </w:rPr>
              <w:t>094</w:t>
            </w:r>
            <w:r>
              <w:rPr>
                <w:rFonts w:ascii="Arial" w:hAnsi="Arial" w:cs="Arial"/>
                <w:iCs/>
                <w:sz w:val="18"/>
                <w:szCs w:val="18"/>
              </w:rPr>
              <w:t>.</w:t>
            </w:r>
            <w:r w:rsidRPr="00004BBD">
              <w:rPr>
                <w:rFonts w:ascii="Arial" w:hAnsi="Arial" w:cs="Arial"/>
                <w:iCs/>
                <w:sz w:val="18"/>
                <w:szCs w:val="18"/>
              </w:rPr>
              <w:t>936</w:t>
            </w:r>
            <w:r>
              <w:rPr>
                <w:rFonts w:ascii="Arial" w:hAnsi="Arial" w:cs="Arial"/>
                <w:iCs/>
                <w:sz w:val="18"/>
                <w:szCs w:val="18"/>
              </w:rPr>
              <w:t>.</w:t>
            </w:r>
            <w:r w:rsidRPr="00004BBD">
              <w:rPr>
                <w:rFonts w:ascii="Arial" w:hAnsi="Arial" w:cs="Arial"/>
                <w:iCs/>
                <w:sz w:val="18"/>
                <w:szCs w:val="18"/>
              </w:rPr>
              <w:t>573</w:t>
            </w:r>
          </w:p>
        </w:tc>
      </w:tr>
      <w:tr w:rsidR="00C06BE7" w14:paraId="5457BD69" w14:textId="77777777" w:rsidTr="004375BB">
        <w:trPr>
          <w:trHeight w:val="562"/>
        </w:trPr>
        <w:tc>
          <w:tcPr>
            <w:tcW w:w="2269" w:type="dxa"/>
            <w:tcBorders>
              <w:bottom w:val="single" w:sz="4" w:space="0" w:color="auto"/>
            </w:tcBorders>
            <w:shd w:val="clear" w:color="auto" w:fill="9CC2E5"/>
            <w:vAlign w:val="center"/>
          </w:tcPr>
          <w:p w14:paraId="6E5B304D" w14:textId="77777777" w:rsidR="00C06BE7" w:rsidRDefault="00360CC4">
            <w:pPr>
              <w:rPr>
                <w:rFonts w:ascii="Arial" w:hAnsi="Arial" w:cs="Arial"/>
                <w:b/>
                <w:sz w:val="18"/>
              </w:rPr>
            </w:pPr>
            <w:r>
              <w:rPr>
                <w:rFonts w:ascii="Arial" w:hAnsi="Arial" w:cs="Arial"/>
                <w:b/>
                <w:sz w:val="18"/>
              </w:rPr>
              <w:t>HECHOS</w:t>
            </w:r>
          </w:p>
        </w:tc>
        <w:tc>
          <w:tcPr>
            <w:tcW w:w="7513" w:type="dxa"/>
            <w:tcBorders>
              <w:bottom w:val="single" w:sz="4" w:space="0" w:color="auto"/>
            </w:tcBorders>
            <w:vAlign w:val="center"/>
          </w:tcPr>
          <w:p w14:paraId="2BE21ED6" w14:textId="77777777" w:rsidR="00264A1C" w:rsidRPr="00C626C5" w:rsidRDefault="00264A1C" w:rsidP="00264A1C">
            <w:pPr>
              <w:jc w:val="both"/>
              <w:rPr>
                <w:rFonts w:ascii="Arial" w:hAnsi="Arial" w:cs="Arial"/>
                <w:sz w:val="14"/>
                <w:szCs w:val="20"/>
              </w:rPr>
            </w:pPr>
          </w:p>
          <w:p w14:paraId="20F99708" w14:textId="77777777" w:rsidR="00004BBD" w:rsidRDefault="00004BBD" w:rsidP="00004BBD">
            <w:pPr>
              <w:jc w:val="both"/>
              <w:rPr>
                <w:rFonts w:ascii="Arial" w:hAnsi="Arial" w:cs="Arial"/>
                <w:sz w:val="18"/>
              </w:rPr>
            </w:pPr>
            <w:r w:rsidRPr="00004BBD">
              <w:rPr>
                <w:rFonts w:ascii="Arial" w:hAnsi="Arial" w:cs="Arial"/>
                <w:sz w:val="18"/>
              </w:rPr>
              <w:t xml:space="preserve">De conformidad con los hechos de la demanda, la señora ZULY VANESA CARRILLO, se desempeñaba como odontóloga regional para la CAJA DE COMPENSACION COMFANDI desde el 23 de Julio de 2012. Al momento de ingresar a esa entidad, se le realizó examen de ingreso a la señora ZULY VANESA CARRILLO, arrojando la misma evaluación de perfectas y óptimas condiciones al momento de firmar contrato laboral con COMFANDI IPS. </w:t>
            </w:r>
          </w:p>
          <w:p w14:paraId="50938036" w14:textId="77777777" w:rsidR="00004BBD" w:rsidRDefault="00004BBD" w:rsidP="00004BBD">
            <w:pPr>
              <w:jc w:val="both"/>
              <w:rPr>
                <w:rFonts w:ascii="Arial" w:hAnsi="Arial" w:cs="Arial"/>
                <w:sz w:val="18"/>
              </w:rPr>
            </w:pPr>
          </w:p>
          <w:p w14:paraId="6823487F" w14:textId="77777777" w:rsidR="00004BBD" w:rsidRDefault="00004BBD" w:rsidP="00004BBD">
            <w:pPr>
              <w:jc w:val="both"/>
              <w:rPr>
                <w:rFonts w:ascii="Arial" w:hAnsi="Arial" w:cs="Arial"/>
                <w:sz w:val="18"/>
              </w:rPr>
            </w:pPr>
            <w:r w:rsidRPr="00004BBD">
              <w:rPr>
                <w:rFonts w:ascii="Arial" w:hAnsi="Arial" w:cs="Arial"/>
                <w:sz w:val="18"/>
              </w:rPr>
              <w:t xml:space="preserve">Indicó la parte actora </w:t>
            </w:r>
            <w:r w:rsidRPr="00004BBD">
              <w:rPr>
                <w:rFonts w:ascii="Arial" w:hAnsi="Arial" w:cs="Arial"/>
                <w:sz w:val="18"/>
              </w:rPr>
              <w:t>que,</w:t>
            </w:r>
            <w:r w:rsidRPr="00004BBD">
              <w:rPr>
                <w:rFonts w:ascii="Arial" w:hAnsi="Arial" w:cs="Arial"/>
                <w:sz w:val="18"/>
              </w:rPr>
              <w:t xml:space="preserve"> a raíz de varios problemas en la movilidad de sus brazos, generadas a causa de la actividad laboral que desempeñaba en la Caja de compensación, la señora ZULY VANESA CARRILLO asiste a la EPS SANITAS y empieza tratamiento e incapacidades con </w:t>
            </w:r>
            <w:proofErr w:type="spellStart"/>
            <w:r w:rsidRPr="00004BBD">
              <w:rPr>
                <w:rFonts w:ascii="Arial" w:hAnsi="Arial" w:cs="Arial"/>
                <w:sz w:val="18"/>
              </w:rPr>
              <w:t>Dx</w:t>
            </w:r>
            <w:proofErr w:type="spellEnd"/>
            <w:r w:rsidRPr="00004BBD">
              <w:rPr>
                <w:rFonts w:ascii="Arial" w:hAnsi="Arial" w:cs="Arial"/>
                <w:sz w:val="18"/>
              </w:rPr>
              <w:t xml:space="preserve"> TENOSINOVITIS DE ESTILOIDES RADIAL BILATERAL, 2. SINDROME DE TUNEL CARPO BILATERAL. </w:t>
            </w:r>
          </w:p>
          <w:p w14:paraId="3D529C17" w14:textId="77777777" w:rsidR="00004BBD" w:rsidRDefault="00004BBD" w:rsidP="00004BBD">
            <w:pPr>
              <w:jc w:val="both"/>
              <w:rPr>
                <w:rFonts w:ascii="Arial" w:hAnsi="Arial" w:cs="Arial"/>
                <w:sz w:val="18"/>
              </w:rPr>
            </w:pPr>
          </w:p>
          <w:p w14:paraId="6B1268C1" w14:textId="77777777" w:rsidR="00C626C5" w:rsidRDefault="00004BBD" w:rsidP="00004BBD">
            <w:pPr>
              <w:jc w:val="both"/>
              <w:rPr>
                <w:rFonts w:ascii="Arial" w:hAnsi="Arial" w:cs="Arial"/>
                <w:sz w:val="18"/>
              </w:rPr>
            </w:pPr>
            <w:r w:rsidRPr="00004BBD">
              <w:rPr>
                <w:rFonts w:ascii="Arial" w:hAnsi="Arial" w:cs="Arial"/>
                <w:sz w:val="18"/>
              </w:rPr>
              <w:t>Como consecuencia del mencionado diagnóstico, mediante calificación, la entidad promotora de salud determina que ambos padecimientos de la paciente son de origen laboral. No obstante, la JNC de INVALIDEZ determinó que la patología de tunal carpo bilateral es de origen común y solamente la patología de TENOSINOVITIS DE ESTILOIDES RADIAL BILATERAL es de origen laboral. Finalmente, aduce que desde el 17/06/2018 hasta el 11/02/2019 se le emitieron incapacidades médicas y que la ARL SEGUROS DE VIDA SURAMERICANA S.A. se niega al pago de estas</w:t>
            </w:r>
            <w:r>
              <w:rPr>
                <w:rFonts w:ascii="Arial" w:hAnsi="Arial" w:cs="Arial"/>
                <w:sz w:val="18"/>
              </w:rPr>
              <w:t>.</w:t>
            </w:r>
          </w:p>
          <w:p w14:paraId="3DD94C7A" w14:textId="253AF666" w:rsidR="00004BBD" w:rsidRPr="00C626C5" w:rsidRDefault="00004BBD" w:rsidP="00004BBD">
            <w:pPr>
              <w:jc w:val="both"/>
              <w:rPr>
                <w:rFonts w:ascii="Arial" w:hAnsi="Arial" w:cs="Arial"/>
                <w:sz w:val="18"/>
              </w:rPr>
            </w:pPr>
          </w:p>
        </w:tc>
      </w:tr>
      <w:tr w:rsidR="00C06BE7" w14:paraId="281596BE" w14:textId="77777777" w:rsidTr="008730F8">
        <w:trPr>
          <w:trHeight w:val="2258"/>
        </w:trPr>
        <w:tc>
          <w:tcPr>
            <w:tcW w:w="2269" w:type="dxa"/>
            <w:tcBorders>
              <w:top w:val="single" w:sz="4" w:space="0" w:color="auto"/>
              <w:bottom w:val="single" w:sz="4" w:space="0" w:color="auto"/>
            </w:tcBorders>
            <w:shd w:val="clear" w:color="auto" w:fill="9CC2E5"/>
            <w:vAlign w:val="center"/>
          </w:tcPr>
          <w:p w14:paraId="450A4C3F" w14:textId="77777777" w:rsidR="00C06BE7" w:rsidRDefault="00360CC4">
            <w:pPr>
              <w:rPr>
                <w:rFonts w:ascii="Arial" w:hAnsi="Arial" w:cs="Arial"/>
                <w:b/>
                <w:sz w:val="18"/>
              </w:rPr>
            </w:pPr>
            <w:r>
              <w:rPr>
                <w:rFonts w:ascii="Arial" w:hAnsi="Arial" w:cs="Arial"/>
                <w:b/>
                <w:sz w:val="18"/>
              </w:rPr>
              <w:t>CONTESTACION</w:t>
            </w:r>
          </w:p>
        </w:tc>
        <w:tc>
          <w:tcPr>
            <w:tcW w:w="7513" w:type="dxa"/>
            <w:tcBorders>
              <w:top w:val="single" w:sz="4" w:space="0" w:color="auto"/>
              <w:bottom w:val="single" w:sz="4" w:space="0" w:color="auto"/>
            </w:tcBorders>
            <w:vAlign w:val="center"/>
          </w:tcPr>
          <w:p w14:paraId="0BDC2905" w14:textId="77777777" w:rsidR="009917C7" w:rsidRDefault="009917C7" w:rsidP="00C626C5">
            <w:pPr>
              <w:jc w:val="both"/>
              <w:rPr>
                <w:rFonts w:ascii="Arial" w:hAnsi="Arial" w:cs="Arial"/>
                <w:sz w:val="18"/>
              </w:rPr>
            </w:pPr>
          </w:p>
          <w:p w14:paraId="5D55B146" w14:textId="27F562CD" w:rsidR="007F7AAE" w:rsidRDefault="009917C7" w:rsidP="00C626C5">
            <w:pPr>
              <w:jc w:val="both"/>
              <w:rPr>
                <w:rFonts w:ascii="Arial" w:hAnsi="Arial" w:cs="Arial"/>
                <w:sz w:val="18"/>
              </w:rPr>
            </w:pPr>
            <w:r w:rsidRPr="009917C7">
              <w:rPr>
                <w:rFonts w:ascii="Arial" w:hAnsi="Arial" w:cs="Arial"/>
                <w:sz w:val="18"/>
              </w:rPr>
              <w:t>En este sentido, quien tiene la competencia para determinar cuándo una persona requiere un procedimiento, tratamiento, o medicamento para promover, proteger o recuperar su salud es, prima facie, el médico tratante, por estar capacitado para decidir con base en criterios científicos y por ser quien conoce de primera mano y de manera detallada la condición de salud del paciente. La importancia que le ha otorgado la jurisprudencia al concepto del médico tratante se debe a que éste (i) es un profesional científicamente calificado; (</w:t>
            </w:r>
            <w:proofErr w:type="spellStart"/>
            <w:r w:rsidRPr="009917C7">
              <w:rPr>
                <w:rFonts w:ascii="Arial" w:hAnsi="Arial" w:cs="Arial"/>
                <w:sz w:val="18"/>
              </w:rPr>
              <w:t>ii</w:t>
            </w:r>
            <w:proofErr w:type="spellEnd"/>
            <w:r w:rsidRPr="009917C7">
              <w:rPr>
                <w:rFonts w:ascii="Arial" w:hAnsi="Arial" w:cs="Arial"/>
                <w:sz w:val="18"/>
              </w:rPr>
              <w:t>) es quien conoce de manera íntegra el caso de su paciente y las particularidades que pueden existir respecto de su condición de salud y (</w:t>
            </w:r>
            <w:proofErr w:type="spellStart"/>
            <w:r w:rsidRPr="009917C7">
              <w:rPr>
                <w:rFonts w:ascii="Arial" w:hAnsi="Arial" w:cs="Arial"/>
                <w:sz w:val="18"/>
              </w:rPr>
              <w:t>iii</w:t>
            </w:r>
            <w:proofErr w:type="spellEnd"/>
            <w:r w:rsidRPr="009917C7">
              <w:rPr>
                <w:rFonts w:ascii="Arial" w:hAnsi="Arial" w:cs="Arial"/>
                <w:sz w:val="18"/>
              </w:rPr>
              <w:t>) es quién actúa en nombre de la entidad que presta el servicio.</w:t>
            </w:r>
          </w:p>
          <w:p w14:paraId="037D0590" w14:textId="77777777" w:rsidR="009917C7" w:rsidRDefault="009917C7" w:rsidP="00C626C5">
            <w:pPr>
              <w:jc w:val="both"/>
              <w:rPr>
                <w:rFonts w:ascii="Arial" w:hAnsi="Arial" w:cs="Arial"/>
                <w:sz w:val="18"/>
              </w:rPr>
            </w:pPr>
          </w:p>
          <w:p w14:paraId="51EEAFF6" w14:textId="04E7798F" w:rsidR="009917C7" w:rsidRDefault="009917C7" w:rsidP="00C626C5">
            <w:pPr>
              <w:jc w:val="both"/>
              <w:rPr>
                <w:rFonts w:ascii="Arial" w:hAnsi="Arial" w:cs="Arial"/>
                <w:sz w:val="18"/>
              </w:rPr>
            </w:pPr>
            <w:r w:rsidRPr="009917C7">
              <w:rPr>
                <w:rFonts w:ascii="Arial" w:hAnsi="Arial" w:cs="Arial"/>
                <w:sz w:val="18"/>
              </w:rPr>
              <w:t xml:space="preserve">Finalmente, se precisa que las incapacidades que emitió el médico particular de la demandante y el médico de la medicina prepagada se formularon con ocasión a patologías de origen común, tales como: Hipotiroidismo, hipertensión arterial, síndrome del túnel del carpo bilateral, ansiedad, depresión, bursitis, síndrome miofascial, epicondilitis media derecha, </w:t>
            </w:r>
            <w:proofErr w:type="spellStart"/>
            <w:r w:rsidRPr="009917C7">
              <w:rPr>
                <w:rFonts w:ascii="Arial" w:hAnsi="Arial" w:cs="Arial"/>
                <w:sz w:val="18"/>
              </w:rPr>
              <w:t>cervicobraquialgia</w:t>
            </w:r>
            <w:proofErr w:type="spellEnd"/>
            <w:r w:rsidRPr="009917C7">
              <w:rPr>
                <w:rFonts w:ascii="Arial" w:hAnsi="Arial" w:cs="Arial"/>
                <w:sz w:val="18"/>
              </w:rPr>
              <w:t xml:space="preserve"> derecha y solamente una patología de laboral común; estiloides radial. Sin embargo, la incapacidad de esta última patología no fue expedida por el médico tratante de la demandante.</w:t>
            </w:r>
          </w:p>
          <w:p w14:paraId="2FBE06BF" w14:textId="723830E7" w:rsidR="00C626C5" w:rsidRDefault="00C626C5" w:rsidP="00004BBD">
            <w:pPr>
              <w:jc w:val="both"/>
              <w:rPr>
                <w:rFonts w:ascii="Arial" w:hAnsi="Arial" w:cs="Arial"/>
                <w:sz w:val="18"/>
              </w:rPr>
            </w:pPr>
          </w:p>
        </w:tc>
      </w:tr>
      <w:tr w:rsidR="00C06BE7" w14:paraId="4077E320" w14:textId="77777777" w:rsidTr="008730F8">
        <w:trPr>
          <w:trHeight w:val="463"/>
        </w:trPr>
        <w:tc>
          <w:tcPr>
            <w:tcW w:w="2269" w:type="dxa"/>
            <w:tcBorders>
              <w:top w:val="single" w:sz="4" w:space="0" w:color="auto"/>
              <w:bottom w:val="single" w:sz="4" w:space="0" w:color="auto"/>
            </w:tcBorders>
            <w:shd w:val="clear" w:color="auto" w:fill="9CC2E5"/>
            <w:vAlign w:val="center"/>
          </w:tcPr>
          <w:p w14:paraId="5F44CA31" w14:textId="77777777" w:rsidR="00C06BE7" w:rsidRDefault="00360CC4">
            <w:pPr>
              <w:rPr>
                <w:rFonts w:ascii="Arial" w:hAnsi="Arial" w:cs="Arial"/>
                <w:b/>
                <w:sz w:val="18"/>
              </w:rPr>
            </w:pPr>
            <w:r>
              <w:rPr>
                <w:rFonts w:ascii="Arial" w:hAnsi="Arial" w:cs="Arial"/>
                <w:b/>
                <w:sz w:val="18"/>
              </w:rPr>
              <w:t>FECHA DILIGENCIA</w:t>
            </w:r>
          </w:p>
        </w:tc>
        <w:tc>
          <w:tcPr>
            <w:tcW w:w="7513" w:type="dxa"/>
            <w:tcBorders>
              <w:top w:val="single" w:sz="4" w:space="0" w:color="auto"/>
              <w:bottom w:val="single" w:sz="4" w:space="0" w:color="auto"/>
            </w:tcBorders>
            <w:vAlign w:val="center"/>
          </w:tcPr>
          <w:p w14:paraId="6D0DAB77" w14:textId="37C96B40" w:rsidR="00C06BE7" w:rsidRPr="00FC5663" w:rsidRDefault="00004BBD">
            <w:pPr>
              <w:rPr>
                <w:rFonts w:ascii="Arial" w:hAnsi="Arial" w:cs="Arial"/>
                <w:sz w:val="18"/>
                <w:highlight w:val="yellow"/>
              </w:rPr>
            </w:pPr>
            <w:r>
              <w:rPr>
                <w:rFonts w:ascii="Arial" w:hAnsi="Arial" w:cs="Arial"/>
                <w:sz w:val="18"/>
                <w:highlight w:val="yellow"/>
              </w:rPr>
              <w:t>25 DE JUNIO DE 2025 A LAS 2:00 P.M.</w:t>
            </w:r>
          </w:p>
        </w:tc>
      </w:tr>
      <w:tr w:rsidR="00C626C5" w14:paraId="63031C1B" w14:textId="77777777" w:rsidTr="00EA15D4">
        <w:trPr>
          <w:trHeight w:val="699"/>
        </w:trPr>
        <w:tc>
          <w:tcPr>
            <w:tcW w:w="2269" w:type="dxa"/>
            <w:tcBorders>
              <w:top w:val="single" w:sz="4" w:space="0" w:color="auto"/>
            </w:tcBorders>
            <w:shd w:val="clear" w:color="auto" w:fill="9CC2E5"/>
            <w:vAlign w:val="center"/>
          </w:tcPr>
          <w:p w14:paraId="525115DF" w14:textId="77777777" w:rsidR="00C626C5" w:rsidRDefault="00C626C5" w:rsidP="00C626C5">
            <w:pPr>
              <w:rPr>
                <w:rFonts w:ascii="Arial" w:hAnsi="Arial" w:cs="Arial"/>
                <w:b/>
                <w:sz w:val="18"/>
              </w:rPr>
            </w:pPr>
            <w:r>
              <w:rPr>
                <w:rFonts w:ascii="Arial" w:hAnsi="Arial" w:cs="Arial"/>
                <w:b/>
                <w:sz w:val="18"/>
              </w:rPr>
              <w:lastRenderedPageBreak/>
              <w:t>VALOR PRETENSIONES</w:t>
            </w:r>
          </w:p>
        </w:tc>
        <w:tc>
          <w:tcPr>
            <w:tcW w:w="7513" w:type="dxa"/>
            <w:tcBorders>
              <w:top w:val="single" w:sz="4" w:space="0" w:color="auto"/>
            </w:tcBorders>
            <w:vAlign w:val="center"/>
          </w:tcPr>
          <w:p w14:paraId="6EF7F660" w14:textId="7184D8E3" w:rsidR="00C626C5" w:rsidRPr="00C626C5" w:rsidRDefault="00C626C5" w:rsidP="00C626C5">
            <w:pPr>
              <w:pStyle w:val="Sangra2detindependiente"/>
              <w:spacing w:after="0" w:line="240" w:lineRule="auto"/>
              <w:ind w:left="0"/>
              <w:jc w:val="both"/>
              <w:rPr>
                <w:rFonts w:ascii="Arial" w:hAnsi="Arial" w:cs="Arial"/>
                <w:noProof/>
                <w:sz w:val="18"/>
                <w:szCs w:val="18"/>
                <w:lang w:val="es-CO"/>
              </w:rPr>
            </w:pPr>
          </w:p>
          <w:p w14:paraId="519FF1E2" w14:textId="77777777" w:rsidR="007F7AAE" w:rsidRDefault="00004BBD" w:rsidP="00004BBD">
            <w:pPr>
              <w:jc w:val="both"/>
              <w:rPr>
                <w:rFonts w:ascii="Arial" w:hAnsi="Arial" w:cs="Arial"/>
                <w:sz w:val="18"/>
              </w:rPr>
            </w:pPr>
            <w:r>
              <w:rPr>
                <w:rFonts w:ascii="Arial" w:hAnsi="Arial" w:cs="Arial"/>
                <w:sz w:val="18"/>
              </w:rPr>
              <w:t>P</w:t>
            </w:r>
            <w:r w:rsidRPr="00004BBD">
              <w:rPr>
                <w:rFonts w:ascii="Arial" w:hAnsi="Arial" w:cs="Arial"/>
                <w:sz w:val="18"/>
              </w:rPr>
              <w:t>ago IT + intereses - Declarar que, Seguros de Vida Suramericana S.A. / ARL Sura debe a la Sra. ZULY VANESSA CARRILLO PARDO, las incapacidades laborales, por los periodos comprendidos entre 17 de junio de 2018 al 11 de febrero de 2019. SEGUNDO: Declarar que el valor adeudado por Seguros de Vida Suramericana S.A. / ARL Sura por concepto de incapacidades médicas es la suma de veintidós millones doscientos diez mil quinientos noventa y seis pesos ($22.210.596) M/cte. TERCERO: Declarar que Seguros de Vida Suramericana S.A. / ARL Sura y EPS Sanitas deben solidariamente el valor que por concepto de intereses moratorios se haya causado con ocasión de la mora en la transcripción, reconocimiento y pago de las incapacidades temporales otorgadas a la Sra. ZULY VANESSA CARRILLO, desde que fueron concedidas hasta la fecha efectiva en que se pague.</w:t>
            </w:r>
          </w:p>
          <w:p w14:paraId="6853697F" w14:textId="3E58A12A" w:rsidR="00004BBD" w:rsidRPr="002A4455" w:rsidRDefault="00004BBD" w:rsidP="00004BBD">
            <w:pPr>
              <w:jc w:val="both"/>
              <w:rPr>
                <w:rFonts w:ascii="Arial" w:hAnsi="Arial" w:cs="Arial"/>
                <w:b/>
                <w:bCs/>
                <w:sz w:val="18"/>
              </w:rPr>
            </w:pPr>
          </w:p>
        </w:tc>
      </w:tr>
      <w:tr w:rsidR="00C626C5" w14:paraId="217428EE" w14:textId="77777777" w:rsidTr="00FB0D4A">
        <w:trPr>
          <w:trHeight w:val="1697"/>
        </w:trPr>
        <w:tc>
          <w:tcPr>
            <w:tcW w:w="2269" w:type="dxa"/>
            <w:shd w:val="clear" w:color="auto" w:fill="9CC2E5"/>
            <w:vAlign w:val="center"/>
          </w:tcPr>
          <w:p w14:paraId="095A1207" w14:textId="77777777" w:rsidR="00C626C5" w:rsidRDefault="00C626C5" w:rsidP="00C626C5">
            <w:pPr>
              <w:rPr>
                <w:rFonts w:ascii="Arial" w:hAnsi="Arial" w:cs="Arial"/>
                <w:b/>
                <w:sz w:val="18"/>
              </w:rPr>
            </w:pPr>
            <w:r>
              <w:rPr>
                <w:rFonts w:ascii="Arial" w:hAnsi="Arial" w:cs="Arial"/>
                <w:b/>
                <w:sz w:val="18"/>
              </w:rPr>
              <w:t xml:space="preserve">CONCEPTO DEL APODERADO </w:t>
            </w:r>
          </w:p>
        </w:tc>
        <w:tc>
          <w:tcPr>
            <w:tcW w:w="7513" w:type="dxa"/>
            <w:vAlign w:val="center"/>
          </w:tcPr>
          <w:p w14:paraId="43D844F5" w14:textId="77777777" w:rsidR="00004BBD" w:rsidRDefault="00004BBD" w:rsidP="007F7AAE">
            <w:pPr>
              <w:pStyle w:val="NormalWeb"/>
              <w:shd w:val="clear" w:color="auto" w:fill="FFFFFF"/>
              <w:jc w:val="both"/>
              <w:rPr>
                <w:rFonts w:ascii="Arial" w:hAnsi="Arial" w:cs="Arial"/>
                <w:color w:val="000000"/>
                <w:sz w:val="18"/>
              </w:rPr>
            </w:pPr>
          </w:p>
          <w:p w14:paraId="3060DDB5" w14:textId="0E1E5CD1" w:rsidR="00C626C5" w:rsidRDefault="00004BBD" w:rsidP="007F7AAE">
            <w:pPr>
              <w:pStyle w:val="NormalWeb"/>
              <w:shd w:val="clear" w:color="auto" w:fill="FFFFFF"/>
              <w:jc w:val="both"/>
              <w:rPr>
                <w:rFonts w:ascii="Arial" w:hAnsi="Arial" w:cs="Arial"/>
                <w:color w:val="000000"/>
                <w:sz w:val="18"/>
              </w:rPr>
            </w:pPr>
            <w:r w:rsidRPr="00004BBD">
              <w:rPr>
                <w:rFonts w:ascii="Arial" w:hAnsi="Arial" w:cs="Arial"/>
                <w:color w:val="000000"/>
                <w:sz w:val="18"/>
              </w:rPr>
              <w:t xml:space="preserve">La contingencia se califica como eventual, teniendo en cuenta que la demandante solicita a la compañía el reconocimiento y pago de incapacidades medicas desde el 17/06/2018 hasta el 11/02/2019. Una vez revisadas las incapacidades emitidas, se determina la demandante solamente aporta </w:t>
            </w:r>
            <w:r w:rsidR="00A31524" w:rsidRPr="00004BBD">
              <w:rPr>
                <w:rFonts w:ascii="Arial" w:hAnsi="Arial" w:cs="Arial"/>
                <w:color w:val="000000"/>
                <w:sz w:val="18"/>
              </w:rPr>
              <w:t>las incapacidades</w:t>
            </w:r>
            <w:r w:rsidRPr="00004BBD">
              <w:rPr>
                <w:rFonts w:ascii="Arial" w:hAnsi="Arial" w:cs="Arial"/>
                <w:color w:val="000000"/>
                <w:sz w:val="18"/>
              </w:rPr>
              <w:t xml:space="preserve"> desde el 17/06/2018 hasta el 16/07/2018 con fundamento en una patología de origen laboral (TENOSINOVITIS DE ESTILOIDES RADIAL BILATERAL). Lo anterior, de conformidad con el dictamen de PCL emitido por la JNC de invalidez. Sin embargo, no aporta prueba de incapacidades emitidas por posterioridad al 16/07/2018 con fundamento en una patología de origen laboral. Por ende, depende del debate probatorio y las pruebas que pueda aportar la demandante, determinar si el médico tratante le otorgó dichas incapacidades para los periodos señalados y que estas hayan sido emitidas con ocasión a una enfermedad de origen laboral.</w:t>
            </w:r>
          </w:p>
          <w:p w14:paraId="19E5D6F5" w14:textId="7FC9E415" w:rsidR="00A31524" w:rsidRDefault="00A31524" w:rsidP="007F7AAE">
            <w:pPr>
              <w:pStyle w:val="NormalWeb"/>
              <w:shd w:val="clear" w:color="auto" w:fill="FFFFFF"/>
              <w:jc w:val="both"/>
              <w:rPr>
                <w:rFonts w:ascii="Arial" w:hAnsi="Arial" w:cs="Arial"/>
                <w:color w:val="000000"/>
                <w:sz w:val="18"/>
              </w:rPr>
            </w:pPr>
          </w:p>
        </w:tc>
      </w:tr>
    </w:tbl>
    <w:p w14:paraId="00530795" w14:textId="77777777" w:rsidR="00C06BE7" w:rsidRDefault="00C06BE7">
      <w:pPr>
        <w:rPr>
          <w:rFonts w:ascii="Arial" w:hAnsi="Arial" w:cs="Arial"/>
          <w:sz w:val="18"/>
        </w:rPr>
      </w:pPr>
    </w:p>
    <w:sectPr w:rsidR="00C06BE7">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018E9" w14:textId="77777777" w:rsidR="003007EF" w:rsidRDefault="003007EF" w:rsidP="00323565">
      <w:r>
        <w:separator/>
      </w:r>
    </w:p>
  </w:endnote>
  <w:endnote w:type="continuationSeparator" w:id="0">
    <w:p w14:paraId="03DB2D59" w14:textId="77777777" w:rsidR="003007EF" w:rsidRDefault="003007EF" w:rsidP="0032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B6C6" w14:textId="77777777" w:rsidR="003007EF" w:rsidRDefault="003007EF" w:rsidP="00323565">
      <w:r>
        <w:separator/>
      </w:r>
    </w:p>
  </w:footnote>
  <w:footnote w:type="continuationSeparator" w:id="0">
    <w:p w14:paraId="7556E462" w14:textId="77777777" w:rsidR="003007EF" w:rsidRDefault="003007EF" w:rsidP="0032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7F36"/>
    <w:multiLevelType w:val="hybridMultilevel"/>
    <w:tmpl w:val="05F62D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0CA4A1B"/>
    <w:multiLevelType w:val="hybridMultilevel"/>
    <w:tmpl w:val="DF86997C"/>
    <w:lvl w:ilvl="0" w:tplc="756E764C">
      <w:start w:val="5"/>
      <w:numFmt w:val="upperLetter"/>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num w:numId="1" w16cid:durableId="299265323">
    <w:abstractNumId w:val="1"/>
  </w:num>
  <w:num w:numId="2" w16cid:durableId="194492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E7"/>
    <w:rsid w:val="00003E3B"/>
    <w:rsid w:val="00004BBD"/>
    <w:rsid w:val="00026F9D"/>
    <w:rsid w:val="00065658"/>
    <w:rsid w:val="00082192"/>
    <w:rsid w:val="00084EBE"/>
    <w:rsid w:val="00085DCE"/>
    <w:rsid w:val="000862FF"/>
    <w:rsid w:val="00093BE0"/>
    <w:rsid w:val="000B63DA"/>
    <w:rsid w:val="000E7F26"/>
    <w:rsid w:val="000F43E7"/>
    <w:rsid w:val="00134546"/>
    <w:rsid w:val="00196D63"/>
    <w:rsid w:val="001C3B4D"/>
    <w:rsid w:val="001D7936"/>
    <w:rsid w:val="00227C16"/>
    <w:rsid w:val="0026364C"/>
    <w:rsid w:val="00264A1C"/>
    <w:rsid w:val="002913CE"/>
    <w:rsid w:val="00296413"/>
    <w:rsid w:val="002A1DE7"/>
    <w:rsid w:val="002A4455"/>
    <w:rsid w:val="002C526F"/>
    <w:rsid w:val="003007EF"/>
    <w:rsid w:val="00307B68"/>
    <w:rsid w:val="00323565"/>
    <w:rsid w:val="00337986"/>
    <w:rsid w:val="00342E60"/>
    <w:rsid w:val="00347A8F"/>
    <w:rsid w:val="00360CC4"/>
    <w:rsid w:val="0039200B"/>
    <w:rsid w:val="003A4E9C"/>
    <w:rsid w:val="003C4FAD"/>
    <w:rsid w:val="003D17CB"/>
    <w:rsid w:val="003F1E93"/>
    <w:rsid w:val="004159C0"/>
    <w:rsid w:val="00431761"/>
    <w:rsid w:val="004375BB"/>
    <w:rsid w:val="004629B9"/>
    <w:rsid w:val="00463585"/>
    <w:rsid w:val="004642AF"/>
    <w:rsid w:val="00465810"/>
    <w:rsid w:val="00487836"/>
    <w:rsid w:val="004D35BE"/>
    <w:rsid w:val="004E0753"/>
    <w:rsid w:val="00507CEA"/>
    <w:rsid w:val="00533F97"/>
    <w:rsid w:val="005534DF"/>
    <w:rsid w:val="005537E8"/>
    <w:rsid w:val="00592E21"/>
    <w:rsid w:val="00596DE3"/>
    <w:rsid w:val="005A18E2"/>
    <w:rsid w:val="005C4FD6"/>
    <w:rsid w:val="005D0C5F"/>
    <w:rsid w:val="005F0E24"/>
    <w:rsid w:val="00605066"/>
    <w:rsid w:val="006313A4"/>
    <w:rsid w:val="00642FF1"/>
    <w:rsid w:val="0065070D"/>
    <w:rsid w:val="00663671"/>
    <w:rsid w:val="00677026"/>
    <w:rsid w:val="006A0652"/>
    <w:rsid w:val="006A4817"/>
    <w:rsid w:val="006B3D5B"/>
    <w:rsid w:val="006D3F30"/>
    <w:rsid w:val="006D76B4"/>
    <w:rsid w:val="006E0D88"/>
    <w:rsid w:val="006E2AD1"/>
    <w:rsid w:val="00701F7A"/>
    <w:rsid w:val="007262FC"/>
    <w:rsid w:val="00737205"/>
    <w:rsid w:val="007B6CA0"/>
    <w:rsid w:val="007B6EF2"/>
    <w:rsid w:val="007F7AAE"/>
    <w:rsid w:val="00823F0C"/>
    <w:rsid w:val="00826250"/>
    <w:rsid w:val="00836E8E"/>
    <w:rsid w:val="008459A6"/>
    <w:rsid w:val="00856675"/>
    <w:rsid w:val="008609F4"/>
    <w:rsid w:val="0087091E"/>
    <w:rsid w:val="008730F8"/>
    <w:rsid w:val="00884661"/>
    <w:rsid w:val="008901F0"/>
    <w:rsid w:val="00891031"/>
    <w:rsid w:val="008A4FF5"/>
    <w:rsid w:val="008D13DD"/>
    <w:rsid w:val="008D5039"/>
    <w:rsid w:val="008E1E12"/>
    <w:rsid w:val="008E6CD9"/>
    <w:rsid w:val="008F2B1F"/>
    <w:rsid w:val="00917E0F"/>
    <w:rsid w:val="00946F26"/>
    <w:rsid w:val="009720D1"/>
    <w:rsid w:val="0098438C"/>
    <w:rsid w:val="009917C7"/>
    <w:rsid w:val="009D65F8"/>
    <w:rsid w:val="009F76BD"/>
    <w:rsid w:val="00A10CC7"/>
    <w:rsid w:val="00A13993"/>
    <w:rsid w:val="00A15428"/>
    <w:rsid w:val="00A24093"/>
    <w:rsid w:val="00A26BCE"/>
    <w:rsid w:val="00A31524"/>
    <w:rsid w:val="00A403BC"/>
    <w:rsid w:val="00A60C4E"/>
    <w:rsid w:val="00A97423"/>
    <w:rsid w:val="00AF1755"/>
    <w:rsid w:val="00AF41AD"/>
    <w:rsid w:val="00B000D7"/>
    <w:rsid w:val="00B01AC8"/>
    <w:rsid w:val="00B03F22"/>
    <w:rsid w:val="00B72F3E"/>
    <w:rsid w:val="00BC3031"/>
    <w:rsid w:val="00BC306D"/>
    <w:rsid w:val="00BD6870"/>
    <w:rsid w:val="00BF79FF"/>
    <w:rsid w:val="00C00626"/>
    <w:rsid w:val="00C06BE7"/>
    <w:rsid w:val="00C24976"/>
    <w:rsid w:val="00C41974"/>
    <w:rsid w:val="00C626C5"/>
    <w:rsid w:val="00C92097"/>
    <w:rsid w:val="00CB5B94"/>
    <w:rsid w:val="00CF66B7"/>
    <w:rsid w:val="00CF68DE"/>
    <w:rsid w:val="00D03764"/>
    <w:rsid w:val="00D0413C"/>
    <w:rsid w:val="00D04C83"/>
    <w:rsid w:val="00D0535F"/>
    <w:rsid w:val="00D309A5"/>
    <w:rsid w:val="00D4353D"/>
    <w:rsid w:val="00D94A6F"/>
    <w:rsid w:val="00DB701E"/>
    <w:rsid w:val="00DD0E8E"/>
    <w:rsid w:val="00DD2A11"/>
    <w:rsid w:val="00DD2AED"/>
    <w:rsid w:val="00DE58F1"/>
    <w:rsid w:val="00DF0976"/>
    <w:rsid w:val="00E05561"/>
    <w:rsid w:val="00E0605C"/>
    <w:rsid w:val="00E209E1"/>
    <w:rsid w:val="00E24983"/>
    <w:rsid w:val="00E5266C"/>
    <w:rsid w:val="00E546E0"/>
    <w:rsid w:val="00EA15D4"/>
    <w:rsid w:val="00EB4545"/>
    <w:rsid w:val="00EC6F69"/>
    <w:rsid w:val="00ED2061"/>
    <w:rsid w:val="00EE6740"/>
    <w:rsid w:val="00EE7032"/>
    <w:rsid w:val="00EF06B0"/>
    <w:rsid w:val="00EF2531"/>
    <w:rsid w:val="00F14A86"/>
    <w:rsid w:val="00F17828"/>
    <w:rsid w:val="00F428D3"/>
    <w:rsid w:val="00F441C6"/>
    <w:rsid w:val="00F55E36"/>
    <w:rsid w:val="00F56E72"/>
    <w:rsid w:val="00F65620"/>
    <w:rsid w:val="00FA2960"/>
    <w:rsid w:val="00FB0D4A"/>
    <w:rsid w:val="00FC1AB6"/>
    <w:rsid w:val="00FC5663"/>
    <w:rsid w:val="00FF3FCF"/>
    <w:rsid w:val="00FF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7ADEF"/>
  <w15:chartTrackingRefBased/>
  <w15:docId w15:val="{155D26BE-6B4D-4B86-A0E7-42D4EEA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ind w:right="-700"/>
      <w:jc w:val="right"/>
      <w:outlineLvl w:val="0"/>
    </w:pPr>
    <w:rPr>
      <w:rFonts w:ascii="Tahoma" w:hAnsi="Tahoma" w:cs="Tahoma"/>
      <w:b/>
    </w:rPr>
  </w:style>
  <w:style w:type="paragraph" w:styleId="Ttulo4">
    <w:name w:val="heading 4"/>
    <w:basedOn w:val="Normal"/>
    <w:next w:val="Normal"/>
    <w:qFormat/>
    <w:pPr>
      <w:keepNext/>
      <w:outlineLvl w:val="3"/>
    </w:pPr>
    <w:rPr>
      <w:rFonts w:ascii="Microsoft Sans Serif" w:hAnsi="Microsoft Sans Serif" w:cs="Microsoft Sans Serif"/>
      <w:szCs w:val="20"/>
    </w:rPr>
  </w:style>
  <w:style w:type="paragraph" w:styleId="Ttulo7">
    <w:name w:val="heading 7"/>
    <w:basedOn w:val="Normal"/>
    <w:next w:val="Normal"/>
    <w:qFormat/>
    <w:pPr>
      <w:keepNext/>
      <w:outlineLvl w:val="6"/>
    </w:pPr>
    <w:rPr>
      <w:rFonts w:ascii="Century" w:hAnsi="Century" w:cs="Microsoft Sans Serif"/>
      <w:b/>
      <w:sz w:val="22"/>
      <w:szCs w:val="20"/>
    </w:rPr>
  </w:style>
  <w:style w:type="paragraph" w:styleId="Ttulo8">
    <w:name w:val="heading 8"/>
    <w:basedOn w:val="Normal"/>
    <w:next w:val="Normal"/>
    <w:qFormat/>
    <w:pPr>
      <w:keepNext/>
      <w:jc w:val="both"/>
      <w:outlineLvl w:val="7"/>
    </w:pPr>
    <w:rPr>
      <w:rFonts w:ascii="Century" w:hAnsi="Century" w:cs="Microsoft Sans Serif"/>
      <w:b/>
      <w:bCs/>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Cs w:val="20"/>
    </w:rPr>
  </w:style>
  <w:style w:type="paragraph" w:styleId="Encabezado">
    <w:name w:val="header"/>
    <w:basedOn w:val="Normal"/>
    <w:link w:val="EncabezadoCar"/>
    <w:uiPriority w:val="99"/>
    <w:unhideWhenUsed/>
    <w:rsid w:val="00323565"/>
    <w:pPr>
      <w:tabs>
        <w:tab w:val="center" w:pos="4419"/>
        <w:tab w:val="right" w:pos="8838"/>
      </w:tabs>
    </w:pPr>
  </w:style>
  <w:style w:type="character" w:customStyle="1" w:styleId="EncabezadoCar">
    <w:name w:val="Encabezado Car"/>
    <w:link w:val="Encabezado"/>
    <w:uiPriority w:val="99"/>
    <w:rsid w:val="00323565"/>
    <w:rPr>
      <w:sz w:val="24"/>
      <w:szCs w:val="24"/>
      <w:lang w:eastAsia="es-ES"/>
    </w:rPr>
  </w:style>
  <w:style w:type="paragraph" w:styleId="Piedepgina">
    <w:name w:val="footer"/>
    <w:basedOn w:val="Normal"/>
    <w:link w:val="PiedepginaCar"/>
    <w:uiPriority w:val="99"/>
    <w:unhideWhenUsed/>
    <w:rsid w:val="00323565"/>
    <w:pPr>
      <w:tabs>
        <w:tab w:val="center" w:pos="4419"/>
        <w:tab w:val="right" w:pos="8838"/>
      </w:tabs>
    </w:pPr>
  </w:style>
  <w:style w:type="character" w:customStyle="1" w:styleId="PiedepginaCar">
    <w:name w:val="Pie de página Car"/>
    <w:link w:val="Piedepgina"/>
    <w:uiPriority w:val="99"/>
    <w:rsid w:val="00323565"/>
    <w:rPr>
      <w:sz w:val="24"/>
      <w:szCs w:val="24"/>
      <w:lang w:eastAsia="es-ES"/>
    </w:rPr>
  </w:style>
  <w:style w:type="paragraph" w:customStyle="1" w:styleId="TableParagraph">
    <w:name w:val="Table Paragraph"/>
    <w:basedOn w:val="Normal"/>
    <w:uiPriority w:val="1"/>
    <w:qFormat/>
    <w:rsid w:val="009F76BD"/>
    <w:pPr>
      <w:widowControl w:val="0"/>
      <w:autoSpaceDE w:val="0"/>
      <w:autoSpaceDN w:val="0"/>
      <w:ind w:left="69"/>
    </w:pPr>
    <w:rPr>
      <w:rFonts w:ascii="Arial MT" w:eastAsia="Arial MT" w:hAnsi="Arial MT" w:cs="Arial MT"/>
      <w:sz w:val="22"/>
      <w:szCs w:val="22"/>
      <w:lang w:val="es-ES" w:eastAsia="en-US"/>
    </w:rPr>
  </w:style>
  <w:style w:type="paragraph" w:customStyle="1" w:styleId="Default">
    <w:name w:val="Default"/>
    <w:rsid w:val="00C626C5"/>
    <w:pPr>
      <w:autoSpaceDE w:val="0"/>
      <w:autoSpaceDN w:val="0"/>
      <w:adjustRightInd w:val="0"/>
    </w:pPr>
    <w:rPr>
      <w:rFonts w:ascii="Arial" w:eastAsiaTheme="minorHAnsi" w:hAnsi="Arial" w:cs="Arial"/>
      <w:color w:val="000000"/>
      <w:sz w:val="24"/>
      <w:szCs w:val="24"/>
      <w:lang w:eastAsia="en-US"/>
    </w:rPr>
  </w:style>
  <w:style w:type="paragraph" w:styleId="Sangra2detindependiente">
    <w:name w:val="Body Text Indent 2"/>
    <w:basedOn w:val="Normal"/>
    <w:link w:val="Sangra2detindependienteCar"/>
    <w:uiPriority w:val="99"/>
    <w:unhideWhenUsed/>
    <w:rsid w:val="00C626C5"/>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C626C5"/>
    <w:rPr>
      <w:sz w:val="24"/>
      <w:szCs w:val="24"/>
      <w:lang w:val="es-ES" w:eastAsia="es-ES"/>
    </w:rPr>
  </w:style>
  <w:style w:type="paragraph" w:styleId="NormalWeb">
    <w:name w:val="Normal (Web)"/>
    <w:basedOn w:val="Normal"/>
    <w:uiPriority w:val="99"/>
    <w:unhideWhenUsed/>
    <w:rsid w:val="00C626C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423981">
      <w:bodyDiv w:val="1"/>
      <w:marLeft w:val="0"/>
      <w:marRight w:val="0"/>
      <w:marTop w:val="0"/>
      <w:marBottom w:val="0"/>
      <w:divBdr>
        <w:top w:val="none" w:sz="0" w:space="0" w:color="auto"/>
        <w:left w:val="none" w:sz="0" w:space="0" w:color="auto"/>
        <w:bottom w:val="none" w:sz="0" w:space="0" w:color="auto"/>
        <w:right w:val="none" w:sz="0" w:space="0" w:color="auto"/>
      </w:divBdr>
    </w:div>
    <w:div w:id="989135294">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435203476">
      <w:bodyDiv w:val="1"/>
      <w:marLeft w:val="0"/>
      <w:marRight w:val="0"/>
      <w:marTop w:val="0"/>
      <w:marBottom w:val="0"/>
      <w:divBdr>
        <w:top w:val="none" w:sz="0" w:space="0" w:color="auto"/>
        <w:left w:val="none" w:sz="0" w:space="0" w:color="auto"/>
        <w:bottom w:val="none" w:sz="0" w:space="0" w:color="auto"/>
        <w:right w:val="none" w:sz="0" w:space="0" w:color="auto"/>
      </w:divBdr>
    </w:div>
    <w:div w:id="17173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4" ma:contentTypeDescription="Crear nuevo documento." ma:contentTypeScope="" ma:versionID="f6c4980cd5c49fdac36b90f3e3185f2c">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322502a453a3c99de27712c4e8016ce6"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3BDF-3BB8-4C4E-A2F2-C40BEE03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2B22D-9D48-4229-96A6-7035DDDD74F2}">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501BB91E-77C1-4FEF-BD49-1B02C8D7CD73}">
  <ds:schemaRefs>
    <ds:schemaRef ds:uri="http://schemas.openxmlformats.org/officeDocument/2006/bibliography"/>
  </ds:schemaRefs>
</ds:datastoreItem>
</file>

<file path=customXml/itemProps4.xml><?xml version="1.0" encoding="utf-8"?>
<ds:datastoreItem xmlns:ds="http://schemas.openxmlformats.org/officeDocument/2006/customXml" ds:itemID="{88BCD539-0525-4C68-86B6-DD0F1FCC3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Señores</vt:lpstr>
    </vt:vector>
  </TitlesOfParts>
  <Company>Suramericana de Seguros S.A.</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Suramericana de Seguros S.A.</dc:creator>
  <cp:keywords/>
  <dc:description/>
  <cp:lastModifiedBy>JOSEPH ESNEYDER PINTO GONZALEZ</cp:lastModifiedBy>
  <cp:revision>2</cp:revision>
  <cp:lastPrinted>2012-09-19T19:57:00Z</cp:lastPrinted>
  <dcterms:created xsi:type="dcterms:W3CDTF">2025-04-01T14:42:00Z</dcterms:created>
  <dcterms:modified xsi:type="dcterms:W3CDTF">2025-04-01T14:42:00Z</dcterms:modified>
</cp:coreProperties>
</file>