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DB83" w14:textId="5C733F81" w:rsidR="00512C2D" w:rsidRDefault="00C3745A" w:rsidP="00061B89">
      <w:pPr>
        <w:spacing w:after="0"/>
        <w:jc w:val="both"/>
        <w:rPr>
          <w:rFonts w:ascii="Arial" w:hAnsi="Arial" w:cs="Arial"/>
          <w:lang w:val="es-ES"/>
        </w:rPr>
      </w:pPr>
      <w:r>
        <w:rPr>
          <w:rFonts w:ascii="Arial" w:hAnsi="Arial" w:cs="Arial"/>
          <w:lang w:val="es-ES"/>
        </w:rPr>
        <w:t xml:space="preserve">Estimados Doctores Camilo Sampedro y Carlos Torres: </w:t>
      </w:r>
    </w:p>
    <w:p w14:paraId="6969DB09" w14:textId="77777777" w:rsidR="00C3745A" w:rsidRDefault="00C3745A" w:rsidP="00061B89">
      <w:pPr>
        <w:spacing w:after="0"/>
        <w:jc w:val="both"/>
        <w:rPr>
          <w:rFonts w:ascii="Arial" w:hAnsi="Arial" w:cs="Arial"/>
          <w:lang w:val="es-ES"/>
        </w:rPr>
      </w:pPr>
    </w:p>
    <w:p w14:paraId="5D3AFF73" w14:textId="44C74CA8" w:rsidR="00C3745A" w:rsidRDefault="00C3745A" w:rsidP="00061B89">
      <w:pPr>
        <w:spacing w:after="0"/>
        <w:jc w:val="both"/>
        <w:rPr>
          <w:rFonts w:ascii="Arial" w:hAnsi="Arial" w:cs="Arial"/>
          <w:lang w:val="es-ES"/>
        </w:rPr>
      </w:pPr>
      <w:r>
        <w:rPr>
          <w:rFonts w:ascii="Arial" w:hAnsi="Arial" w:cs="Arial"/>
          <w:lang w:val="es-ES"/>
        </w:rPr>
        <w:t xml:space="preserve">De conformidad con los compromisos adquiridos en nuestra reunión, comedidamente remitimos un resumen fáctico y jurídico dentro de los hechos que rodearon la queja presentada en contra del Dr. Gustavo Herrera. </w:t>
      </w:r>
      <w:r w:rsidR="004814FB">
        <w:rPr>
          <w:rFonts w:ascii="Arial" w:hAnsi="Arial" w:cs="Arial"/>
          <w:lang w:val="es-ES"/>
        </w:rPr>
        <w:t xml:space="preserve">En tal virtud y como estructura metodológica, a </w:t>
      </w:r>
      <w:proofErr w:type="gramStart"/>
      <w:r w:rsidR="004814FB">
        <w:rPr>
          <w:rFonts w:ascii="Arial" w:hAnsi="Arial" w:cs="Arial"/>
          <w:lang w:val="es-ES"/>
        </w:rPr>
        <w:t>continuación</w:t>
      </w:r>
      <w:proofErr w:type="gramEnd"/>
      <w:r w:rsidR="004814FB">
        <w:rPr>
          <w:rFonts w:ascii="Arial" w:hAnsi="Arial" w:cs="Arial"/>
          <w:lang w:val="es-ES"/>
        </w:rPr>
        <w:t xml:space="preserve"> encontrarán una tabla en donde, en la primera columna, se incluye el suceso fáctico puntual, en la segunda, se incorpora la observación jurídica y en la tercera, el fundamento normativo de aquella observación jurídica. Del mismo modo, al final del resumen encontrarán el </w:t>
      </w:r>
      <w:proofErr w:type="gramStart"/>
      <w:r w:rsidR="004814FB">
        <w:rPr>
          <w:rFonts w:ascii="Arial" w:hAnsi="Arial" w:cs="Arial"/>
          <w:lang w:val="es-ES"/>
        </w:rPr>
        <w:t>link</w:t>
      </w:r>
      <w:proofErr w:type="gramEnd"/>
      <w:r w:rsidR="004814FB">
        <w:rPr>
          <w:rFonts w:ascii="Arial" w:hAnsi="Arial" w:cs="Arial"/>
          <w:lang w:val="es-ES"/>
        </w:rPr>
        <w:t xml:space="preserve"> del expediente debidamente ordenado en relación con las actuaciones previamente referenciadas. </w:t>
      </w:r>
    </w:p>
    <w:p w14:paraId="7306475D" w14:textId="77777777" w:rsidR="004814FB" w:rsidRPr="00014F59" w:rsidRDefault="004814FB" w:rsidP="00061B89">
      <w:pPr>
        <w:spacing w:after="0"/>
        <w:jc w:val="both"/>
        <w:rPr>
          <w:rFonts w:ascii="Arial" w:hAnsi="Arial" w:cs="Arial"/>
          <w:sz w:val="20"/>
          <w:szCs w:val="20"/>
          <w:lang w:val="es-ES"/>
        </w:rPr>
      </w:pPr>
    </w:p>
    <w:tbl>
      <w:tblPr>
        <w:tblStyle w:val="Tablaconcuadrcula"/>
        <w:tblW w:w="17856" w:type="dxa"/>
        <w:tblLook w:val="04A0" w:firstRow="1" w:lastRow="0" w:firstColumn="1" w:lastColumn="0" w:noHBand="0" w:noVBand="1"/>
      </w:tblPr>
      <w:tblGrid>
        <w:gridCol w:w="6232"/>
        <w:gridCol w:w="6521"/>
        <w:gridCol w:w="5103"/>
      </w:tblGrid>
      <w:tr w:rsidR="00214D80" w:rsidRPr="00014F59" w14:paraId="22CB496A" w14:textId="77777777" w:rsidTr="00214D80">
        <w:tc>
          <w:tcPr>
            <w:tcW w:w="6232" w:type="dxa"/>
          </w:tcPr>
          <w:p w14:paraId="63EA24B6" w14:textId="0481CEC9" w:rsidR="004814FB" w:rsidRPr="00014F59" w:rsidRDefault="004814FB" w:rsidP="00061B89">
            <w:pPr>
              <w:jc w:val="center"/>
              <w:rPr>
                <w:rFonts w:ascii="Arial" w:hAnsi="Arial" w:cs="Arial"/>
                <w:b/>
                <w:bCs/>
                <w:sz w:val="24"/>
                <w:szCs w:val="24"/>
                <w:lang w:val="es-ES"/>
              </w:rPr>
            </w:pPr>
            <w:r w:rsidRPr="00014F59">
              <w:rPr>
                <w:rFonts w:ascii="Arial" w:hAnsi="Arial" w:cs="Arial"/>
                <w:b/>
                <w:bCs/>
                <w:sz w:val="24"/>
                <w:szCs w:val="24"/>
                <w:lang w:val="es-ES"/>
              </w:rPr>
              <w:t>Hecho</w:t>
            </w:r>
            <w:r w:rsidR="00014F59" w:rsidRPr="00014F59">
              <w:rPr>
                <w:rFonts w:ascii="Arial" w:hAnsi="Arial" w:cs="Arial"/>
                <w:b/>
                <w:bCs/>
                <w:sz w:val="24"/>
                <w:szCs w:val="24"/>
                <w:lang w:val="es-ES"/>
              </w:rPr>
              <w:t>s</w:t>
            </w:r>
          </w:p>
        </w:tc>
        <w:tc>
          <w:tcPr>
            <w:tcW w:w="6521" w:type="dxa"/>
          </w:tcPr>
          <w:p w14:paraId="288F5779" w14:textId="7C3181C2" w:rsidR="004814FB" w:rsidRPr="00014F59" w:rsidRDefault="004814FB" w:rsidP="00061B89">
            <w:pPr>
              <w:jc w:val="center"/>
              <w:rPr>
                <w:rFonts w:ascii="Arial" w:hAnsi="Arial" w:cs="Arial"/>
                <w:b/>
                <w:bCs/>
                <w:sz w:val="24"/>
                <w:szCs w:val="24"/>
                <w:lang w:val="es-ES"/>
              </w:rPr>
            </w:pPr>
            <w:r w:rsidRPr="00214D80">
              <w:rPr>
                <w:rFonts w:ascii="Arial" w:hAnsi="Arial" w:cs="Arial"/>
                <w:b/>
                <w:bCs/>
                <w:color w:val="2F5496" w:themeColor="accent1" w:themeShade="BF"/>
                <w:sz w:val="24"/>
                <w:szCs w:val="24"/>
                <w:lang w:val="es-ES"/>
              </w:rPr>
              <w:t>Observación</w:t>
            </w:r>
          </w:p>
        </w:tc>
        <w:tc>
          <w:tcPr>
            <w:tcW w:w="5103" w:type="dxa"/>
          </w:tcPr>
          <w:p w14:paraId="1E1B9261" w14:textId="50336444" w:rsidR="004814FB" w:rsidRPr="00214D80" w:rsidRDefault="007E1353" w:rsidP="00061B89">
            <w:pPr>
              <w:jc w:val="center"/>
              <w:rPr>
                <w:rFonts w:ascii="Arial" w:hAnsi="Arial" w:cs="Arial"/>
                <w:b/>
                <w:bCs/>
                <w:color w:val="7030A0"/>
                <w:sz w:val="24"/>
                <w:szCs w:val="24"/>
                <w:lang w:val="es-ES"/>
              </w:rPr>
            </w:pPr>
            <w:r w:rsidRPr="00214D80">
              <w:rPr>
                <w:rFonts w:ascii="Arial" w:hAnsi="Arial" w:cs="Arial"/>
                <w:b/>
                <w:bCs/>
                <w:color w:val="7030A0"/>
                <w:sz w:val="24"/>
                <w:szCs w:val="24"/>
                <w:lang w:val="es-ES"/>
              </w:rPr>
              <w:t xml:space="preserve">Fuente y/o </w:t>
            </w:r>
            <w:r w:rsidR="004814FB" w:rsidRPr="00214D80">
              <w:rPr>
                <w:rFonts w:ascii="Arial" w:hAnsi="Arial" w:cs="Arial"/>
                <w:b/>
                <w:bCs/>
                <w:color w:val="7030A0"/>
                <w:sz w:val="24"/>
                <w:szCs w:val="24"/>
                <w:lang w:val="es-ES"/>
              </w:rPr>
              <w:t>Fundamento Jurídico</w:t>
            </w:r>
          </w:p>
        </w:tc>
      </w:tr>
      <w:tr w:rsidR="00214D80" w:rsidRPr="00014F59" w14:paraId="1ABDD442" w14:textId="77777777" w:rsidTr="00214D80">
        <w:tc>
          <w:tcPr>
            <w:tcW w:w="6232" w:type="dxa"/>
          </w:tcPr>
          <w:p w14:paraId="430606DF" w14:textId="557C6AFD" w:rsidR="00014F59" w:rsidRPr="00014F59" w:rsidRDefault="00014F59" w:rsidP="00061B89">
            <w:pPr>
              <w:pStyle w:val="Prrafodelista"/>
              <w:numPr>
                <w:ilvl w:val="0"/>
                <w:numId w:val="2"/>
              </w:numPr>
              <w:ind w:left="360"/>
              <w:jc w:val="both"/>
              <w:rPr>
                <w:rFonts w:ascii="Arial" w:hAnsi="Arial" w:cs="Arial"/>
                <w:sz w:val="20"/>
                <w:szCs w:val="20"/>
                <w:lang w:val="es-ES"/>
              </w:rPr>
            </w:pPr>
            <w:r w:rsidRPr="00014F59">
              <w:rPr>
                <w:rFonts w:ascii="Arial" w:hAnsi="Arial" w:cs="Arial"/>
                <w:sz w:val="20"/>
                <w:szCs w:val="20"/>
                <w:lang w:val="es-ES"/>
              </w:rPr>
              <w:t xml:space="preserve">El </w:t>
            </w:r>
            <w:r w:rsidRPr="00014F59">
              <w:rPr>
                <w:rFonts w:ascii="Arial" w:hAnsi="Arial" w:cs="Arial"/>
                <w:b/>
                <w:bCs/>
                <w:sz w:val="20"/>
                <w:szCs w:val="20"/>
                <w:lang w:val="es-ES"/>
              </w:rPr>
              <w:t>08 de septiembre de 2015</w:t>
            </w:r>
            <w:r w:rsidRPr="00014F59">
              <w:rPr>
                <w:rFonts w:ascii="Arial" w:hAnsi="Arial" w:cs="Arial"/>
                <w:sz w:val="20"/>
                <w:szCs w:val="20"/>
                <w:lang w:val="es-ES"/>
              </w:rPr>
              <w:t xml:space="preserve"> el señor Carlos Julio Herrera Mateus presentó demanda en contra de Axa Colpatria en donde pretendía el pago de la suma de $628.206.215, “</w:t>
            </w:r>
            <w:r w:rsidRPr="00014F59">
              <w:rPr>
                <w:rFonts w:ascii="Arial" w:hAnsi="Arial" w:cs="Arial"/>
                <w:i/>
                <w:iCs/>
                <w:sz w:val="20"/>
                <w:szCs w:val="20"/>
                <w:lang w:val="es-ES"/>
              </w:rPr>
              <w:t>correspondientes al capital, más el incremento del capital asegurado durante los 20 años de existencia en un porcentaje igual al 23% anual conforme al contrato de seguro de vida identificado con el número V-6002831</w:t>
            </w:r>
            <w:r w:rsidRPr="00014F59">
              <w:rPr>
                <w:rFonts w:ascii="Arial" w:hAnsi="Arial" w:cs="Arial"/>
                <w:sz w:val="20"/>
                <w:szCs w:val="20"/>
                <w:lang w:val="es-ES"/>
              </w:rPr>
              <w:t xml:space="preserve">”. </w:t>
            </w:r>
          </w:p>
          <w:p w14:paraId="6BCC277F" w14:textId="77777777" w:rsidR="004814FB" w:rsidRPr="00014F59" w:rsidRDefault="004814FB" w:rsidP="00061B89">
            <w:pPr>
              <w:jc w:val="both"/>
              <w:rPr>
                <w:rFonts w:ascii="Arial" w:hAnsi="Arial" w:cs="Arial"/>
                <w:sz w:val="20"/>
                <w:szCs w:val="20"/>
                <w:lang w:val="es-ES"/>
              </w:rPr>
            </w:pPr>
          </w:p>
        </w:tc>
        <w:tc>
          <w:tcPr>
            <w:tcW w:w="6521" w:type="dxa"/>
          </w:tcPr>
          <w:p w14:paraId="28F251AA" w14:textId="77777777" w:rsidR="007E1353" w:rsidRDefault="007E1353" w:rsidP="00061B89">
            <w:pPr>
              <w:jc w:val="both"/>
              <w:rPr>
                <w:rFonts w:ascii="Arial" w:hAnsi="Arial" w:cs="Arial"/>
                <w:color w:val="2F5496" w:themeColor="accent1" w:themeShade="BF"/>
                <w:sz w:val="20"/>
                <w:szCs w:val="20"/>
                <w:lang w:val="es-ES"/>
              </w:rPr>
            </w:pPr>
          </w:p>
          <w:p w14:paraId="10DDEC09" w14:textId="29983D34" w:rsidR="004814FB" w:rsidRDefault="00014F59" w:rsidP="00061B89">
            <w:pPr>
              <w:jc w:val="both"/>
              <w:rPr>
                <w:rFonts w:ascii="Arial" w:hAnsi="Arial" w:cs="Arial"/>
                <w:color w:val="2F5496" w:themeColor="accent1" w:themeShade="BF"/>
                <w:sz w:val="20"/>
                <w:szCs w:val="20"/>
                <w:lang w:val="es-ES"/>
              </w:rPr>
            </w:pPr>
            <w:r w:rsidRPr="00014F59">
              <w:rPr>
                <w:rFonts w:ascii="Arial" w:hAnsi="Arial" w:cs="Arial"/>
                <w:color w:val="2F5496" w:themeColor="accent1" w:themeShade="BF"/>
                <w:sz w:val="20"/>
                <w:szCs w:val="20"/>
                <w:lang w:val="es-ES"/>
              </w:rPr>
              <w:t>En la demanda</w:t>
            </w:r>
            <w:r w:rsidR="00652677">
              <w:rPr>
                <w:rFonts w:ascii="Arial" w:hAnsi="Arial" w:cs="Arial"/>
                <w:color w:val="2F5496" w:themeColor="accent1" w:themeShade="BF"/>
                <w:sz w:val="20"/>
                <w:szCs w:val="20"/>
                <w:lang w:val="es-ES"/>
              </w:rPr>
              <w:t xml:space="preserve"> se</w:t>
            </w:r>
            <w:r w:rsidRPr="00014F59">
              <w:rPr>
                <w:rFonts w:ascii="Arial" w:hAnsi="Arial" w:cs="Arial"/>
                <w:color w:val="2F5496" w:themeColor="accent1" w:themeShade="BF"/>
                <w:sz w:val="20"/>
                <w:szCs w:val="20"/>
                <w:lang w:val="es-ES"/>
              </w:rPr>
              <w:t xml:space="preserve"> </w:t>
            </w:r>
            <w:r w:rsidR="005D1CF9">
              <w:rPr>
                <w:rFonts w:ascii="Arial" w:hAnsi="Arial" w:cs="Arial"/>
                <w:color w:val="2F5496" w:themeColor="accent1" w:themeShade="BF"/>
                <w:sz w:val="20"/>
                <w:szCs w:val="20"/>
                <w:lang w:val="es-ES"/>
              </w:rPr>
              <w:t>pretendía</w:t>
            </w:r>
            <w:r w:rsidRPr="00014F59">
              <w:rPr>
                <w:rFonts w:ascii="Arial" w:hAnsi="Arial" w:cs="Arial"/>
                <w:color w:val="2F5496" w:themeColor="accent1" w:themeShade="BF"/>
                <w:sz w:val="20"/>
                <w:szCs w:val="20"/>
                <w:lang w:val="es-ES"/>
              </w:rPr>
              <w:t xml:space="preserve"> hacer efectivo el contrato de seguro en donde el asegurado era el señor Herrera Mateus. </w:t>
            </w:r>
          </w:p>
          <w:p w14:paraId="2F04935F" w14:textId="77777777" w:rsidR="007E1353" w:rsidRDefault="007E1353" w:rsidP="00061B89">
            <w:pPr>
              <w:jc w:val="both"/>
              <w:rPr>
                <w:rFonts w:ascii="Arial" w:hAnsi="Arial" w:cs="Arial"/>
                <w:i/>
                <w:iCs/>
                <w:color w:val="2F5496" w:themeColor="accent1" w:themeShade="BF"/>
                <w:sz w:val="20"/>
                <w:szCs w:val="20"/>
                <w:lang w:val="es-ES"/>
              </w:rPr>
            </w:pPr>
          </w:p>
          <w:p w14:paraId="119AB1FF" w14:textId="1ED87274" w:rsidR="007E1353" w:rsidRDefault="007E1353" w:rsidP="00061B89">
            <w:pPr>
              <w:jc w:val="both"/>
              <w:rPr>
                <w:rFonts w:ascii="Arial" w:hAnsi="Arial" w:cs="Arial"/>
                <w:i/>
                <w:iCs/>
                <w:color w:val="2F5496" w:themeColor="accent1" w:themeShade="BF"/>
                <w:sz w:val="20"/>
                <w:szCs w:val="20"/>
                <w:lang w:val="es-ES"/>
              </w:rPr>
            </w:pPr>
            <w:r>
              <w:rPr>
                <w:rFonts w:ascii="Arial" w:hAnsi="Arial" w:cs="Arial"/>
                <w:color w:val="2F5496" w:themeColor="accent1" w:themeShade="BF"/>
                <w:sz w:val="20"/>
                <w:szCs w:val="20"/>
                <w:lang w:val="es-ES"/>
              </w:rPr>
              <w:t xml:space="preserve">El amparo básico del contrato que </w:t>
            </w:r>
            <w:r w:rsidR="005D1CF9">
              <w:rPr>
                <w:rFonts w:ascii="Arial" w:hAnsi="Arial" w:cs="Arial"/>
                <w:color w:val="2F5496" w:themeColor="accent1" w:themeShade="BF"/>
                <w:sz w:val="20"/>
                <w:szCs w:val="20"/>
                <w:lang w:val="es-ES"/>
              </w:rPr>
              <w:t>pretendía</w:t>
            </w:r>
            <w:r>
              <w:rPr>
                <w:rFonts w:ascii="Arial" w:hAnsi="Arial" w:cs="Arial"/>
                <w:color w:val="2F5496" w:themeColor="accent1" w:themeShade="BF"/>
                <w:sz w:val="20"/>
                <w:szCs w:val="20"/>
                <w:lang w:val="es-ES"/>
              </w:rPr>
              <w:t xml:space="preserve"> afectar</w:t>
            </w:r>
            <w:r w:rsidR="005D1CF9">
              <w:rPr>
                <w:rFonts w:ascii="Arial" w:hAnsi="Arial" w:cs="Arial"/>
                <w:color w:val="2F5496" w:themeColor="accent1" w:themeShade="BF"/>
                <w:sz w:val="20"/>
                <w:szCs w:val="20"/>
                <w:lang w:val="es-ES"/>
              </w:rPr>
              <w:t>se</w:t>
            </w:r>
            <w:r>
              <w:rPr>
                <w:rFonts w:ascii="Arial" w:hAnsi="Arial" w:cs="Arial"/>
                <w:color w:val="2F5496" w:themeColor="accent1" w:themeShade="BF"/>
                <w:sz w:val="20"/>
                <w:szCs w:val="20"/>
                <w:lang w:val="es-ES"/>
              </w:rPr>
              <w:t xml:space="preserve"> </w:t>
            </w:r>
            <w:r w:rsidR="005D1CF9">
              <w:rPr>
                <w:rFonts w:ascii="Arial" w:hAnsi="Arial" w:cs="Arial"/>
                <w:color w:val="2F5496" w:themeColor="accent1" w:themeShade="BF"/>
                <w:sz w:val="20"/>
                <w:szCs w:val="20"/>
                <w:lang w:val="es-ES"/>
              </w:rPr>
              <w:t>decía</w:t>
            </w:r>
            <w:r>
              <w:rPr>
                <w:rFonts w:ascii="Arial" w:hAnsi="Arial" w:cs="Arial"/>
                <w:color w:val="2F5496" w:themeColor="accent1" w:themeShade="BF"/>
                <w:sz w:val="20"/>
                <w:szCs w:val="20"/>
                <w:lang w:val="es-ES"/>
              </w:rPr>
              <w:t>: “</w:t>
            </w:r>
            <w:r>
              <w:rPr>
                <w:rFonts w:ascii="Arial" w:hAnsi="Arial" w:cs="Arial"/>
                <w:i/>
                <w:iCs/>
                <w:color w:val="2F5496" w:themeColor="accent1" w:themeShade="BF"/>
                <w:sz w:val="20"/>
                <w:szCs w:val="20"/>
                <w:lang w:val="es-ES"/>
              </w:rPr>
              <w:t xml:space="preserve">Colpatria pagará el capital asegurado reajustado en caso de </w:t>
            </w:r>
            <w:r w:rsidRPr="007E1353">
              <w:rPr>
                <w:rFonts w:ascii="Arial" w:hAnsi="Arial" w:cs="Arial"/>
                <w:b/>
                <w:bCs/>
                <w:i/>
                <w:iCs/>
                <w:color w:val="2F5496" w:themeColor="accent1" w:themeShade="BF"/>
                <w:sz w:val="20"/>
                <w:szCs w:val="20"/>
                <w:u w:val="single"/>
                <w:lang w:val="es-ES"/>
              </w:rPr>
              <w:t>fallecimiento del asegurado</w:t>
            </w:r>
            <w:r>
              <w:rPr>
                <w:rFonts w:ascii="Arial" w:hAnsi="Arial" w:cs="Arial"/>
                <w:i/>
                <w:iCs/>
                <w:color w:val="2F5496" w:themeColor="accent1" w:themeShade="BF"/>
                <w:sz w:val="20"/>
                <w:szCs w:val="20"/>
                <w:lang w:val="es-ES"/>
              </w:rPr>
              <w:t xml:space="preserve">”. En caso de que el asegurado sobreviva Colpatria pagará el </w:t>
            </w:r>
            <w:r w:rsidRPr="007E1353">
              <w:rPr>
                <w:rFonts w:ascii="Arial" w:hAnsi="Arial" w:cs="Arial"/>
                <w:b/>
                <w:bCs/>
                <w:i/>
                <w:iCs/>
                <w:color w:val="2F5496" w:themeColor="accent1" w:themeShade="BF"/>
                <w:sz w:val="20"/>
                <w:szCs w:val="20"/>
                <w:u w:val="single"/>
                <w:lang w:val="es-ES"/>
              </w:rPr>
              <w:t>dividendo</w:t>
            </w:r>
            <w:r>
              <w:rPr>
                <w:rFonts w:ascii="Arial" w:hAnsi="Arial" w:cs="Arial"/>
                <w:i/>
                <w:iCs/>
                <w:color w:val="2F5496" w:themeColor="accent1" w:themeShade="BF"/>
                <w:sz w:val="20"/>
                <w:szCs w:val="20"/>
                <w:lang w:val="es-ES"/>
              </w:rPr>
              <w:t xml:space="preserve"> al que haya lugar”. </w:t>
            </w:r>
          </w:p>
          <w:p w14:paraId="24A9FFF7" w14:textId="77777777" w:rsidR="007E1353" w:rsidRDefault="007E1353" w:rsidP="00061B89">
            <w:pPr>
              <w:jc w:val="both"/>
              <w:rPr>
                <w:rFonts w:ascii="Arial" w:hAnsi="Arial" w:cs="Arial"/>
                <w:i/>
                <w:iCs/>
                <w:color w:val="2F5496" w:themeColor="accent1" w:themeShade="BF"/>
                <w:sz w:val="20"/>
                <w:szCs w:val="20"/>
                <w:lang w:val="es-ES"/>
              </w:rPr>
            </w:pPr>
          </w:p>
          <w:p w14:paraId="121411A0" w14:textId="0E48DBD9" w:rsidR="007E1353" w:rsidRPr="007E1353" w:rsidRDefault="007E1353" w:rsidP="00061B89">
            <w:pPr>
              <w:jc w:val="both"/>
              <w:rPr>
                <w:rFonts w:ascii="Arial" w:hAnsi="Arial" w:cs="Arial"/>
                <w:i/>
                <w:iCs/>
                <w:color w:val="2F5496" w:themeColor="accent1" w:themeShade="BF"/>
                <w:sz w:val="20"/>
                <w:szCs w:val="20"/>
                <w:lang w:val="es-ES"/>
              </w:rPr>
            </w:pPr>
            <w:r>
              <w:rPr>
                <w:rFonts w:ascii="Arial" w:hAnsi="Arial" w:cs="Arial"/>
                <w:color w:val="2F5496" w:themeColor="accent1" w:themeShade="BF"/>
                <w:sz w:val="20"/>
                <w:szCs w:val="20"/>
                <w:lang w:val="es-ES"/>
              </w:rPr>
              <w:t xml:space="preserve">La única pretensión de la demanda era el pago del amparo básico por muerte, no pretendió suma alguna por dividendo. </w:t>
            </w:r>
            <w:r>
              <w:rPr>
                <w:rFonts w:ascii="Arial" w:hAnsi="Arial" w:cs="Arial"/>
                <w:i/>
                <w:iCs/>
                <w:color w:val="2F5496" w:themeColor="accent1" w:themeShade="BF"/>
                <w:sz w:val="20"/>
                <w:szCs w:val="20"/>
                <w:lang w:val="es-ES"/>
              </w:rPr>
              <w:t xml:space="preserve"> </w:t>
            </w:r>
          </w:p>
        </w:tc>
        <w:tc>
          <w:tcPr>
            <w:tcW w:w="5103" w:type="dxa"/>
          </w:tcPr>
          <w:p w14:paraId="0A84A8F8" w14:textId="77777777" w:rsidR="007E1353" w:rsidRDefault="007E1353" w:rsidP="00061B89">
            <w:pPr>
              <w:jc w:val="both"/>
              <w:rPr>
                <w:rFonts w:ascii="Arial" w:hAnsi="Arial" w:cs="Arial"/>
                <w:color w:val="7030A0"/>
                <w:sz w:val="20"/>
                <w:szCs w:val="20"/>
                <w:lang w:val="es-ES"/>
              </w:rPr>
            </w:pPr>
          </w:p>
          <w:p w14:paraId="6FB64742" w14:textId="77777777" w:rsidR="007E1353" w:rsidRDefault="007E1353" w:rsidP="00061B89">
            <w:pPr>
              <w:jc w:val="both"/>
              <w:rPr>
                <w:rFonts w:ascii="Arial" w:hAnsi="Arial" w:cs="Arial"/>
                <w:color w:val="7030A0"/>
                <w:sz w:val="20"/>
                <w:szCs w:val="20"/>
                <w:lang w:val="es-ES"/>
              </w:rPr>
            </w:pPr>
          </w:p>
          <w:p w14:paraId="1EAE82D6" w14:textId="77777777" w:rsidR="007E1353" w:rsidRDefault="007E1353" w:rsidP="00061B89">
            <w:pPr>
              <w:jc w:val="both"/>
              <w:rPr>
                <w:rFonts w:ascii="Arial" w:hAnsi="Arial" w:cs="Arial"/>
                <w:color w:val="7030A0"/>
                <w:sz w:val="20"/>
                <w:szCs w:val="20"/>
                <w:lang w:val="es-ES"/>
              </w:rPr>
            </w:pPr>
          </w:p>
          <w:p w14:paraId="0DA595B7" w14:textId="77777777" w:rsidR="007E1353" w:rsidRDefault="007E1353" w:rsidP="00061B89">
            <w:pPr>
              <w:jc w:val="both"/>
              <w:rPr>
                <w:rFonts w:ascii="Arial" w:hAnsi="Arial" w:cs="Arial"/>
                <w:color w:val="7030A0"/>
                <w:sz w:val="20"/>
                <w:szCs w:val="20"/>
                <w:lang w:val="es-ES"/>
              </w:rPr>
            </w:pPr>
          </w:p>
          <w:p w14:paraId="26F4DC8D" w14:textId="27DE13AD" w:rsidR="004814FB" w:rsidRPr="007E1353" w:rsidRDefault="007E1353" w:rsidP="00061B89">
            <w:pPr>
              <w:jc w:val="both"/>
              <w:rPr>
                <w:rFonts w:ascii="Arial" w:hAnsi="Arial" w:cs="Arial"/>
                <w:color w:val="7030A0"/>
                <w:sz w:val="20"/>
                <w:szCs w:val="20"/>
                <w:lang w:val="es-ES"/>
              </w:rPr>
            </w:pPr>
            <w:r>
              <w:rPr>
                <w:rFonts w:ascii="Arial" w:hAnsi="Arial" w:cs="Arial"/>
                <w:color w:val="7030A0"/>
                <w:sz w:val="20"/>
                <w:szCs w:val="20"/>
                <w:lang w:val="es-ES"/>
              </w:rPr>
              <w:t xml:space="preserve">Condicionado general del seguro de vida reajustable en UPAC con o sin dividendo. </w:t>
            </w:r>
          </w:p>
        </w:tc>
      </w:tr>
      <w:tr w:rsidR="00214D80" w:rsidRPr="00014F59" w14:paraId="47A7F8E2" w14:textId="77777777" w:rsidTr="00214D80">
        <w:tc>
          <w:tcPr>
            <w:tcW w:w="6232" w:type="dxa"/>
          </w:tcPr>
          <w:p w14:paraId="796B016E" w14:textId="4878E5FC" w:rsidR="007E1353" w:rsidRPr="007E1353" w:rsidRDefault="00D51A49" w:rsidP="00061B89">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t>En audiencia, el</w:t>
            </w:r>
            <w:r w:rsidR="007E1353" w:rsidRPr="007E1353">
              <w:rPr>
                <w:rFonts w:ascii="Arial" w:hAnsi="Arial" w:cs="Arial"/>
                <w:sz w:val="20"/>
                <w:szCs w:val="20"/>
                <w:lang w:val="es-ES"/>
              </w:rPr>
              <w:t xml:space="preserve"> </w:t>
            </w:r>
            <w:r w:rsidR="007E1353" w:rsidRPr="007E1353">
              <w:rPr>
                <w:rFonts w:ascii="Arial" w:hAnsi="Arial" w:cs="Arial"/>
                <w:b/>
                <w:bCs/>
                <w:sz w:val="20"/>
                <w:szCs w:val="20"/>
                <w:lang w:val="es-ES"/>
              </w:rPr>
              <w:t xml:space="preserve">26 de septiembre de 2018 </w:t>
            </w:r>
            <w:r w:rsidR="007E1353" w:rsidRPr="007E1353">
              <w:rPr>
                <w:rFonts w:ascii="Arial" w:hAnsi="Arial" w:cs="Arial"/>
                <w:sz w:val="20"/>
                <w:szCs w:val="20"/>
                <w:lang w:val="es-ES"/>
              </w:rPr>
              <w:t xml:space="preserve">el Juzgado Tercero Civil del Circuito de Villavicencio profirió sentencia condenatoria en los siguientes términos: Condenar a la demandada al pago de $2.066.483.629 discriminados así: </w:t>
            </w:r>
            <w:r w:rsidR="007E1353" w:rsidRPr="007E1353">
              <w:rPr>
                <w:rFonts w:ascii="Arial" w:hAnsi="Arial" w:cs="Arial"/>
                <w:b/>
                <w:bCs/>
                <w:sz w:val="20"/>
                <w:szCs w:val="20"/>
                <w:lang w:val="es-ES"/>
              </w:rPr>
              <w:t>(i)</w:t>
            </w:r>
            <w:r w:rsidR="007E1353" w:rsidRPr="007E1353">
              <w:rPr>
                <w:rFonts w:ascii="Arial" w:hAnsi="Arial" w:cs="Arial"/>
                <w:sz w:val="20"/>
                <w:szCs w:val="20"/>
                <w:lang w:val="es-ES"/>
              </w:rPr>
              <w:t xml:space="preserve"> $628.206.215 por concepto del monto alcanzado a la finalización del periodo del plan tomado por el demandante según se desprende de la póliza de seguro </w:t>
            </w:r>
            <w:r w:rsidR="007E1353" w:rsidRPr="007E1353">
              <w:rPr>
                <w:rFonts w:ascii="Arial" w:hAnsi="Arial" w:cs="Arial"/>
                <w:i/>
                <w:iCs/>
                <w:sz w:val="20"/>
                <w:szCs w:val="20"/>
                <w:lang w:val="es-ES"/>
              </w:rPr>
              <w:t xml:space="preserve">V-6002831. </w:t>
            </w:r>
            <w:r w:rsidR="007E1353" w:rsidRPr="007E1353">
              <w:rPr>
                <w:rFonts w:ascii="Arial" w:hAnsi="Arial" w:cs="Arial"/>
                <w:b/>
                <w:bCs/>
                <w:sz w:val="20"/>
                <w:szCs w:val="20"/>
                <w:lang w:val="es-ES"/>
              </w:rPr>
              <w:t>(</w:t>
            </w:r>
            <w:proofErr w:type="spellStart"/>
            <w:r w:rsidR="007E1353" w:rsidRPr="007E1353">
              <w:rPr>
                <w:rFonts w:ascii="Arial" w:hAnsi="Arial" w:cs="Arial"/>
                <w:b/>
                <w:bCs/>
                <w:sz w:val="20"/>
                <w:szCs w:val="20"/>
                <w:lang w:val="es-ES"/>
              </w:rPr>
              <w:t>ii</w:t>
            </w:r>
            <w:proofErr w:type="spellEnd"/>
            <w:r w:rsidR="007E1353" w:rsidRPr="007E1353">
              <w:rPr>
                <w:rFonts w:ascii="Arial" w:hAnsi="Arial" w:cs="Arial"/>
                <w:b/>
                <w:bCs/>
                <w:sz w:val="20"/>
                <w:szCs w:val="20"/>
                <w:lang w:val="es-ES"/>
              </w:rPr>
              <w:t>)</w:t>
            </w:r>
            <w:r w:rsidR="007E1353" w:rsidRPr="007E1353">
              <w:rPr>
                <w:rFonts w:ascii="Arial" w:hAnsi="Arial" w:cs="Arial"/>
                <w:sz w:val="20"/>
                <w:szCs w:val="20"/>
                <w:lang w:val="es-ES"/>
              </w:rPr>
              <w:t xml:space="preserve"> $290.231.271 por concepto de los </w:t>
            </w:r>
            <w:r w:rsidR="007E1353" w:rsidRPr="00D51A49">
              <w:rPr>
                <w:rFonts w:ascii="Arial" w:hAnsi="Arial" w:cs="Arial"/>
                <w:b/>
                <w:bCs/>
                <w:sz w:val="20"/>
                <w:szCs w:val="20"/>
                <w:u w:val="single"/>
                <w:lang w:val="es-ES"/>
              </w:rPr>
              <w:t>dividendos</w:t>
            </w:r>
            <w:r w:rsidR="007E1353" w:rsidRPr="007E1353">
              <w:rPr>
                <w:rFonts w:ascii="Arial" w:hAnsi="Arial" w:cs="Arial"/>
                <w:sz w:val="20"/>
                <w:szCs w:val="20"/>
                <w:lang w:val="es-ES"/>
              </w:rPr>
              <w:t xml:space="preserve"> a que tuvo derecho el demandante. </w:t>
            </w:r>
            <w:r w:rsidR="007E1353" w:rsidRPr="007E1353">
              <w:rPr>
                <w:rFonts w:ascii="Arial" w:hAnsi="Arial" w:cs="Arial"/>
                <w:b/>
                <w:bCs/>
                <w:sz w:val="20"/>
                <w:szCs w:val="20"/>
                <w:lang w:val="es-ES"/>
              </w:rPr>
              <w:t>(</w:t>
            </w:r>
            <w:proofErr w:type="spellStart"/>
            <w:r w:rsidR="007E1353" w:rsidRPr="007E1353">
              <w:rPr>
                <w:rFonts w:ascii="Arial" w:hAnsi="Arial" w:cs="Arial"/>
                <w:b/>
                <w:bCs/>
                <w:sz w:val="20"/>
                <w:szCs w:val="20"/>
                <w:lang w:val="es-ES"/>
              </w:rPr>
              <w:t>iii</w:t>
            </w:r>
            <w:proofErr w:type="spellEnd"/>
            <w:r w:rsidR="007E1353" w:rsidRPr="007E1353">
              <w:rPr>
                <w:rFonts w:ascii="Arial" w:hAnsi="Arial" w:cs="Arial"/>
                <w:b/>
                <w:bCs/>
                <w:sz w:val="20"/>
                <w:szCs w:val="20"/>
                <w:lang w:val="es-ES"/>
              </w:rPr>
              <w:t>)</w:t>
            </w:r>
            <w:r w:rsidR="007E1353" w:rsidRPr="007E1353">
              <w:rPr>
                <w:rFonts w:ascii="Arial" w:hAnsi="Arial" w:cs="Arial"/>
                <w:sz w:val="20"/>
                <w:szCs w:val="20"/>
                <w:lang w:val="es-ES"/>
              </w:rPr>
              <w:t xml:space="preserve"> $1.148.046.143 por concepto de intereses. </w:t>
            </w:r>
            <w:r w:rsidR="007E1353" w:rsidRPr="007E1353">
              <w:rPr>
                <w:rFonts w:ascii="Arial" w:hAnsi="Arial" w:cs="Arial"/>
                <w:b/>
                <w:bCs/>
                <w:sz w:val="20"/>
                <w:szCs w:val="20"/>
                <w:lang w:val="es-ES"/>
              </w:rPr>
              <w:t>(</w:t>
            </w:r>
            <w:proofErr w:type="spellStart"/>
            <w:r w:rsidR="007E1353" w:rsidRPr="007E1353">
              <w:rPr>
                <w:rFonts w:ascii="Arial" w:hAnsi="Arial" w:cs="Arial"/>
                <w:b/>
                <w:bCs/>
                <w:sz w:val="20"/>
                <w:szCs w:val="20"/>
                <w:lang w:val="es-ES"/>
              </w:rPr>
              <w:t>iv</w:t>
            </w:r>
            <w:proofErr w:type="spellEnd"/>
            <w:r w:rsidR="007E1353" w:rsidRPr="007E1353">
              <w:rPr>
                <w:rFonts w:ascii="Arial" w:hAnsi="Arial" w:cs="Arial"/>
                <w:b/>
                <w:bCs/>
                <w:sz w:val="20"/>
                <w:szCs w:val="20"/>
                <w:lang w:val="es-ES"/>
              </w:rPr>
              <w:t>)</w:t>
            </w:r>
            <w:r w:rsidR="007E1353" w:rsidRPr="007E1353">
              <w:rPr>
                <w:rFonts w:ascii="Arial" w:hAnsi="Arial" w:cs="Arial"/>
                <w:sz w:val="20"/>
                <w:szCs w:val="20"/>
                <w:lang w:val="es-ES"/>
              </w:rPr>
              <w:t xml:space="preserve"> 72.326.928 por concepto de agencias. </w:t>
            </w:r>
          </w:p>
          <w:p w14:paraId="7F84A2F1" w14:textId="77439F94" w:rsidR="004814FB" w:rsidRPr="007E1353" w:rsidRDefault="004814FB" w:rsidP="00061B89">
            <w:pPr>
              <w:jc w:val="both"/>
              <w:rPr>
                <w:rFonts w:ascii="Arial" w:hAnsi="Arial" w:cs="Arial"/>
                <w:sz w:val="20"/>
                <w:szCs w:val="20"/>
                <w:lang w:val="es-ES"/>
              </w:rPr>
            </w:pPr>
          </w:p>
        </w:tc>
        <w:tc>
          <w:tcPr>
            <w:tcW w:w="6521" w:type="dxa"/>
          </w:tcPr>
          <w:p w14:paraId="75ACB969" w14:textId="77777777" w:rsidR="007E1353" w:rsidRDefault="007E1353" w:rsidP="00061B89">
            <w:pPr>
              <w:jc w:val="both"/>
              <w:rPr>
                <w:rFonts w:ascii="Arial" w:hAnsi="Arial" w:cs="Arial"/>
                <w:color w:val="2F5496" w:themeColor="accent1" w:themeShade="BF"/>
                <w:sz w:val="20"/>
                <w:szCs w:val="20"/>
                <w:lang w:val="es-ES"/>
              </w:rPr>
            </w:pPr>
          </w:p>
          <w:p w14:paraId="434BAFC7" w14:textId="77777777" w:rsidR="007E1353" w:rsidRDefault="007E1353" w:rsidP="00061B89">
            <w:pPr>
              <w:jc w:val="both"/>
              <w:rPr>
                <w:rFonts w:ascii="Arial" w:hAnsi="Arial" w:cs="Arial"/>
                <w:color w:val="2F5496" w:themeColor="accent1" w:themeShade="BF"/>
                <w:sz w:val="20"/>
                <w:szCs w:val="20"/>
                <w:lang w:val="es-ES"/>
              </w:rPr>
            </w:pPr>
            <w:r w:rsidRPr="007E1353">
              <w:rPr>
                <w:rFonts w:ascii="Arial" w:hAnsi="Arial" w:cs="Arial"/>
                <w:color w:val="2F5496" w:themeColor="accent1" w:themeShade="BF"/>
                <w:sz w:val="20"/>
                <w:szCs w:val="20"/>
                <w:lang w:val="es-ES"/>
              </w:rPr>
              <w:t xml:space="preserve">El juzgado cometió </w:t>
            </w:r>
            <w:r w:rsidRPr="007E1353">
              <w:rPr>
                <w:rFonts w:ascii="Arial" w:hAnsi="Arial" w:cs="Arial"/>
                <w:b/>
                <w:bCs/>
                <w:color w:val="2F5496" w:themeColor="accent1" w:themeShade="BF"/>
                <w:sz w:val="20"/>
                <w:szCs w:val="20"/>
                <w:u w:val="single"/>
                <w:lang w:val="es-ES"/>
              </w:rPr>
              <w:t>dos</w:t>
            </w:r>
            <w:r w:rsidRPr="007E1353">
              <w:rPr>
                <w:rFonts w:ascii="Arial" w:hAnsi="Arial" w:cs="Arial"/>
                <w:color w:val="2F5496" w:themeColor="accent1" w:themeShade="BF"/>
                <w:sz w:val="20"/>
                <w:szCs w:val="20"/>
                <w:lang w:val="es-ES"/>
              </w:rPr>
              <w:t xml:space="preserve"> errores flagrantes en su sentencia</w:t>
            </w:r>
            <w:r>
              <w:rPr>
                <w:rFonts w:ascii="Arial" w:hAnsi="Arial" w:cs="Arial"/>
                <w:color w:val="2F5496" w:themeColor="accent1" w:themeShade="BF"/>
                <w:sz w:val="20"/>
                <w:szCs w:val="20"/>
                <w:lang w:val="es-ES"/>
              </w:rPr>
              <w:t xml:space="preserve">: </w:t>
            </w:r>
          </w:p>
          <w:p w14:paraId="15FEF56F" w14:textId="77777777" w:rsidR="007E1353" w:rsidRDefault="007E1353" w:rsidP="00061B89">
            <w:pPr>
              <w:jc w:val="both"/>
              <w:rPr>
                <w:rFonts w:ascii="Arial" w:hAnsi="Arial" w:cs="Arial"/>
                <w:color w:val="2F5496" w:themeColor="accent1" w:themeShade="BF"/>
                <w:sz w:val="20"/>
                <w:szCs w:val="20"/>
                <w:lang w:val="es-ES"/>
              </w:rPr>
            </w:pPr>
          </w:p>
          <w:p w14:paraId="697995E8" w14:textId="77777777" w:rsidR="004814FB" w:rsidRDefault="007E1353" w:rsidP="00061B89">
            <w:pPr>
              <w:ind w:left="340"/>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-El primero, hizo efectiva la póliza de seguro, aun cuando el asegurado estaba vivo.  </w:t>
            </w:r>
          </w:p>
          <w:p w14:paraId="4CBE891F" w14:textId="77777777" w:rsidR="007E1353" w:rsidRDefault="007E1353" w:rsidP="00061B89">
            <w:pPr>
              <w:ind w:left="340"/>
              <w:jc w:val="both"/>
              <w:rPr>
                <w:rFonts w:ascii="Arial" w:hAnsi="Arial" w:cs="Arial"/>
                <w:sz w:val="20"/>
                <w:szCs w:val="20"/>
                <w:lang w:val="es-ES"/>
              </w:rPr>
            </w:pPr>
          </w:p>
          <w:p w14:paraId="1E6BF5E2" w14:textId="51C7FDAA" w:rsidR="007E1353" w:rsidRPr="00014F59" w:rsidRDefault="007E1353" w:rsidP="00061B89">
            <w:pPr>
              <w:ind w:left="340"/>
              <w:jc w:val="both"/>
              <w:rPr>
                <w:rFonts w:ascii="Arial" w:hAnsi="Arial" w:cs="Arial"/>
                <w:sz w:val="20"/>
                <w:szCs w:val="20"/>
                <w:lang w:val="es-ES"/>
              </w:rPr>
            </w:pPr>
            <w:r w:rsidRPr="00D51A49">
              <w:rPr>
                <w:rFonts w:ascii="Arial" w:hAnsi="Arial" w:cs="Arial"/>
                <w:color w:val="2F5496" w:themeColor="accent1" w:themeShade="BF"/>
                <w:sz w:val="20"/>
                <w:szCs w:val="20"/>
                <w:lang w:val="es-ES"/>
              </w:rPr>
              <w:t xml:space="preserve">- El segundo, condenó al pago del dividendo, </w:t>
            </w:r>
            <w:r w:rsidR="00D51A49" w:rsidRPr="00D51A49">
              <w:rPr>
                <w:rFonts w:ascii="Arial" w:hAnsi="Arial" w:cs="Arial"/>
                <w:color w:val="2F5496" w:themeColor="accent1" w:themeShade="BF"/>
                <w:sz w:val="20"/>
                <w:szCs w:val="20"/>
                <w:lang w:val="es-ES"/>
              </w:rPr>
              <w:t>pese a que esto no fue pedido en la demanda.</w:t>
            </w:r>
            <w:r w:rsidR="00D51A49">
              <w:rPr>
                <w:rFonts w:ascii="Arial" w:hAnsi="Arial" w:cs="Arial"/>
                <w:sz w:val="20"/>
                <w:szCs w:val="20"/>
                <w:lang w:val="es-ES"/>
              </w:rPr>
              <w:t xml:space="preserve"> </w:t>
            </w:r>
          </w:p>
        </w:tc>
        <w:tc>
          <w:tcPr>
            <w:tcW w:w="5103" w:type="dxa"/>
          </w:tcPr>
          <w:p w14:paraId="5587FE28" w14:textId="77777777" w:rsidR="004814FB" w:rsidRDefault="004814FB" w:rsidP="00061B89">
            <w:pPr>
              <w:jc w:val="both"/>
              <w:rPr>
                <w:rFonts w:ascii="Arial" w:hAnsi="Arial" w:cs="Arial"/>
                <w:sz w:val="20"/>
                <w:szCs w:val="20"/>
                <w:lang w:val="es-ES"/>
              </w:rPr>
            </w:pPr>
          </w:p>
          <w:p w14:paraId="2335E719" w14:textId="6C17C03F" w:rsidR="00D51A49" w:rsidRDefault="00D51A49" w:rsidP="00061B89">
            <w:pPr>
              <w:jc w:val="both"/>
              <w:rPr>
                <w:rFonts w:ascii="Arial" w:hAnsi="Arial" w:cs="Arial"/>
                <w:color w:val="7030A0"/>
                <w:sz w:val="20"/>
                <w:szCs w:val="20"/>
                <w:lang w:val="es-ES"/>
              </w:rPr>
            </w:pPr>
            <w:r>
              <w:rPr>
                <w:rFonts w:ascii="Arial" w:hAnsi="Arial" w:cs="Arial"/>
                <w:color w:val="7030A0"/>
                <w:sz w:val="20"/>
                <w:szCs w:val="20"/>
                <w:lang w:val="es-ES"/>
              </w:rPr>
              <w:t xml:space="preserve">Código </w:t>
            </w:r>
            <w:r w:rsidR="007D1135">
              <w:rPr>
                <w:rFonts w:ascii="Arial" w:hAnsi="Arial" w:cs="Arial"/>
                <w:color w:val="7030A0"/>
                <w:sz w:val="20"/>
                <w:szCs w:val="20"/>
                <w:lang w:val="es-ES"/>
              </w:rPr>
              <w:t xml:space="preserve">General </w:t>
            </w:r>
            <w:r>
              <w:rPr>
                <w:rFonts w:ascii="Arial" w:hAnsi="Arial" w:cs="Arial"/>
                <w:color w:val="7030A0"/>
                <w:sz w:val="20"/>
                <w:szCs w:val="20"/>
                <w:lang w:val="es-ES"/>
              </w:rPr>
              <w:t xml:space="preserve">del </w:t>
            </w:r>
            <w:r w:rsidR="007D1135">
              <w:rPr>
                <w:rFonts w:ascii="Arial" w:hAnsi="Arial" w:cs="Arial"/>
                <w:color w:val="7030A0"/>
                <w:sz w:val="20"/>
                <w:szCs w:val="20"/>
                <w:lang w:val="es-ES"/>
              </w:rPr>
              <w:t>Proceso</w:t>
            </w:r>
            <w:r>
              <w:rPr>
                <w:rFonts w:ascii="Arial" w:hAnsi="Arial" w:cs="Arial"/>
                <w:color w:val="7030A0"/>
                <w:sz w:val="20"/>
                <w:szCs w:val="20"/>
                <w:lang w:val="es-ES"/>
              </w:rPr>
              <w:t xml:space="preserve">. </w:t>
            </w:r>
            <w:r w:rsidR="007D1135">
              <w:rPr>
                <w:rFonts w:ascii="Arial" w:hAnsi="Arial" w:cs="Arial"/>
                <w:color w:val="7030A0"/>
                <w:sz w:val="20"/>
                <w:szCs w:val="20"/>
                <w:lang w:val="es-ES"/>
              </w:rPr>
              <w:t xml:space="preserve">(En adelante CGP) </w:t>
            </w:r>
          </w:p>
          <w:p w14:paraId="2C241A44" w14:textId="77777777" w:rsidR="00D51A49" w:rsidRDefault="00D51A49" w:rsidP="00061B89">
            <w:pPr>
              <w:jc w:val="both"/>
              <w:rPr>
                <w:rFonts w:ascii="Arial" w:hAnsi="Arial" w:cs="Arial"/>
                <w:color w:val="7030A0"/>
                <w:sz w:val="20"/>
                <w:szCs w:val="20"/>
                <w:lang w:val="es-ES"/>
              </w:rPr>
            </w:pPr>
          </w:p>
          <w:p w14:paraId="568EF82C" w14:textId="65EF65DF" w:rsidR="00D51A49" w:rsidRPr="00D51A49" w:rsidRDefault="00D51A49" w:rsidP="00061B89">
            <w:pPr>
              <w:spacing w:after="0" w:line="240" w:lineRule="auto"/>
              <w:jc w:val="both"/>
              <w:rPr>
                <w:rFonts w:ascii="Arial" w:hAnsi="Arial" w:cs="Arial"/>
                <w:color w:val="7030A0"/>
                <w:sz w:val="20"/>
                <w:szCs w:val="20"/>
                <w:lang w:val="es-ES"/>
              </w:rPr>
            </w:pPr>
            <w:r w:rsidRPr="00D51A49">
              <w:rPr>
                <w:rFonts w:ascii="Arial" w:hAnsi="Arial" w:cs="Arial"/>
                <w:color w:val="7030A0"/>
                <w:sz w:val="20"/>
                <w:szCs w:val="20"/>
                <w:lang w:val="es-ES"/>
              </w:rPr>
              <w:t>ARTÍCULO 281. CONGRUENCIAS. La sentencia deberá estar en consonancia con los hechos y las pretensiones aducidos en la demanda</w:t>
            </w:r>
            <w:r w:rsidRPr="00D51A49">
              <w:rPr>
                <w:rFonts w:ascii="Arial" w:hAnsi="Arial" w:cs="Arial"/>
                <w:color w:val="7030A0"/>
                <w:sz w:val="20"/>
                <w:szCs w:val="20"/>
                <w:lang w:val="es-ES"/>
              </w:rPr>
              <w:t>…</w:t>
            </w:r>
          </w:p>
          <w:p w14:paraId="45D3967C" w14:textId="77777777" w:rsidR="00D51A49" w:rsidRPr="00D51A49" w:rsidRDefault="00D51A49" w:rsidP="00061B89">
            <w:pPr>
              <w:spacing w:after="0" w:line="240" w:lineRule="auto"/>
              <w:jc w:val="both"/>
              <w:rPr>
                <w:rFonts w:ascii="Arial" w:hAnsi="Arial" w:cs="Arial"/>
                <w:color w:val="7030A0"/>
                <w:sz w:val="20"/>
                <w:szCs w:val="20"/>
                <w:lang w:val="es-ES"/>
              </w:rPr>
            </w:pPr>
          </w:p>
          <w:p w14:paraId="2EC49C2B" w14:textId="6140FF77" w:rsidR="00D51A49" w:rsidRPr="00014F59" w:rsidRDefault="00D51A49" w:rsidP="00061B89">
            <w:pPr>
              <w:jc w:val="both"/>
              <w:rPr>
                <w:rFonts w:ascii="Arial" w:hAnsi="Arial" w:cs="Arial"/>
                <w:sz w:val="20"/>
                <w:szCs w:val="20"/>
                <w:lang w:val="es-ES"/>
              </w:rPr>
            </w:pPr>
            <w:r w:rsidRPr="00D51A49">
              <w:rPr>
                <w:rFonts w:ascii="Arial" w:hAnsi="Arial" w:cs="Arial"/>
                <w:b/>
                <w:bCs/>
                <w:color w:val="7030A0"/>
                <w:sz w:val="20"/>
                <w:szCs w:val="20"/>
                <w:u w:val="single"/>
                <w:lang w:val="es-ES"/>
              </w:rPr>
              <w:t>No podrá condenarse al demandado por cantidad superior o por objeto distinto del pretendido en la demanda</w:t>
            </w:r>
            <w:r w:rsidRPr="00D51A49">
              <w:rPr>
                <w:rFonts w:ascii="Arial" w:hAnsi="Arial" w:cs="Arial"/>
                <w:color w:val="7030A0"/>
                <w:sz w:val="20"/>
                <w:szCs w:val="20"/>
                <w:lang w:val="es-ES"/>
              </w:rPr>
              <w:t xml:space="preserve"> ni por causa diferente a la invocada en esta.</w:t>
            </w:r>
          </w:p>
        </w:tc>
      </w:tr>
      <w:tr w:rsidR="00214D80" w:rsidRPr="00014F59" w14:paraId="6CB5CC0B" w14:textId="77777777" w:rsidTr="00214D80">
        <w:tc>
          <w:tcPr>
            <w:tcW w:w="6232" w:type="dxa"/>
          </w:tcPr>
          <w:p w14:paraId="79C8120C" w14:textId="77777777" w:rsidR="00D51A49" w:rsidRDefault="00D51A49" w:rsidP="00061B89">
            <w:pPr>
              <w:pStyle w:val="Prrafodelista"/>
              <w:ind w:left="360"/>
              <w:jc w:val="both"/>
              <w:rPr>
                <w:rFonts w:ascii="Arial" w:hAnsi="Arial" w:cs="Arial"/>
                <w:sz w:val="20"/>
                <w:szCs w:val="20"/>
                <w:lang w:val="es-ES"/>
              </w:rPr>
            </w:pPr>
          </w:p>
          <w:p w14:paraId="6B99ED16" w14:textId="77777777" w:rsidR="004814FB" w:rsidRDefault="00D51A49" w:rsidP="00061B89">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t>En</w:t>
            </w:r>
            <w:r>
              <w:rPr>
                <w:rFonts w:ascii="Arial" w:hAnsi="Arial" w:cs="Arial"/>
                <w:sz w:val="20"/>
                <w:szCs w:val="20"/>
                <w:lang w:val="es-ES"/>
              </w:rPr>
              <w:t xml:space="preserve"> la</w:t>
            </w:r>
            <w:r>
              <w:rPr>
                <w:rFonts w:ascii="Arial" w:hAnsi="Arial" w:cs="Arial"/>
                <w:sz w:val="20"/>
                <w:szCs w:val="20"/>
                <w:lang w:val="es-ES"/>
              </w:rPr>
              <w:t xml:space="preserve"> audiencia</w:t>
            </w:r>
            <w:r>
              <w:rPr>
                <w:rFonts w:ascii="Arial" w:hAnsi="Arial" w:cs="Arial"/>
                <w:sz w:val="20"/>
                <w:szCs w:val="20"/>
                <w:lang w:val="es-ES"/>
              </w:rPr>
              <w:t xml:space="preserve"> d</w:t>
            </w:r>
            <w:r>
              <w:rPr>
                <w:rFonts w:ascii="Arial" w:hAnsi="Arial" w:cs="Arial"/>
                <w:sz w:val="20"/>
                <w:szCs w:val="20"/>
                <w:lang w:val="es-ES"/>
              </w:rPr>
              <w:t>el</w:t>
            </w:r>
            <w:r w:rsidRPr="007E1353">
              <w:rPr>
                <w:rFonts w:ascii="Arial" w:hAnsi="Arial" w:cs="Arial"/>
                <w:sz w:val="20"/>
                <w:szCs w:val="20"/>
                <w:lang w:val="es-ES"/>
              </w:rPr>
              <w:t xml:space="preserve"> </w:t>
            </w:r>
            <w:r w:rsidRPr="007E1353">
              <w:rPr>
                <w:rFonts w:ascii="Arial" w:hAnsi="Arial" w:cs="Arial"/>
                <w:b/>
                <w:bCs/>
                <w:sz w:val="20"/>
                <w:szCs w:val="20"/>
                <w:lang w:val="es-ES"/>
              </w:rPr>
              <w:t>26 de septiembre de 2018</w:t>
            </w:r>
            <w:r>
              <w:rPr>
                <w:rFonts w:ascii="Arial" w:hAnsi="Arial" w:cs="Arial"/>
                <w:sz w:val="20"/>
                <w:szCs w:val="20"/>
                <w:lang w:val="es-ES"/>
              </w:rPr>
              <w:t xml:space="preserve">, el apoderado de Axa Colpatria, Dr. </w:t>
            </w:r>
            <w:proofErr w:type="spellStart"/>
            <w:r>
              <w:rPr>
                <w:rFonts w:ascii="Arial" w:hAnsi="Arial" w:cs="Arial"/>
                <w:sz w:val="20"/>
                <w:szCs w:val="20"/>
                <w:lang w:val="es-ES"/>
              </w:rPr>
              <w:t>Miky</w:t>
            </w:r>
            <w:proofErr w:type="spellEnd"/>
            <w:r>
              <w:rPr>
                <w:rFonts w:ascii="Arial" w:hAnsi="Arial" w:cs="Arial"/>
                <w:sz w:val="20"/>
                <w:szCs w:val="20"/>
                <w:lang w:val="es-ES"/>
              </w:rPr>
              <w:t xml:space="preserve"> Fernando Olaya Cuervo, presentó y sustentó recurso de apelación en contra de la sentencia. </w:t>
            </w:r>
          </w:p>
          <w:p w14:paraId="68930A78" w14:textId="77777777" w:rsidR="00E55E75" w:rsidRDefault="00E55E75" w:rsidP="00061B89">
            <w:pPr>
              <w:jc w:val="both"/>
              <w:rPr>
                <w:rFonts w:ascii="Arial" w:hAnsi="Arial" w:cs="Arial"/>
                <w:sz w:val="20"/>
                <w:szCs w:val="20"/>
                <w:lang w:val="es-ES"/>
              </w:rPr>
            </w:pPr>
          </w:p>
          <w:p w14:paraId="1203D916" w14:textId="00984AE8" w:rsidR="00E55E75" w:rsidRPr="00E55E75" w:rsidRDefault="00E55E75" w:rsidP="00061B89">
            <w:pPr>
              <w:ind w:left="360"/>
              <w:jc w:val="both"/>
              <w:rPr>
                <w:rFonts w:ascii="Arial" w:hAnsi="Arial" w:cs="Arial"/>
                <w:sz w:val="20"/>
                <w:szCs w:val="20"/>
                <w:lang w:val="es-ES"/>
              </w:rPr>
            </w:pPr>
            <w:r>
              <w:rPr>
                <w:rFonts w:ascii="Arial" w:hAnsi="Arial" w:cs="Arial"/>
                <w:sz w:val="20"/>
                <w:szCs w:val="20"/>
                <w:lang w:val="es-ES"/>
              </w:rPr>
              <w:t xml:space="preserve">El recurso de apelación fue concedido en el efecto devolutivo ante el Tribunal Superior de Villavicencio. </w:t>
            </w:r>
          </w:p>
        </w:tc>
        <w:tc>
          <w:tcPr>
            <w:tcW w:w="6521" w:type="dxa"/>
          </w:tcPr>
          <w:p w14:paraId="63F99ABF" w14:textId="77777777" w:rsidR="00D51A49" w:rsidRDefault="00D51A49" w:rsidP="00061B89">
            <w:pPr>
              <w:jc w:val="both"/>
              <w:rPr>
                <w:rFonts w:ascii="Arial" w:hAnsi="Arial" w:cs="Arial"/>
                <w:color w:val="2F5496" w:themeColor="accent1" w:themeShade="BF"/>
                <w:sz w:val="20"/>
                <w:szCs w:val="20"/>
                <w:lang w:val="es-ES"/>
              </w:rPr>
            </w:pPr>
          </w:p>
          <w:p w14:paraId="77A98E0C" w14:textId="1AE87ECF" w:rsidR="004814FB" w:rsidRDefault="00D51A49" w:rsidP="00061B89">
            <w:pPr>
              <w:jc w:val="both"/>
              <w:rPr>
                <w:rFonts w:ascii="Arial" w:hAnsi="Arial" w:cs="Arial"/>
                <w:color w:val="2F5496" w:themeColor="accent1" w:themeShade="BF"/>
                <w:sz w:val="20"/>
                <w:szCs w:val="20"/>
                <w:lang w:val="es-ES"/>
              </w:rPr>
            </w:pPr>
            <w:r w:rsidRPr="00D51A49">
              <w:rPr>
                <w:rFonts w:ascii="Arial" w:hAnsi="Arial" w:cs="Arial"/>
                <w:color w:val="2F5496" w:themeColor="accent1" w:themeShade="BF"/>
                <w:sz w:val="20"/>
                <w:szCs w:val="20"/>
                <w:lang w:val="es-ES"/>
              </w:rPr>
              <w:t>Para el año 2018 existían dos posturas jurídicas en conflicto</w:t>
            </w:r>
            <w:r w:rsidR="007D1135">
              <w:rPr>
                <w:rFonts w:ascii="Arial" w:hAnsi="Arial" w:cs="Arial"/>
                <w:color w:val="2F5496" w:themeColor="accent1" w:themeShade="BF"/>
                <w:sz w:val="20"/>
                <w:szCs w:val="20"/>
                <w:lang w:val="es-ES"/>
              </w:rPr>
              <w:t xml:space="preserve"> en relación con la procedencia o no de declarar desierto un recurso de apelación que, si bien fue sustentado en la primera instancia, no lo fue ante el juzgador de segunda. </w:t>
            </w:r>
          </w:p>
          <w:p w14:paraId="33E99545" w14:textId="77777777" w:rsidR="00D51A49" w:rsidRDefault="00D51A49" w:rsidP="00061B89">
            <w:pPr>
              <w:jc w:val="both"/>
              <w:rPr>
                <w:rFonts w:ascii="Arial" w:hAnsi="Arial" w:cs="Arial"/>
                <w:sz w:val="20"/>
                <w:szCs w:val="20"/>
                <w:lang w:val="es-ES"/>
              </w:rPr>
            </w:pPr>
          </w:p>
          <w:p w14:paraId="1D9E58E2" w14:textId="77777777" w:rsidR="007D1135" w:rsidRDefault="007D1135" w:rsidP="00061B89">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-La primera postura indica que, por mandato del artículo 322 numeral 3 del CGP, si no se sustenta el recurso en la segunda instancia el mismo deberá declararse desierto. </w:t>
            </w:r>
          </w:p>
          <w:p w14:paraId="363D74A9" w14:textId="77777777" w:rsidR="007D1135" w:rsidRDefault="007D1135" w:rsidP="00061B89">
            <w:pPr>
              <w:jc w:val="both"/>
              <w:rPr>
                <w:rFonts w:ascii="Arial" w:hAnsi="Arial" w:cs="Arial"/>
                <w:color w:val="2F5496" w:themeColor="accent1" w:themeShade="BF"/>
                <w:sz w:val="20"/>
                <w:szCs w:val="20"/>
                <w:lang w:val="es-ES"/>
              </w:rPr>
            </w:pPr>
          </w:p>
          <w:p w14:paraId="7AA3EE25" w14:textId="3E48DF27" w:rsidR="00D51A49" w:rsidRDefault="007D1135" w:rsidP="00061B89">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lastRenderedPageBreak/>
              <w:t xml:space="preserve">- La segunda, establecía que la interpretación más benigna para el ordenamiento jurídico es aquella en donde la sustentación de la apelación debía presentarse “a más tardar” antes de fenecer el traslado de segunda instancia.  </w:t>
            </w:r>
            <w:r w:rsidR="00D51A49">
              <w:rPr>
                <w:rFonts w:ascii="Arial" w:hAnsi="Arial" w:cs="Arial"/>
                <w:color w:val="2F5496" w:themeColor="accent1" w:themeShade="BF"/>
                <w:sz w:val="20"/>
                <w:szCs w:val="20"/>
                <w:lang w:val="es-ES"/>
              </w:rPr>
              <w:t xml:space="preserve"> </w:t>
            </w:r>
          </w:p>
          <w:p w14:paraId="13BF3666" w14:textId="77777777" w:rsidR="00D51A49" w:rsidRDefault="00D51A49" w:rsidP="00061B89">
            <w:pPr>
              <w:jc w:val="both"/>
              <w:rPr>
                <w:rFonts w:ascii="Arial" w:hAnsi="Arial" w:cs="Arial"/>
                <w:sz w:val="20"/>
                <w:szCs w:val="20"/>
                <w:lang w:val="es-ES"/>
              </w:rPr>
            </w:pPr>
          </w:p>
          <w:p w14:paraId="38ABD272" w14:textId="011A6075" w:rsidR="00D51A49" w:rsidRPr="00014F59" w:rsidRDefault="007D1135" w:rsidP="00061B89">
            <w:pPr>
              <w:jc w:val="both"/>
              <w:rPr>
                <w:rFonts w:ascii="Arial" w:hAnsi="Arial" w:cs="Arial"/>
                <w:sz w:val="20"/>
                <w:szCs w:val="20"/>
                <w:lang w:val="es-ES"/>
              </w:rPr>
            </w:pPr>
            <w:r w:rsidRPr="007D1135">
              <w:rPr>
                <w:rFonts w:ascii="Arial" w:hAnsi="Arial" w:cs="Arial"/>
                <w:color w:val="2F5496" w:themeColor="accent1" w:themeShade="BF"/>
                <w:sz w:val="20"/>
                <w:szCs w:val="20"/>
                <w:lang w:val="es-ES"/>
              </w:rPr>
              <w:t>Es decir, desde la segunda postura, es claro que Axa Colpatria ya había presentado y sustentado su recurso desde el 26 de septiembre de 2018.</w:t>
            </w:r>
            <w:r>
              <w:rPr>
                <w:rFonts w:ascii="Arial" w:hAnsi="Arial" w:cs="Arial"/>
                <w:sz w:val="20"/>
                <w:szCs w:val="20"/>
                <w:lang w:val="es-ES"/>
              </w:rPr>
              <w:t xml:space="preserve"> </w:t>
            </w:r>
          </w:p>
        </w:tc>
        <w:tc>
          <w:tcPr>
            <w:tcW w:w="5103" w:type="dxa"/>
          </w:tcPr>
          <w:p w14:paraId="4FE9B6C9" w14:textId="77777777" w:rsidR="004814FB" w:rsidRPr="007D1135" w:rsidRDefault="004814FB" w:rsidP="00061B89">
            <w:pPr>
              <w:jc w:val="both"/>
              <w:rPr>
                <w:rFonts w:ascii="Arial" w:hAnsi="Arial" w:cs="Arial"/>
                <w:color w:val="7030A0"/>
                <w:sz w:val="20"/>
                <w:szCs w:val="20"/>
                <w:lang w:val="es-ES"/>
              </w:rPr>
            </w:pPr>
          </w:p>
          <w:p w14:paraId="7A6364B2" w14:textId="77777777" w:rsidR="007D1135" w:rsidRPr="002A29AB" w:rsidRDefault="007D1135" w:rsidP="00061B89">
            <w:pPr>
              <w:jc w:val="both"/>
              <w:rPr>
                <w:rFonts w:ascii="Arial" w:hAnsi="Arial" w:cs="Arial"/>
                <w:color w:val="7030A0"/>
                <w:sz w:val="20"/>
                <w:szCs w:val="20"/>
                <w:lang w:val="es-ES"/>
              </w:rPr>
            </w:pPr>
            <w:r w:rsidRPr="002A29AB">
              <w:rPr>
                <w:rFonts w:ascii="Arial" w:hAnsi="Arial" w:cs="Arial"/>
                <w:color w:val="7030A0"/>
                <w:sz w:val="20"/>
                <w:szCs w:val="20"/>
                <w:lang w:val="es-ES"/>
              </w:rPr>
              <w:t xml:space="preserve">Fundamento </w:t>
            </w:r>
            <w:r w:rsidRPr="002A29AB">
              <w:rPr>
                <w:rFonts w:ascii="Arial" w:hAnsi="Arial" w:cs="Arial"/>
                <w:b/>
                <w:bCs/>
                <w:color w:val="7030A0"/>
                <w:sz w:val="20"/>
                <w:szCs w:val="20"/>
                <w:u w:val="single"/>
                <w:lang w:val="es-ES"/>
              </w:rPr>
              <w:t>Primera</w:t>
            </w:r>
            <w:r w:rsidRPr="002A29AB">
              <w:rPr>
                <w:rFonts w:ascii="Arial" w:hAnsi="Arial" w:cs="Arial"/>
                <w:color w:val="7030A0"/>
                <w:sz w:val="20"/>
                <w:szCs w:val="20"/>
                <w:lang w:val="es-ES"/>
              </w:rPr>
              <w:t xml:space="preserve"> Postura: </w:t>
            </w:r>
          </w:p>
          <w:p w14:paraId="6F08ECE5" w14:textId="77777777" w:rsidR="007D1135" w:rsidRPr="002A29AB" w:rsidRDefault="007D1135" w:rsidP="00061B89">
            <w:pPr>
              <w:jc w:val="both"/>
              <w:rPr>
                <w:rFonts w:ascii="Arial" w:hAnsi="Arial" w:cs="Arial"/>
                <w:color w:val="7030A0"/>
                <w:sz w:val="20"/>
                <w:szCs w:val="20"/>
                <w:lang w:val="es-ES"/>
              </w:rPr>
            </w:pPr>
          </w:p>
          <w:p w14:paraId="58C3968B" w14:textId="7E05E562" w:rsidR="007D1135" w:rsidRPr="002A29AB" w:rsidRDefault="007D1135" w:rsidP="00061B89">
            <w:pPr>
              <w:pStyle w:val="Prrafodelista"/>
              <w:numPr>
                <w:ilvl w:val="0"/>
                <w:numId w:val="3"/>
              </w:numPr>
              <w:jc w:val="both"/>
              <w:rPr>
                <w:rFonts w:ascii="Arial" w:hAnsi="Arial" w:cs="Arial"/>
                <w:color w:val="7030A0"/>
                <w:sz w:val="20"/>
                <w:szCs w:val="20"/>
                <w:lang w:val="es-ES"/>
              </w:rPr>
            </w:pPr>
            <w:r w:rsidRPr="002A29AB">
              <w:rPr>
                <w:rFonts w:ascii="Arial" w:hAnsi="Arial" w:cs="Arial"/>
                <w:color w:val="7030A0"/>
                <w:sz w:val="20"/>
                <w:szCs w:val="20"/>
                <w:lang w:val="es-ES"/>
              </w:rPr>
              <w:t xml:space="preserve">Art 322 numeral 3 CGP. </w:t>
            </w:r>
          </w:p>
          <w:p w14:paraId="58E54EE0" w14:textId="77777777" w:rsidR="007D1135" w:rsidRPr="002A29AB" w:rsidRDefault="007D1135" w:rsidP="00061B89">
            <w:pPr>
              <w:jc w:val="both"/>
              <w:rPr>
                <w:rFonts w:ascii="Arial" w:hAnsi="Arial" w:cs="Arial"/>
                <w:color w:val="7030A0"/>
                <w:sz w:val="20"/>
                <w:szCs w:val="20"/>
                <w:lang w:val="es-ES"/>
              </w:rPr>
            </w:pPr>
          </w:p>
          <w:p w14:paraId="35CF68A3" w14:textId="77777777" w:rsidR="007D1135" w:rsidRPr="002A29AB" w:rsidRDefault="007D1135" w:rsidP="00061B89">
            <w:pPr>
              <w:jc w:val="both"/>
              <w:rPr>
                <w:rFonts w:ascii="Arial" w:hAnsi="Arial" w:cs="Arial"/>
                <w:color w:val="7030A0"/>
                <w:sz w:val="20"/>
                <w:szCs w:val="20"/>
                <w:lang w:val="es-ES"/>
              </w:rPr>
            </w:pPr>
            <w:r w:rsidRPr="002A29AB">
              <w:rPr>
                <w:rFonts w:ascii="Arial" w:hAnsi="Arial" w:cs="Arial"/>
                <w:color w:val="7030A0"/>
                <w:sz w:val="20"/>
                <w:szCs w:val="20"/>
                <w:lang w:val="es-ES"/>
              </w:rPr>
              <w:t xml:space="preserve">Fundamento </w:t>
            </w:r>
            <w:r w:rsidRPr="002A29AB">
              <w:rPr>
                <w:rFonts w:ascii="Arial" w:hAnsi="Arial" w:cs="Arial"/>
                <w:b/>
                <w:bCs/>
                <w:color w:val="7030A0"/>
                <w:sz w:val="20"/>
                <w:szCs w:val="20"/>
                <w:u w:val="single"/>
                <w:lang w:val="es-ES"/>
              </w:rPr>
              <w:t>Segunda</w:t>
            </w:r>
            <w:r w:rsidRPr="002A29AB">
              <w:rPr>
                <w:rFonts w:ascii="Arial" w:hAnsi="Arial" w:cs="Arial"/>
                <w:color w:val="7030A0"/>
                <w:sz w:val="20"/>
                <w:szCs w:val="20"/>
                <w:lang w:val="es-ES"/>
              </w:rPr>
              <w:t xml:space="preserve"> Postura:</w:t>
            </w:r>
          </w:p>
          <w:p w14:paraId="78A1B3CC" w14:textId="77777777" w:rsidR="007D1135" w:rsidRPr="002A29AB" w:rsidRDefault="007D1135" w:rsidP="00061B89">
            <w:pPr>
              <w:jc w:val="both"/>
              <w:rPr>
                <w:rFonts w:ascii="Arial" w:hAnsi="Arial" w:cs="Arial"/>
                <w:color w:val="7030A0"/>
                <w:sz w:val="20"/>
                <w:szCs w:val="20"/>
                <w:lang w:val="es-ES"/>
              </w:rPr>
            </w:pPr>
          </w:p>
          <w:p w14:paraId="5E236955" w14:textId="345C4BBB" w:rsidR="002A29AB" w:rsidRPr="002A29AB" w:rsidRDefault="002A29AB" w:rsidP="00061B89">
            <w:pPr>
              <w:pStyle w:val="Prrafodelista"/>
              <w:numPr>
                <w:ilvl w:val="0"/>
                <w:numId w:val="3"/>
              </w:numPr>
              <w:jc w:val="both"/>
              <w:rPr>
                <w:rFonts w:ascii="Arial" w:hAnsi="Arial" w:cs="Arial"/>
                <w:color w:val="7030A0"/>
                <w:sz w:val="20"/>
                <w:szCs w:val="20"/>
                <w:lang w:val="es-ES"/>
              </w:rPr>
            </w:pPr>
            <w:r w:rsidRPr="002A29AB">
              <w:rPr>
                <w:rFonts w:ascii="Arial" w:hAnsi="Arial" w:cs="Arial"/>
                <w:color w:val="7030A0"/>
                <w:sz w:val="20"/>
                <w:szCs w:val="20"/>
                <w:lang w:val="es-ES"/>
              </w:rPr>
              <w:t>STL9318-2019</w:t>
            </w:r>
            <w:r w:rsidRPr="002A29AB">
              <w:rPr>
                <w:rFonts w:ascii="Arial" w:hAnsi="Arial" w:cs="Arial"/>
                <w:color w:val="7030A0"/>
                <w:sz w:val="20"/>
                <w:szCs w:val="20"/>
                <w:lang w:val="es-ES"/>
              </w:rPr>
              <w:t xml:space="preserve"> del 10 de julio de 2019. (Sala de Casación Laboral) </w:t>
            </w:r>
          </w:p>
          <w:p w14:paraId="400FF6CC" w14:textId="77777777" w:rsidR="002A29AB" w:rsidRPr="002A29AB" w:rsidRDefault="002A29AB" w:rsidP="00061B89">
            <w:pPr>
              <w:pStyle w:val="Prrafodelista"/>
              <w:jc w:val="both"/>
              <w:rPr>
                <w:rFonts w:ascii="Arial" w:hAnsi="Arial" w:cs="Arial"/>
                <w:color w:val="7030A0"/>
                <w:sz w:val="20"/>
                <w:szCs w:val="20"/>
                <w:lang w:val="es-ES"/>
              </w:rPr>
            </w:pPr>
          </w:p>
          <w:p w14:paraId="32B534C2" w14:textId="09E981C0" w:rsidR="007D1135" w:rsidRPr="002A29AB" w:rsidRDefault="002A29AB" w:rsidP="00061B89">
            <w:pPr>
              <w:pStyle w:val="Prrafodelista"/>
              <w:numPr>
                <w:ilvl w:val="0"/>
                <w:numId w:val="3"/>
              </w:numPr>
              <w:jc w:val="both"/>
              <w:rPr>
                <w:rFonts w:ascii="Arial" w:hAnsi="Arial" w:cs="Arial"/>
                <w:color w:val="7030A0"/>
                <w:sz w:val="20"/>
                <w:szCs w:val="20"/>
                <w:lang w:val="es-ES"/>
              </w:rPr>
            </w:pPr>
            <w:r w:rsidRPr="002A29AB">
              <w:rPr>
                <w:rFonts w:ascii="Arial" w:hAnsi="Arial" w:cs="Arial"/>
                <w:color w:val="7030A0"/>
                <w:sz w:val="20"/>
                <w:szCs w:val="20"/>
              </w:rPr>
              <w:lastRenderedPageBreak/>
              <w:t>STC7652-2021</w:t>
            </w:r>
            <w:r w:rsidRPr="002A29AB">
              <w:rPr>
                <w:rFonts w:ascii="Arial" w:hAnsi="Arial" w:cs="Arial"/>
                <w:color w:val="7030A0"/>
                <w:sz w:val="20"/>
                <w:szCs w:val="20"/>
              </w:rPr>
              <w:t xml:space="preserve"> del 24 de junio de 2022 (Sala Casación Civil</w:t>
            </w:r>
            <w:r>
              <w:t xml:space="preserve">) </w:t>
            </w:r>
          </w:p>
        </w:tc>
      </w:tr>
      <w:tr w:rsidR="00214D80" w:rsidRPr="00014F59" w14:paraId="46AA6DAF" w14:textId="77777777" w:rsidTr="00214D80">
        <w:tc>
          <w:tcPr>
            <w:tcW w:w="6232" w:type="dxa"/>
          </w:tcPr>
          <w:p w14:paraId="42A98DD5" w14:textId="77777777" w:rsidR="00C47C6D" w:rsidRDefault="001A4CBB" w:rsidP="00061B89">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lastRenderedPageBreak/>
              <w:t xml:space="preserve">El </w:t>
            </w:r>
            <w:r>
              <w:rPr>
                <w:rFonts w:ascii="Arial" w:hAnsi="Arial" w:cs="Arial"/>
                <w:b/>
                <w:bCs/>
                <w:sz w:val="20"/>
                <w:szCs w:val="20"/>
                <w:lang w:val="es-ES"/>
              </w:rPr>
              <w:t>25 de octubre de 2018</w:t>
            </w:r>
            <w:r w:rsidRPr="001A4CBB">
              <w:rPr>
                <w:rFonts w:ascii="Arial" w:hAnsi="Arial" w:cs="Arial"/>
                <w:sz w:val="20"/>
                <w:szCs w:val="20"/>
                <w:lang w:val="es-ES"/>
              </w:rPr>
              <w:t xml:space="preserve">, </w:t>
            </w:r>
            <w:r>
              <w:rPr>
                <w:rFonts w:ascii="Arial" w:hAnsi="Arial" w:cs="Arial"/>
                <w:sz w:val="20"/>
                <w:szCs w:val="20"/>
                <w:lang w:val="es-ES"/>
              </w:rPr>
              <w:t xml:space="preserve">el apoderado de Axa Colpatria, Dr. </w:t>
            </w:r>
            <w:proofErr w:type="spellStart"/>
            <w:r>
              <w:rPr>
                <w:rFonts w:ascii="Arial" w:hAnsi="Arial" w:cs="Arial"/>
                <w:sz w:val="20"/>
                <w:szCs w:val="20"/>
                <w:lang w:val="es-ES"/>
              </w:rPr>
              <w:t>Miky</w:t>
            </w:r>
            <w:proofErr w:type="spellEnd"/>
            <w:r>
              <w:rPr>
                <w:rFonts w:ascii="Arial" w:hAnsi="Arial" w:cs="Arial"/>
                <w:sz w:val="20"/>
                <w:szCs w:val="20"/>
                <w:lang w:val="es-ES"/>
              </w:rPr>
              <w:t xml:space="preserve"> Fernando Olaya Cuervo,</w:t>
            </w:r>
            <w:r w:rsidR="00E7561D">
              <w:rPr>
                <w:rFonts w:ascii="Arial" w:hAnsi="Arial" w:cs="Arial"/>
                <w:sz w:val="20"/>
                <w:szCs w:val="20"/>
                <w:lang w:val="es-ES"/>
              </w:rPr>
              <w:t xml:space="preserve"> </w:t>
            </w:r>
            <w:r w:rsidR="00C3332D">
              <w:rPr>
                <w:rFonts w:ascii="Arial" w:hAnsi="Arial" w:cs="Arial"/>
                <w:sz w:val="20"/>
                <w:szCs w:val="20"/>
                <w:lang w:val="es-ES"/>
              </w:rPr>
              <w:t>para garantizar el cumplimiento de la sentencia</w:t>
            </w:r>
            <w:r w:rsidR="00C3332D">
              <w:rPr>
                <w:rFonts w:ascii="Arial" w:hAnsi="Arial" w:cs="Arial"/>
                <w:sz w:val="20"/>
                <w:szCs w:val="20"/>
                <w:lang w:val="es-ES"/>
              </w:rPr>
              <w:t xml:space="preserve"> </w:t>
            </w:r>
            <w:r w:rsidR="00E7561D">
              <w:rPr>
                <w:rFonts w:ascii="Arial" w:hAnsi="Arial" w:cs="Arial"/>
                <w:sz w:val="20"/>
                <w:szCs w:val="20"/>
                <w:lang w:val="es-ES"/>
              </w:rPr>
              <w:t>allegó caución a través de póliza judicial</w:t>
            </w:r>
            <w:r w:rsidR="00C3332D">
              <w:rPr>
                <w:rFonts w:ascii="Arial" w:hAnsi="Arial" w:cs="Arial"/>
                <w:sz w:val="20"/>
                <w:szCs w:val="20"/>
                <w:lang w:val="es-ES"/>
              </w:rPr>
              <w:t xml:space="preserve">. </w:t>
            </w:r>
            <w:r w:rsidR="00E7561D">
              <w:rPr>
                <w:rFonts w:ascii="Arial" w:hAnsi="Arial" w:cs="Arial"/>
                <w:sz w:val="20"/>
                <w:szCs w:val="20"/>
                <w:lang w:val="es-ES"/>
              </w:rPr>
              <w:t xml:space="preserve"> </w:t>
            </w:r>
          </w:p>
          <w:p w14:paraId="55E9865C" w14:textId="77777777" w:rsidR="00C47C6D" w:rsidRDefault="00C47C6D" w:rsidP="00061B89">
            <w:pPr>
              <w:pStyle w:val="Prrafodelista"/>
              <w:ind w:left="360"/>
              <w:jc w:val="both"/>
              <w:rPr>
                <w:rFonts w:ascii="Arial" w:hAnsi="Arial" w:cs="Arial"/>
                <w:sz w:val="20"/>
                <w:szCs w:val="20"/>
                <w:lang w:val="es-ES"/>
              </w:rPr>
            </w:pPr>
          </w:p>
          <w:p w14:paraId="176E2E4A" w14:textId="77777777" w:rsidR="004814FB" w:rsidRDefault="00C47C6D" w:rsidP="00061B89">
            <w:pPr>
              <w:pStyle w:val="Prrafodelista"/>
              <w:ind w:left="360"/>
              <w:jc w:val="both"/>
              <w:rPr>
                <w:rFonts w:ascii="Arial" w:hAnsi="Arial" w:cs="Arial"/>
                <w:b/>
                <w:bCs/>
                <w:sz w:val="20"/>
                <w:szCs w:val="20"/>
                <w:lang w:val="es-ES"/>
              </w:rPr>
            </w:pPr>
            <w:r>
              <w:rPr>
                <w:rFonts w:ascii="Arial" w:hAnsi="Arial" w:cs="Arial"/>
                <w:sz w:val="20"/>
                <w:szCs w:val="20"/>
                <w:lang w:val="es-ES"/>
              </w:rPr>
              <w:t xml:space="preserve">Según la página de la Rama, la caución fue tenida en cuenta el </w:t>
            </w:r>
            <w:r>
              <w:rPr>
                <w:rFonts w:ascii="Arial" w:hAnsi="Arial" w:cs="Arial"/>
                <w:b/>
                <w:bCs/>
                <w:sz w:val="20"/>
                <w:szCs w:val="20"/>
                <w:lang w:val="es-ES"/>
              </w:rPr>
              <w:t xml:space="preserve">02 de abril de 2019. </w:t>
            </w:r>
          </w:p>
          <w:p w14:paraId="1561AC79" w14:textId="7E5B594B" w:rsidR="00C47C6D" w:rsidRPr="00C47C6D" w:rsidRDefault="00C47C6D" w:rsidP="00061B89">
            <w:pPr>
              <w:pStyle w:val="Prrafodelista"/>
              <w:ind w:left="360"/>
              <w:jc w:val="both"/>
              <w:rPr>
                <w:rFonts w:ascii="Arial" w:hAnsi="Arial" w:cs="Arial"/>
                <w:b/>
                <w:bCs/>
                <w:sz w:val="20"/>
                <w:szCs w:val="20"/>
                <w:lang w:val="es-ES"/>
              </w:rPr>
            </w:pPr>
          </w:p>
        </w:tc>
        <w:tc>
          <w:tcPr>
            <w:tcW w:w="6521" w:type="dxa"/>
          </w:tcPr>
          <w:p w14:paraId="2CCCC839" w14:textId="77777777" w:rsidR="00C3332D" w:rsidRDefault="00C3332D" w:rsidP="00061B89">
            <w:pPr>
              <w:jc w:val="both"/>
              <w:rPr>
                <w:rFonts w:ascii="Arial" w:hAnsi="Arial" w:cs="Arial"/>
                <w:sz w:val="20"/>
                <w:szCs w:val="20"/>
                <w:lang w:val="es-ES"/>
              </w:rPr>
            </w:pPr>
          </w:p>
          <w:p w14:paraId="6D0FDF75" w14:textId="03E55448" w:rsidR="004814FB" w:rsidRDefault="00C3332D" w:rsidP="00061B89">
            <w:pPr>
              <w:jc w:val="both"/>
              <w:rPr>
                <w:rFonts w:ascii="Arial" w:hAnsi="Arial" w:cs="Arial"/>
                <w:color w:val="2F5496" w:themeColor="accent1" w:themeShade="BF"/>
                <w:sz w:val="20"/>
                <w:szCs w:val="20"/>
                <w:lang w:val="es-ES"/>
              </w:rPr>
            </w:pPr>
            <w:r w:rsidRPr="00C3332D">
              <w:rPr>
                <w:rFonts w:ascii="Arial" w:hAnsi="Arial" w:cs="Arial"/>
                <w:color w:val="2F5496" w:themeColor="accent1" w:themeShade="BF"/>
                <w:sz w:val="20"/>
                <w:szCs w:val="20"/>
                <w:lang w:val="es-ES"/>
              </w:rPr>
              <w:t>Como el recurso de apelación</w:t>
            </w:r>
            <w:r>
              <w:rPr>
                <w:rFonts w:ascii="Arial" w:hAnsi="Arial" w:cs="Arial"/>
                <w:color w:val="2F5496" w:themeColor="accent1" w:themeShade="BF"/>
                <w:sz w:val="20"/>
                <w:szCs w:val="20"/>
                <w:lang w:val="es-ES"/>
              </w:rPr>
              <w:t xml:space="preserve"> en contra de la sentencia</w:t>
            </w:r>
            <w:r w:rsidRPr="00C3332D">
              <w:rPr>
                <w:rFonts w:ascii="Arial" w:hAnsi="Arial" w:cs="Arial"/>
                <w:color w:val="2F5496" w:themeColor="accent1" w:themeShade="BF"/>
                <w:sz w:val="20"/>
                <w:szCs w:val="20"/>
                <w:lang w:val="es-ES"/>
              </w:rPr>
              <w:t xml:space="preserve"> había sido concedido en el efectivo devolutivo, desde el 25 de octubre de 2018 </w:t>
            </w:r>
            <w:r>
              <w:rPr>
                <w:rFonts w:ascii="Arial" w:hAnsi="Arial" w:cs="Arial"/>
                <w:color w:val="2F5496" w:themeColor="accent1" w:themeShade="BF"/>
                <w:sz w:val="20"/>
                <w:szCs w:val="20"/>
                <w:lang w:val="es-ES"/>
              </w:rPr>
              <w:t>la parte demandante se encontraba facultada para solicitar</w:t>
            </w:r>
            <w:r w:rsidR="00CD77F5">
              <w:rPr>
                <w:rFonts w:ascii="Arial" w:hAnsi="Arial" w:cs="Arial"/>
                <w:color w:val="2F5496" w:themeColor="accent1" w:themeShade="BF"/>
                <w:sz w:val="20"/>
                <w:szCs w:val="20"/>
                <w:lang w:val="es-ES"/>
              </w:rPr>
              <w:t xml:space="preserve"> su</w:t>
            </w:r>
            <w:r>
              <w:rPr>
                <w:rFonts w:ascii="Arial" w:hAnsi="Arial" w:cs="Arial"/>
                <w:color w:val="2F5496" w:themeColor="accent1" w:themeShade="BF"/>
                <w:sz w:val="20"/>
                <w:szCs w:val="20"/>
                <w:lang w:val="es-ES"/>
              </w:rPr>
              <w:t xml:space="preserve"> cumplimiento </w:t>
            </w:r>
            <w:r w:rsidR="00CD77F5">
              <w:rPr>
                <w:rFonts w:ascii="Arial" w:hAnsi="Arial" w:cs="Arial"/>
                <w:color w:val="2F5496" w:themeColor="accent1" w:themeShade="BF"/>
                <w:sz w:val="20"/>
                <w:szCs w:val="20"/>
                <w:lang w:val="es-ES"/>
              </w:rPr>
              <w:t xml:space="preserve">ejecutando la caución presentada. </w:t>
            </w:r>
          </w:p>
          <w:p w14:paraId="5F2255C7" w14:textId="08771675" w:rsidR="00C3332D" w:rsidRPr="00014F59" w:rsidRDefault="00C3332D" w:rsidP="00061B89">
            <w:pPr>
              <w:jc w:val="both"/>
              <w:rPr>
                <w:rFonts w:ascii="Arial" w:hAnsi="Arial" w:cs="Arial"/>
                <w:sz w:val="20"/>
                <w:szCs w:val="20"/>
                <w:lang w:val="es-ES"/>
              </w:rPr>
            </w:pPr>
          </w:p>
        </w:tc>
        <w:tc>
          <w:tcPr>
            <w:tcW w:w="5103" w:type="dxa"/>
          </w:tcPr>
          <w:p w14:paraId="3C284C24" w14:textId="77777777" w:rsidR="00CD77F5" w:rsidRDefault="00CD77F5" w:rsidP="00061B89">
            <w:pPr>
              <w:jc w:val="both"/>
              <w:rPr>
                <w:rFonts w:ascii="Arial" w:hAnsi="Arial" w:cs="Arial"/>
                <w:sz w:val="20"/>
                <w:szCs w:val="20"/>
                <w:lang w:val="es-ES"/>
              </w:rPr>
            </w:pPr>
          </w:p>
          <w:p w14:paraId="5514E2EE" w14:textId="77777777" w:rsidR="00CD77F5" w:rsidRDefault="00CD77F5" w:rsidP="00061B89">
            <w:pPr>
              <w:jc w:val="both"/>
              <w:rPr>
                <w:rFonts w:ascii="Arial" w:hAnsi="Arial" w:cs="Arial"/>
                <w:sz w:val="20"/>
                <w:szCs w:val="20"/>
                <w:lang w:val="es-ES"/>
              </w:rPr>
            </w:pPr>
          </w:p>
          <w:p w14:paraId="4341997F" w14:textId="70FDD658" w:rsidR="004814FB" w:rsidRPr="00014F59" w:rsidRDefault="00CD77F5" w:rsidP="00061B89">
            <w:pPr>
              <w:jc w:val="both"/>
              <w:rPr>
                <w:rFonts w:ascii="Arial" w:hAnsi="Arial" w:cs="Arial"/>
                <w:sz w:val="20"/>
                <w:szCs w:val="20"/>
                <w:lang w:val="es-ES"/>
              </w:rPr>
            </w:pPr>
            <w:r w:rsidRPr="00CD77F5">
              <w:rPr>
                <w:rFonts w:ascii="Arial" w:hAnsi="Arial" w:cs="Arial"/>
                <w:color w:val="7030A0"/>
                <w:sz w:val="20"/>
                <w:szCs w:val="20"/>
                <w:lang w:val="es-ES"/>
              </w:rPr>
              <w:t>N/A</w:t>
            </w:r>
          </w:p>
        </w:tc>
      </w:tr>
      <w:tr w:rsidR="00214D80" w:rsidRPr="00014F59" w14:paraId="7DB5B50A" w14:textId="77777777" w:rsidTr="00214D80">
        <w:tc>
          <w:tcPr>
            <w:tcW w:w="6232" w:type="dxa"/>
          </w:tcPr>
          <w:p w14:paraId="0C4072EF" w14:textId="4F0EF614" w:rsidR="00CD77F5" w:rsidRPr="00CD77F5" w:rsidRDefault="00CD77F5" w:rsidP="00061B89">
            <w:pPr>
              <w:pStyle w:val="Prrafodelista"/>
              <w:numPr>
                <w:ilvl w:val="0"/>
                <w:numId w:val="2"/>
              </w:numPr>
              <w:ind w:left="360"/>
              <w:jc w:val="both"/>
              <w:rPr>
                <w:rFonts w:ascii="Arial" w:hAnsi="Arial" w:cs="Arial"/>
                <w:sz w:val="20"/>
                <w:szCs w:val="20"/>
                <w:lang w:val="es-ES"/>
              </w:rPr>
            </w:pPr>
            <w:r w:rsidRPr="00CD77F5">
              <w:rPr>
                <w:rFonts w:ascii="Arial" w:hAnsi="Arial" w:cs="Arial"/>
                <w:sz w:val="20"/>
                <w:szCs w:val="20"/>
                <w:lang w:val="es-ES"/>
              </w:rPr>
              <w:t xml:space="preserve">El </w:t>
            </w:r>
            <w:r w:rsidRPr="00CD77F5">
              <w:rPr>
                <w:rFonts w:ascii="Arial" w:hAnsi="Arial" w:cs="Arial"/>
                <w:b/>
                <w:bCs/>
                <w:sz w:val="20"/>
                <w:szCs w:val="20"/>
                <w:lang w:val="es-ES"/>
              </w:rPr>
              <w:t xml:space="preserve">01 de noviembre de 2018 </w:t>
            </w:r>
            <w:r w:rsidRPr="00CD77F5">
              <w:rPr>
                <w:rFonts w:ascii="Arial" w:hAnsi="Arial" w:cs="Arial"/>
                <w:sz w:val="20"/>
                <w:szCs w:val="20"/>
                <w:lang w:val="es-ES"/>
              </w:rPr>
              <w:t xml:space="preserve">a través de auto notificado en estado del </w:t>
            </w:r>
            <w:r w:rsidRPr="00CD77F5">
              <w:rPr>
                <w:rFonts w:ascii="Arial" w:hAnsi="Arial" w:cs="Arial"/>
                <w:b/>
                <w:bCs/>
                <w:sz w:val="20"/>
                <w:szCs w:val="20"/>
                <w:lang w:val="es-ES"/>
              </w:rPr>
              <w:t xml:space="preserve">02 de noviembre de 2018, </w:t>
            </w:r>
            <w:r w:rsidRPr="00CD77F5">
              <w:rPr>
                <w:rFonts w:ascii="Arial" w:hAnsi="Arial" w:cs="Arial"/>
                <w:sz w:val="20"/>
                <w:szCs w:val="20"/>
                <w:lang w:val="es-ES"/>
              </w:rPr>
              <w:t xml:space="preserve">el Tribunal Superior de Villavicencio admitió el recurso de apelación. </w:t>
            </w:r>
          </w:p>
          <w:p w14:paraId="133EB688" w14:textId="3A17E5D7" w:rsidR="004814FB" w:rsidRPr="00CD77F5" w:rsidRDefault="004814FB" w:rsidP="00061B89">
            <w:pPr>
              <w:pStyle w:val="Prrafodelista"/>
              <w:jc w:val="both"/>
              <w:rPr>
                <w:rFonts w:ascii="Arial" w:hAnsi="Arial" w:cs="Arial"/>
                <w:sz w:val="20"/>
                <w:szCs w:val="20"/>
                <w:lang w:val="es-ES"/>
              </w:rPr>
            </w:pPr>
          </w:p>
        </w:tc>
        <w:tc>
          <w:tcPr>
            <w:tcW w:w="6521" w:type="dxa"/>
          </w:tcPr>
          <w:p w14:paraId="3A3B5717" w14:textId="77777777" w:rsidR="004814FB" w:rsidRDefault="004814FB" w:rsidP="00061B89">
            <w:pPr>
              <w:jc w:val="both"/>
              <w:rPr>
                <w:rFonts w:ascii="Arial" w:hAnsi="Arial" w:cs="Arial"/>
                <w:color w:val="2F5496" w:themeColor="accent1" w:themeShade="BF"/>
                <w:sz w:val="20"/>
                <w:szCs w:val="20"/>
                <w:lang w:val="es-ES"/>
              </w:rPr>
            </w:pPr>
          </w:p>
          <w:p w14:paraId="7AC1732F" w14:textId="77777777" w:rsidR="00C47C6D" w:rsidRDefault="00C47C6D" w:rsidP="00061B89">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Dado que el recurso de apelación fue presentado y admitido en vigencia del C.G.P., el trámite procesal que debía dársele al mismo consistía en citar a la audiencia de alegaciones y fallo en segunda instancia de que trata el artículo 327 del C.G.P. </w:t>
            </w:r>
          </w:p>
          <w:p w14:paraId="67ED3EB8" w14:textId="40B21D62" w:rsidR="00C47C6D" w:rsidRPr="00C47C6D" w:rsidRDefault="00C47C6D" w:rsidP="00061B89">
            <w:pPr>
              <w:jc w:val="both"/>
              <w:rPr>
                <w:rFonts w:ascii="Arial" w:hAnsi="Arial" w:cs="Arial"/>
                <w:color w:val="2F5496" w:themeColor="accent1" w:themeShade="BF"/>
                <w:sz w:val="20"/>
                <w:szCs w:val="20"/>
                <w:lang w:val="es-ES"/>
              </w:rPr>
            </w:pPr>
          </w:p>
        </w:tc>
        <w:tc>
          <w:tcPr>
            <w:tcW w:w="5103" w:type="dxa"/>
          </w:tcPr>
          <w:p w14:paraId="2AF92A5C" w14:textId="77777777" w:rsidR="004814FB" w:rsidRPr="00E46F32" w:rsidRDefault="004814FB" w:rsidP="00061B89">
            <w:pPr>
              <w:jc w:val="both"/>
              <w:rPr>
                <w:rFonts w:ascii="Arial" w:hAnsi="Arial" w:cs="Arial"/>
                <w:color w:val="7030A0"/>
                <w:sz w:val="20"/>
                <w:szCs w:val="20"/>
                <w:lang w:val="es-ES"/>
              </w:rPr>
            </w:pPr>
          </w:p>
          <w:p w14:paraId="1F29FF7F" w14:textId="77777777" w:rsidR="00E46F32" w:rsidRDefault="00E46F32" w:rsidP="00061B89">
            <w:pPr>
              <w:jc w:val="both"/>
              <w:rPr>
                <w:rFonts w:ascii="Arial" w:hAnsi="Arial" w:cs="Arial"/>
                <w:color w:val="7030A0"/>
                <w:sz w:val="20"/>
                <w:szCs w:val="20"/>
                <w:lang w:val="es-ES"/>
              </w:rPr>
            </w:pPr>
            <w:r w:rsidRPr="00E46F32">
              <w:rPr>
                <w:rFonts w:ascii="Arial" w:hAnsi="Arial" w:cs="Arial"/>
                <w:color w:val="7030A0"/>
                <w:sz w:val="20"/>
                <w:szCs w:val="20"/>
                <w:lang w:val="es-ES"/>
              </w:rPr>
              <w:t xml:space="preserve">Artículo 40 Ley 153 de 1887 y Art 624 del CGP: </w:t>
            </w:r>
          </w:p>
          <w:p w14:paraId="67CBA622" w14:textId="77777777" w:rsidR="00E46F32" w:rsidRDefault="00E46F32" w:rsidP="00061B89">
            <w:pPr>
              <w:jc w:val="both"/>
              <w:rPr>
                <w:rFonts w:ascii="Arial" w:hAnsi="Arial" w:cs="Arial"/>
                <w:color w:val="7030A0"/>
                <w:sz w:val="20"/>
                <w:szCs w:val="20"/>
                <w:lang w:val="es-ES"/>
              </w:rPr>
            </w:pPr>
          </w:p>
          <w:p w14:paraId="08FFF581" w14:textId="77777777" w:rsidR="00E46F32" w:rsidRDefault="00E46F32" w:rsidP="00061B89">
            <w:pPr>
              <w:jc w:val="both"/>
              <w:rPr>
                <w:rFonts w:ascii="Arial" w:hAnsi="Arial" w:cs="Arial"/>
                <w:color w:val="7030A0"/>
                <w:sz w:val="20"/>
                <w:szCs w:val="20"/>
                <w:lang w:val="es-ES"/>
              </w:rPr>
            </w:pPr>
            <w:r w:rsidRPr="00E46F32">
              <w:rPr>
                <w:rFonts w:ascii="Arial" w:hAnsi="Arial" w:cs="Arial"/>
                <w:color w:val="7030A0"/>
                <w:sz w:val="20"/>
                <w:szCs w:val="20"/>
                <w:lang w:val="es-ES"/>
              </w:rPr>
              <w:t>Las leyes concernientes a la sustanciación y ritualidad de los juicios prevalecen sobre las anteriores desde el momento en que deben empezar a regir.</w:t>
            </w:r>
          </w:p>
          <w:p w14:paraId="0B40BAB8" w14:textId="77777777" w:rsidR="00E46F32" w:rsidRDefault="00E46F32" w:rsidP="00061B89">
            <w:pPr>
              <w:jc w:val="both"/>
              <w:rPr>
                <w:rFonts w:ascii="Arial" w:hAnsi="Arial" w:cs="Arial"/>
                <w:color w:val="7030A0"/>
                <w:sz w:val="20"/>
                <w:szCs w:val="20"/>
                <w:lang w:val="es-ES"/>
              </w:rPr>
            </w:pPr>
          </w:p>
          <w:p w14:paraId="4A219FA9" w14:textId="48F83027" w:rsidR="00E46F32" w:rsidRDefault="00E46F32" w:rsidP="00061B89">
            <w:pPr>
              <w:jc w:val="both"/>
              <w:rPr>
                <w:rFonts w:ascii="Arial" w:hAnsi="Arial" w:cs="Arial"/>
                <w:b/>
                <w:bCs/>
                <w:color w:val="7030A0"/>
                <w:sz w:val="20"/>
                <w:szCs w:val="20"/>
                <w:u w:val="single"/>
                <w:lang w:val="es-ES"/>
              </w:rPr>
            </w:pPr>
            <w:r w:rsidRPr="00E46F32">
              <w:rPr>
                <w:rFonts w:ascii="Arial" w:hAnsi="Arial" w:cs="Arial"/>
                <w:color w:val="7030A0"/>
                <w:sz w:val="20"/>
                <w:szCs w:val="20"/>
                <w:lang w:val="es-ES"/>
              </w:rPr>
              <w:t>Sin embargo, los recursos interpuestos</w:t>
            </w:r>
            <w:r>
              <w:rPr>
                <w:rFonts w:ascii="Arial" w:hAnsi="Arial" w:cs="Arial"/>
                <w:color w:val="7030A0"/>
                <w:sz w:val="20"/>
                <w:szCs w:val="20"/>
                <w:lang w:val="es-ES"/>
              </w:rPr>
              <w:t xml:space="preserve">… </w:t>
            </w:r>
            <w:r w:rsidRPr="00E46F32">
              <w:rPr>
                <w:rFonts w:ascii="Arial" w:hAnsi="Arial" w:cs="Arial"/>
                <w:b/>
                <w:bCs/>
                <w:color w:val="7030A0"/>
                <w:sz w:val="20"/>
                <w:szCs w:val="20"/>
                <w:u w:val="single"/>
                <w:lang w:val="es-ES"/>
              </w:rPr>
              <w:t>s</w:t>
            </w:r>
            <w:r w:rsidRPr="00E46F32">
              <w:rPr>
                <w:rFonts w:ascii="Arial" w:hAnsi="Arial" w:cs="Arial"/>
                <w:b/>
                <w:bCs/>
                <w:color w:val="7030A0"/>
                <w:sz w:val="20"/>
                <w:szCs w:val="20"/>
                <w:u w:val="single"/>
                <w:lang w:val="es-ES"/>
              </w:rPr>
              <w:t>e regirán por las leyes vigentes cuando se interpusieron los recursos</w:t>
            </w:r>
            <w:r>
              <w:rPr>
                <w:rFonts w:ascii="Arial" w:hAnsi="Arial" w:cs="Arial"/>
                <w:b/>
                <w:bCs/>
                <w:color w:val="7030A0"/>
                <w:sz w:val="20"/>
                <w:szCs w:val="20"/>
                <w:u w:val="single"/>
                <w:lang w:val="es-ES"/>
              </w:rPr>
              <w:t xml:space="preserve">. </w:t>
            </w:r>
          </w:p>
          <w:p w14:paraId="138C0558" w14:textId="27458B03" w:rsidR="00E46F32" w:rsidRPr="00E46F32" w:rsidRDefault="00E46F32" w:rsidP="00061B89">
            <w:pPr>
              <w:jc w:val="both"/>
              <w:rPr>
                <w:rFonts w:ascii="Arial" w:hAnsi="Arial" w:cs="Arial"/>
                <w:color w:val="7030A0"/>
                <w:sz w:val="20"/>
                <w:szCs w:val="20"/>
                <w:lang w:val="es-ES"/>
              </w:rPr>
            </w:pPr>
          </w:p>
        </w:tc>
      </w:tr>
      <w:tr w:rsidR="00214D80" w:rsidRPr="00014F59" w14:paraId="661A0CA6" w14:textId="77777777" w:rsidTr="00214D80">
        <w:tc>
          <w:tcPr>
            <w:tcW w:w="6232" w:type="dxa"/>
          </w:tcPr>
          <w:p w14:paraId="3EEF4A0D" w14:textId="41F889CC" w:rsidR="004814FB" w:rsidRPr="001D2969" w:rsidRDefault="001D2969" w:rsidP="00061B89">
            <w:pPr>
              <w:pStyle w:val="Prrafodelista"/>
              <w:numPr>
                <w:ilvl w:val="0"/>
                <w:numId w:val="2"/>
              </w:numPr>
              <w:ind w:left="360"/>
              <w:jc w:val="both"/>
              <w:rPr>
                <w:rFonts w:ascii="Arial" w:hAnsi="Arial" w:cs="Arial"/>
                <w:sz w:val="20"/>
                <w:szCs w:val="20"/>
                <w:lang w:val="es-ES"/>
              </w:rPr>
            </w:pPr>
            <w:r w:rsidRPr="001D2969">
              <w:rPr>
                <w:rFonts w:ascii="Arial" w:hAnsi="Arial" w:cs="Arial"/>
                <w:sz w:val="20"/>
                <w:szCs w:val="20"/>
                <w:lang w:val="es-ES"/>
              </w:rPr>
              <w:t xml:space="preserve">El </w:t>
            </w:r>
            <w:r w:rsidRPr="001D2969">
              <w:rPr>
                <w:rFonts w:ascii="Arial" w:hAnsi="Arial" w:cs="Arial"/>
                <w:b/>
                <w:bCs/>
                <w:sz w:val="20"/>
                <w:szCs w:val="20"/>
                <w:lang w:val="es-ES"/>
              </w:rPr>
              <w:t xml:space="preserve">25 de enero de 2021 </w:t>
            </w:r>
            <w:r w:rsidRPr="001D2969">
              <w:rPr>
                <w:rFonts w:ascii="Arial" w:hAnsi="Arial" w:cs="Arial"/>
                <w:sz w:val="20"/>
                <w:szCs w:val="20"/>
                <w:lang w:val="es-ES"/>
              </w:rPr>
              <w:t xml:space="preserve">a través de auto notificado el </w:t>
            </w:r>
            <w:r w:rsidRPr="001D2969">
              <w:rPr>
                <w:rFonts w:ascii="Arial" w:hAnsi="Arial" w:cs="Arial"/>
                <w:b/>
                <w:bCs/>
                <w:sz w:val="20"/>
                <w:szCs w:val="20"/>
                <w:lang w:val="es-ES"/>
              </w:rPr>
              <w:t>26 de enero de 2021</w:t>
            </w:r>
            <w:r w:rsidRPr="001D2969">
              <w:rPr>
                <w:rFonts w:ascii="Arial" w:hAnsi="Arial" w:cs="Arial"/>
                <w:sz w:val="20"/>
                <w:szCs w:val="20"/>
                <w:lang w:val="es-ES"/>
              </w:rPr>
              <w:t xml:space="preserve">, el Tribunal Superior de Villavicencio ordenó sustentar los reparos en un término de 5 días hábiles. </w:t>
            </w:r>
          </w:p>
        </w:tc>
        <w:tc>
          <w:tcPr>
            <w:tcW w:w="6521" w:type="dxa"/>
          </w:tcPr>
          <w:p w14:paraId="363B3231" w14:textId="77777777" w:rsidR="004814FB" w:rsidRDefault="004814FB" w:rsidP="00061B89">
            <w:pPr>
              <w:jc w:val="both"/>
              <w:rPr>
                <w:rFonts w:ascii="Arial" w:hAnsi="Arial" w:cs="Arial"/>
                <w:sz w:val="20"/>
                <w:szCs w:val="20"/>
                <w:lang w:val="es-ES"/>
              </w:rPr>
            </w:pPr>
          </w:p>
          <w:p w14:paraId="76EA2E1F" w14:textId="77777777" w:rsidR="005A6D30" w:rsidRDefault="005A6D30" w:rsidP="00061B89">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El presente auto contiene dos errores flagrantes: </w:t>
            </w:r>
          </w:p>
          <w:p w14:paraId="21F3C053" w14:textId="77777777" w:rsidR="005A6D30" w:rsidRDefault="005A6D30" w:rsidP="00061B89">
            <w:pPr>
              <w:jc w:val="both"/>
              <w:rPr>
                <w:rFonts w:ascii="Arial" w:hAnsi="Arial" w:cs="Arial"/>
                <w:color w:val="2F5496" w:themeColor="accent1" w:themeShade="BF"/>
                <w:sz w:val="20"/>
                <w:szCs w:val="20"/>
                <w:lang w:val="es-ES"/>
              </w:rPr>
            </w:pPr>
          </w:p>
          <w:p w14:paraId="51806C57" w14:textId="227B7227" w:rsidR="00263843" w:rsidRDefault="00263843" w:rsidP="00061B89">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 El </w:t>
            </w:r>
            <w:r w:rsidRPr="007A69A0">
              <w:rPr>
                <w:rFonts w:ascii="Arial" w:hAnsi="Arial" w:cs="Arial"/>
                <w:b/>
                <w:bCs/>
                <w:color w:val="2F5496" w:themeColor="accent1" w:themeShade="BF"/>
                <w:sz w:val="20"/>
                <w:szCs w:val="20"/>
                <w:u w:val="single"/>
                <w:lang w:val="es-ES"/>
              </w:rPr>
              <w:t>primero</w:t>
            </w:r>
            <w:r>
              <w:rPr>
                <w:rFonts w:ascii="Arial" w:hAnsi="Arial" w:cs="Arial"/>
                <w:color w:val="2F5496" w:themeColor="accent1" w:themeShade="BF"/>
                <w:sz w:val="20"/>
                <w:szCs w:val="20"/>
                <w:lang w:val="es-ES"/>
              </w:rPr>
              <w:t>, que como el recurso había sido presentado</w:t>
            </w:r>
            <w:r w:rsidR="007A69A0">
              <w:rPr>
                <w:rFonts w:ascii="Arial" w:hAnsi="Arial" w:cs="Arial"/>
                <w:color w:val="2F5496" w:themeColor="accent1" w:themeShade="BF"/>
                <w:sz w:val="20"/>
                <w:szCs w:val="20"/>
                <w:lang w:val="es-ES"/>
              </w:rPr>
              <w:t xml:space="preserve"> en el año 2018</w:t>
            </w:r>
            <w:r>
              <w:rPr>
                <w:rFonts w:ascii="Arial" w:hAnsi="Arial" w:cs="Arial"/>
                <w:color w:val="2F5496" w:themeColor="accent1" w:themeShade="BF"/>
                <w:sz w:val="20"/>
                <w:szCs w:val="20"/>
                <w:lang w:val="es-ES"/>
              </w:rPr>
              <w:t xml:space="preserve"> en vigencia del C.G.P., no había lugar a correr traslado para alegar por escrito. Lo jurídicamente acertado, según lo vimos, era citar</w:t>
            </w:r>
            <w:r w:rsidR="007A69A0">
              <w:rPr>
                <w:rFonts w:ascii="Arial" w:hAnsi="Arial" w:cs="Arial"/>
                <w:color w:val="2F5496" w:themeColor="accent1" w:themeShade="BF"/>
                <w:sz w:val="20"/>
                <w:szCs w:val="20"/>
                <w:lang w:val="es-ES"/>
              </w:rPr>
              <w:t xml:space="preserve"> para</w:t>
            </w:r>
            <w:r>
              <w:rPr>
                <w:rFonts w:ascii="Arial" w:hAnsi="Arial" w:cs="Arial"/>
                <w:color w:val="2F5496" w:themeColor="accent1" w:themeShade="BF"/>
                <w:sz w:val="20"/>
                <w:szCs w:val="20"/>
                <w:lang w:val="es-ES"/>
              </w:rPr>
              <w:t xml:space="preserve"> fecha de alegaciones y fallo en segunda instancia como lo preceptúa el artículo 372 del C.G.P.</w:t>
            </w:r>
          </w:p>
          <w:p w14:paraId="2C49AFC7" w14:textId="77777777" w:rsidR="00263843" w:rsidRDefault="00263843" w:rsidP="00061B89">
            <w:pPr>
              <w:jc w:val="both"/>
              <w:rPr>
                <w:rFonts w:ascii="Arial" w:hAnsi="Arial" w:cs="Arial"/>
                <w:color w:val="2F5496" w:themeColor="accent1" w:themeShade="BF"/>
                <w:sz w:val="20"/>
                <w:szCs w:val="20"/>
                <w:lang w:val="es-ES"/>
              </w:rPr>
            </w:pPr>
          </w:p>
          <w:p w14:paraId="0A841FE9" w14:textId="3E1588B5" w:rsidR="00263843" w:rsidRDefault="00263843" w:rsidP="00061B89">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 </w:t>
            </w:r>
            <w:r w:rsidR="007A69A0">
              <w:rPr>
                <w:rFonts w:ascii="Arial" w:hAnsi="Arial" w:cs="Arial"/>
                <w:color w:val="2F5496" w:themeColor="accent1" w:themeShade="BF"/>
                <w:sz w:val="20"/>
                <w:szCs w:val="20"/>
                <w:lang w:val="es-ES"/>
              </w:rPr>
              <w:t xml:space="preserve">El </w:t>
            </w:r>
            <w:r w:rsidR="007A69A0" w:rsidRPr="007A69A0">
              <w:rPr>
                <w:rFonts w:ascii="Arial" w:hAnsi="Arial" w:cs="Arial"/>
                <w:b/>
                <w:bCs/>
                <w:color w:val="2F5496" w:themeColor="accent1" w:themeShade="BF"/>
                <w:sz w:val="20"/>
                <w:szCs w:val="20"/>
                <w:u w:val="single"/>
                <w:lang w:val="es-ES"/>
              </w:rPr>
              <w:t>segundo</w:t>
            </w:r>
            <w:r w:rsidR="007A69A0">
              <w:rPr>
                <w:rFonts w:ascii="Arial" w:hAnsi="Arial" w:cs="Arial"/>
                <w:color w:val="2F5496" w:themeColor="accent1" w:themeShade="BF"/>
                <w:sz w:val="20"/>
                <w:szCs w:val="20"/>
                <w:lang w:val="es-ES"/>
              </w:rPr>
              <w:t xml:space="preserve">, </w:t>
            </w:r>
            <w:proofErr w:type="gramStart"/>
            <w:r w:rsidR="007A69A0">
              <w:rPr>
                <w:rFonts w:ascii="Arial" w:hAnsi="Arial" w:cs="Arial"/>
                <w:color w:val="2F5496" w:themeColor="accent1" w:themeShade="BF"/>
                <w:sz w:val="20"/>
                <w:szCs w:val="20"/>
                <w:lang w:val="es-ES"/>
              </w:rPr>
              <w:t>que</w:t>
            </w:r>
            <w:proofErr w:type="gramEnd"/>
            <w:r w:rsidR="007A69A0">
              <w:rPr>
                <w:rFonts w:ascii="Arial" w:hAnsi="Arial" w:cs="Arial"/>
                <w:color w:val="2F5496" w:themeColor="accent1" w:themeShade="BF"/>
                <w:sz w:val="20"/>
                <w:szCs w:val="20"/>
                <w:lang w:val="es-ES"/>
              </w:rPr>
              <w:t xml:space="preserve"> si su intención consistía en aplicar el artículo 14 del decreto 806 de 2020, que no era lo correcto, de todas maneras olvidó </w:t>
            </w:r>
            <w:r w:rsidR="00F1270B">
              <w:rPr>
                <w:rFonts w:ascii="Arial" w:hAnsi="Arial" w:cs="Arial"/>
                <w:color w:val="2F5496" w:themeColor="accent1" w:themeShade="BF"/>
                <w:sz w:val="20"/>
                <w:szCs w:val="20"/>
                <w:lang w:val="es-ES"/>
              </w:rPr>
              <w:t>emplear</w:t>
            </w:r>
            <w:r w:rsidR="007A69A0">
              <w:rPr>
                <w:rFonts w:ascii="Arial" w:hAnsi="Arial" w:cs="Arial"/>
                <w:color w:val="2F5496" w:themeColor="accent1" w:themeShade="BF"/>
                <w:sz w:val="20"/>
                <w:szCs w:val="20"/>
                <w:lang w:val="es-ES"/>
              </w:rPr>
              <w:t xml:space="preserve"> la norma en su integralidad. Efectivamente, el término de 5 días para sustentar el recurso de apelación debía iniciar una vez estuviera ejecutoriado el auto que admitía la apelación, y/o en este caso, el que corría traslado para alegar por escrito. </w:t>
            </w:r>
          </w:p>
          <w:p w14:paraId="7CF8B3A7" w14:textId="21E93432" w:rsidR="001D2969" w:rsidRPr="00014F59" w:rsidRDefault="001D2969" w:rsidP="00061B89">
            <w:pPr>
              <w:jc w:val="both"/>
              <w:rPr>
                <w:rFonts w:ascii="Arial" w:hAnsi="Arial" w:cs="Arial"/>
                <w:sz w:val="20"/>
                <w:szCs w:val="20"/>
                <w:lang w:val="es-ES"/>
              </w:rPr>
            </w:pPr>
            <w:r>
              <w:rPr>
                <w:rFonts w:ascii="Arial" w:hAnsi="Arial" w:cs="Arial"/>
                <w:color w:val="2F5496" w:themeColor="accent1" w:themeShade="BF"/>
                <w:sz w:val="20"/>
                <w:szCs w:val="20"/>
                <w:lang w:val="es-ES"/>
              </w:rPr>
              <w:t xml:space="preserve"> </w:t>
            </w:r>
          </w:p>
        </w:tc>
        <w:tc>
          <w:tcPr>
            <w:tcW w:w="5103" w:type="dxa"/>
          </w:tcPr>
          <w:p w14:paraId="0EC41AD2" w14:textId="77777777" w:rsidR="004814FB" w:rsidRDefault="004814FB" w:rsidP="00061B89">
            <w:pPr>
              <w:jc w:val="both"/>
              <w:rPr>
                <w:rFonts w:ascii="Arial" w:hAnsi="Arial" w:cs="Arial"/>
                <w:sz w:val="20"/>
                <w:szCs w:val="20"/>
                <w:lang w:val="es-ES"/>
              </w:rPr>
            </w:pPr>
          </w:p>
          <w:p w14:paraId="7803A2B7" w14:textId="77777777" w:rsidR="000816B7" w:rsidRPr="000816B7" w:rsidRDefault="000816B7" w:rsidP="00061B89">
            <w:pPr>
              <w:jc w:val="both"/>
              <w:rPr>
                <w:rFonts w:ascii="Arial" w:hAnsi="Arial" w:cs="Arial"/>
                <w:color w:val="7030A0"/>
                <w:sz w:val="20"/>
                <w:szCs w:val="20"/>
                <w:lang w:val="es-ES"/>
              </w:rPr>
            </w:pPr>
            <w:r w:rsidRPr="000816B7">
              <w:rPr>
                <w:rFonts w:ascii="Arial" w:hAnsi="Arial" w:cs="Arial"/>
                <w:color w:val="7030A0"/>
                <w:sz w:val="20"/>
                <w:szCs w:val="20"/>
                <w:lang w:val="es-ES"/>
              </w:rPr>
              <w:t xml:space="preserve">Artículo 14 Decreto 806 de 2020: </w:t>
            </w:r>
          </w:p>
          <w:p w14:paraId="3D785A2C" w14:textId="77777777" w:rsidR="000816B7" w:rsidRPr="000816B7" w:rsidRDefault="000816B7" w:rsidP="00061B89">
            <w:pPr>
              <w:jc w:val="both"/>
              <w:rPr>
                <w:rFonts w:ascii="Arial" w:hAnsi="Arial" w:cs="Arial"/>
                <w:color w:val="7030A0"/>
                <w:sz w:val="20"/>
                <w:szCs w:val="20"/>
                <w:lang w:val="es-ES"/>
              </w:rPr>
            </w:pPr>
          </w:p>
          <w:p w14:paraId="14524971" w14:textId="77777777" w:rsidR="000816B7" w:rsidRPr="000816B7" w:rsidRDefault="000816B7" w:rsidP="00061B89">
            <w:pPr>
              <w:jc w:val="both"/>
              <w:rPr>
                <w:rFonts w:ascii="Arial" w:hAnsi="Arial" w:cs="Arial"/>
                <w:color w:val="7030A0"/>
                <w:sz w:val="20"/>
                <w:szCs w:val="20"/>
                <w:lang w:val="es-ES"/>
              </w:rPr>
            </w:pPr>
            <w:r w:rsidRPr="000816B7">
              <w:rPr>
                <w:rFonts w:ascii="Arial" w:hAnsi="Arial" w:cs="Arial"/>
                <w:color w:val="7030A0"/>
                <w:sz w:val="20"/>
                <w:szCs w:val="20"/>
                <w:lang w:val="es-ES"/>
              </w:rPr>
              <w:t>El recurso de apelación contra sentencia en los procesos civiles y de familia, se tramitará así:</w:t>
            </w:r>
          </w:p>
          <w:p w14:paraId="072EEF2F" w14:textId="77777777" w:rsidR="000816B7" w:rsidRPr="000816B7" w:rsidRDefault="000816B7" w:rsidP="00061B89">
            <w:pPr>
              <w:jc w:val="both"/>
              <w:rPr>
                <w:rFonts w:ascii="Arial" w:hAnsi="Arial" w:cs="Arial"/>
                <w:color w:val="7030A0"/>
                <w:sz w:val="20"/>
                <w:szCs w:val="20"/>
                <w:lang w:val="es-ES"/>
              </w:rPr>
            </w:pPr>
          </w:p>
          <w:p w14:paraId="6C111330" w14:textId="3ACA8114" w:rsidR="000816B7" w:rsidRPr="00014F59" w:rsidRDefault="000816B7" w:rsidP="00061B89">
            <w:pPr>
              <w:jc w:val="both"/>
              <w:rPr>
                <w:rFonts w:ascii="Arial" w:hAnsi="Arial" w:cs="Arial"/>
                <w:sz w:val="20"/>
                <w:szCs w:val="20"/>
                <w:lang w:val="es-ES"/>
              </w:rPr>
            </w:pPr>
            <w:r w:rsidRPr="00F1270B">
              <w:rPr>
                <w:rFonts w:ascii="Arial" w:hAnsi="Arial" w:cs="Arial"/>
                <w:b/>
                <w:bCs/>
                <w:color w:val="7030A0"/>
                <w:sz w:val="20"/>
                <w:szCs w:val="20"/>
                <w:u w:val="single"/>
                <w:lang w:val="es-ES"/>
              </w:rPr>
              <w:t>Ejecutoriado el auto que admite el recurso</w:t>
            </w:r>
            <w:r w:rsidRPr="000816B7">
              <w:rPr>
                <w:rFonts w:ascii="Arial" w:hAnsi="Arial" w:cs="Arial"/>
                <w:color w:val="7030A0"/>
                <w:sz w:val="20"/>
                <w:szCs w:val="20"/>
                <w:lang w:val="es-ES"/>
              </w:rPr>
              <w:t xml:space="preserve"> o el que niega la solicitud de pruebas, el apelante deberá sustentar el recurso a más tardar dentro de los cinco (5) días siguientes</w:t>
            </w:r>
            <w:r>
              <w:rPr>
                <w:rFonts w:ascii="Open Sans" w:hAnsi="Open Sans" w:cs="Open Sans"/>
                <w:color w:val="4B4949"/>
                <w:sz w:val="18"/>
                <w:szCs w:val="18"/>
              </w:rPr>
              <w:t>.</w:t>
            </w:r>
          </w:p>
        </w:tc>
      </w:tr>
      <w:tr w:rsidR="00214D80" w:rsidRPr="00014F59" w14:paraId="20D21DD4" w14:textId="77777777" w:rsidTr="00214D80">
        <w:tc>
          <w:tcPr>
            <w:tcW w:w="6232" w:type="dxa"/>
          </w:tcPr>
          <w:p w14:paraId="12FC5793" w14:textId="77777777" w:rsidR="004814FB" w:rsidRDefault="004814FB" w:rsidP="00061B89">
            <w:pPr>
              <w:jc w:val="both"/>
              <w:rPr>
                <w:rFonts w:ascii="Arial" w:hAnsi="Arial" w:cs="Arial"/>
                <w:sz w:val="20"/>
                <w:szCs w:val="20"/>
                <w:lang w:val="es-ES"/>
              </w:rPr>
            </w:pPr>
          </w:p>
          <w:p w14:paraId="3CEB7D17" w14:textId="77777777" w:rsidR="005B3AE8" w:rsidRDefault="005B3AE8" w:rsidP="00061B89">
            <w:pPr>
              <w:jc w:val="both"/>
              <w:rPr>
                <w:rFonts w:ascii="Arial" w:hAnsi="Arial" w:cs="Arial"/>
                <w:sz w:val="20"/>
                <w:szCs w:val="20"/>
                <w:lang w:val="es-ES"/>
              </w:rPr>
            </w:pPr>
          </w:p>
          <w:p w14:paraId="7533D5A6" w14:textId="7B486B3B" w:rsidR="004B66A8" w:rsidRPr="00EB36CE" w:rsidRDefault="004B66A8" w:rsidP="00061B89">
            <w:pPr>
              <w:pStyle w:val="Prrafodelista"/>
              <w:numPr>
                <w:ilvl w:val="0"/>
                <w:numId w:val="2"/>
              </w:numPr>
              <w:ind w:left="360"/>
              <w:jc w:val="both"/>
              <w:rPr>
                <w:rFonts w:ascii="Arial" w:hAnsi="Arial" w:cs="Arial"/>
                <w:sz w:val="20"/>
                <w:szCs w:val="20"/>
                <w:lang w:val="es-ES"/>
              </w:rPr>
            </w:pPr>
            <w:r w:rsidRPr="00EB36CE">
              <w:rPr>
                <w:rFonts w:ascii="Arial" w:hAnsi="Arial" w:cs="Arial"/>
                <w:sz w:val="20"/>
                <w:szCs w:val="20"/>
                <w:lang w:val="es-ES"/>
              </w:rPr>
              <w:lastRenderedPageBreak/>
              <w:t xml:space="preserve">El </w:t>
            </w:r>
            <w:r w:rsidRPr="00EB36CE">
              <w:rPr>
                <w:rFonts w:ascii="Arial" w:hAnsi="Arial" w:cs="Arial"/>
                <w:b/>
                <w:bCs/>
                <w:sz w:val="20"/>
                <w:szCs w:val="20"/>
                <w:lang w:val="es-ES"/>
              </w:rPr>
              <w:t>04 de febrero de 2021</w:t>
            </w:r>
            <w:r w:rsidRPr="00EB36CE">
              <w:rPr>
                <w:rFonts w:ascii="Arial" w:hAnsi="Arial" w:cs="Arial"/>
                <w:sz w:val="20"/>
                <w:szCs w:val="20"/>
                <w:lang w:val="es-ES"/>
              </w:rPr>
              <w:t xml:space="preserve"> el apoderado de la Compañía Aseguradora presentó su escrito sustentando los reparos. </w:t>
            </w:r>
          </w:p>
          <w:p w14:paraId="10643205" w14:textId="5C73EDDF" w:rsidR="005B3AE8" w:rsidRPr="005B3AE8" w:rsidRDefault="005B3AE8" w:rsidP="00061B89">
            <w:pPr>
              <w:pStyle w:val="Prrafodelista"/>
              <w:jc w:val="both"/>
              <w:rPr>
                <w:rFonts w:ascii="Arial" w:hAnsi="Arial" w:cs="Arial"/>
                <w:sz w:val="20"/>
                <w:szCs w:val="20"/>
                <w:lang w:val="es-ES"/>
              </w:rPr>
            </w:pPr>
          </w:p>
        </w:tc>
        <w:tc>
          <w:tcPr>
            <w:tcW w:w="6521" w:type="dxa"/>
          </w:tcPr>
          <w:p w14:paraId="3AA70786" w14:textId="77777777" w:rsidR="004814FB" w:rsidRDefault="004814FB" w:rsidP="00061B89">
            <w:pPr>
              <w:jc w:val="both"/>
              <w:rPr>
                <w:rFonts w:ascii="Arial" w:hAnsi="Arial" w:cs="Arial"/>
                <w:sz w:val="20"/>
                <w:szCs w:val="20"/>
                <w:lang w:val="es-ES"/>
              </w:rPr>
            </w:pPr>
          </w:p>
          <w:p w14:paraId="6C341D98" w14:textId="77777777" w:rsidR="005B3AE8" w:rsidRDefault="005B3AE8" w:rsidP="00061B89">
            <w:pPr>
              <w:jc w:val="both"/>
              <w:rPr>
                <w:rFonts w:ascii="Arial" w:hAnsi="Arial" w:cs="Arial"/>
                <w:sz w:val="20"/>
                <w:szCs w:val="20"/>
                <w:lang w:val="es-ES"/>
              </w:rPr>
            </w:pPr>
          </w:p>
          <w:p w14:paraId="6D5B4CDD" w14:textId="77777777" w:rsidR="00EB36CE" w:rsidRPr="00EB36CE" w:rsidRDefault="00EB36CE" w:rsidP="00061B89">
            <w:pPr>
              <w:jc w:val="both"/>
              <w:rPr>
                <w:rFonts w:ascii="Arial" w:hAnsi="Arial" w:cs="Arial"/>
                <w:color w:val="2F5496" w:themeColor="accent1" w:themeShade="BF"/>
                <w:sz w:val="20"/>
                <w:szCs w:val="20"/>
                <w:lang w:val="es-ES"/>
              </w:rPr>
            </w:pPr>
            <w:r w:rsidRPr="00EB36CE">
              <w:rPr>
                <w:rFonts w:ascii="Arial" w:hAnsi="Arial" w:cs="Arial"/>
                <w:color w:val="2F5496" w:themeColor="accent1" w:themeShade="BF"/>
                <w:sz w:val="20"/>
                <w:szCs w:val="20"/>
                <w:lang w:val="es-ES"/>
              </w:rPr>
              <w:lastRenderedPageBreak/>
              <w:t xml:space="preserve">Para analizar si la sustentación de los reparos fue oportuna, es menester tener en cuenta las siguientes fechas: </w:t>
            </w:r>
          </w:p>
          <w:p w14:paraId="48DD593A" w14:textId="77777777" w:rsidR="00EB36CE" w:rsidRDefault="00EB36CE" w:rsidP="00061B89">
            <w:pPr>
              <w:jc w:val="both"/>
              <w:rPr>
                <w:rFonts w:ascii="Arial" w:hAnsi="Arial" w:cs="Arial"/>
                <w:sz w:val="20"/>
                <w:szCs w:val="20"/>
                <w:lang w:val="es-ES"/>
              </w:rPr>
            </w:pPr>
          </w:p>
          <w:p w14:paraId="2BAB6312" w14:textId="4D8E987D" w:rsidR="00EB36CE" w:rsidRPr="00C21F5C" w:rsidRDefault="00EB36CE" w:rsidP="00061B89">
            <w:pPr>
              <w:jc w:val="both"/>
              <w:rPr>
                <w:rFonts w:ascii="Arial" w:hAnsi="Arial" w:cs="Arial"/>
                <w:color w:val="2F5496" w:themeColor="accent1" w:themeShade="BF"/>
                <w:sz w:val="20"/>
                <w:szCs w:val="20"/>
                <w:lang w:val="es-ES"/>
              </w:rPr>
            </w:pPr>
            <w:r w:rsidRPr="00C21F5C">
              <w:rPr>
                <w:rFonts w:ascii="Arial" w:hAnsi="Arial" w:cs="Arial"/>
                <w:color w:val="2F5496" w:themeColor="accent1" w:themeShade="BF"/>
                <w:sz w:val="20"/>
                <w:szCs w:val="20"/>
                <w:lang w:val="es-ES"/>
              </w:rPr>
              <w:t xml:space="preserve">El auto que ordenó sustentar los reparos por escrito se notificó en estado del 26 de enero de 2021, es decir, que quedó ejecutoriado el </w:t>
            </w:r>
            <w:r w:rsidRPr="00C21F5C">
              <w:rPr>
                <w:rFonts w:ascii="Arial" w:hAnsi="Arial" w:cs="Arial"/>
                <w:b/>
                <w:bCs/>
                <w:color w:val="2F5496" w:themeColor="accent1" w:themeShade="BF"/>
                <w:sz w:val="20"/>
                <w:szCs w:val="20"/>
                <w:lang w:val="es-ES"/>
              </w:rPr>
              <w:t>29 de enero</w:t>
            </w:r>
            <w:r w:rsidRPr="00C21F5C">
              <w:rPr>
                <w:rFonts w:ascii="Arial" w:hAnsi="Arial" w:cs="Arial"/>
                <w:color w:val="2F5496" w:themeColor="accent1" w:themeShade="BF"/>
                <w:sz w:val="20"/>
                <w:szCs w:val="20"/>
                <w:lang w:val="es-ES"/>
              </w:rPr>
              <w:t xml:space="preserve"> de ese año. En tal virtud, los 5 días para sustentar los reparos vencían el </w:t>
            </w:r>
            <w:r w:rsidRPr="00C21F5C">
              <w:rPr>
                <w:rFonts w:ascii="Arial" w:hAnsi="Arial" w:cs="Arial"/>
                <w:b/>
                <w:bCs/>
                <w:color w:val="2F5496" w:themeColor="accent1" w:themeShade="BF"/>
                <w:sz w:val="20"/>
                <w:szCs w:val="20"/>
                <w:lang w:val="es-ES"/>
              </w:rPr>
              <w:t xml:space="preserve">5 de febrero de 2021. </w:t>
            </w:r>
          </w:p>
          <w:p w14:paraId="36F7F7A6" w14:textId="77777777" w:rsidR="00EB36CE" w:rsidRPr="00C21F5C" w:rsidRDefault="00EB36CE" w:rsidP="00061B89">
            <w:pPr>
              <w:jc w:val="both"/>
              <w:rPr>
                <w:rFonts w:ascii="Arial" w:hAnsi="Arial" w:cs="Arial"/>
                <w:color w:val="2F5496" w:themeColor="accent1" w:themeShade="BF"/>
                <w:sz w:val="20"/>
                <w:szCs w:val="20"/>
                <w:lang w:val="es-ES"/>
              </w:rPr>
            </w:pPr>
          </w:p>
          <w:p w14:paraId="14A85B88" w14:textId="68B20446" w:rsidR="00EB36CE" w:rsidRPr="00C21F5C" w:rsidRDefault="00EB36CE" w:rsidP="00061B89">
            <w:pPr>
              <w:jc w:val="both"/>
              <w:rPr>
                <w:rFonts w:ascii="Arial" w:hAnsi="Arial" w:cs="Arial"/>
                <w:color w:val="2F5496" w:themeColor="accent1" w:themeShade="BF"/>
                <w:sz w:val="20"/>
                <w:szCs w:val="20"/>
                <w:lang w:val="es-ES"/>
              </w:rPr>
            </w:pPr>
            <w:r w:rsidRPr="00C21F5C">
              <w:rPr>
                <w:rFonts w:ascii="Arial" w:hAnsi="Arial" w:cs="Arial"/>
                <w:color w:val="2F5496" w:themeColor="accent1" w:themeShade="BF"/>
                <w:sz w:val="20"/>
                <w:szCs w:val="20"/>
                <w:lang w:val="es-ES"/>
              </w:rPr>
              <w:t xml:space="preserve">En conclusión, la sustentación del recurso de apelación fue presentada tempestivamente. </w:t>
            </w:r>
          </w:p>
          <w:p w14:paraId="6EDFAB00" w14:textId="62A0AB6D" w:rsidR="005B3AE8" w:rsidRPr="00014F59" w:rsidRDefault="00EB36CE" w:rsidP="00061B89">
            <w:pPr>
              <w:jc w:val="both"/>
              <w:rPr>
                <w:rFonts w:ascii="Arial" w:hAnsi="Arial" w:cs="Arial"/>
                <w:sz w:val="20"/>
                <w:szCs w:val="20"/>
                <w:lang w:val="es-ES"/>
              </w:rPr>
            </w:pPr>
            <w:r>
              <w:rPr>
                <w:rFonts w:ascii="Arial" w:hAnsi="Arial" w:cs="Arial"/>
                <w:sz w:val="20"/>
                <w:szCs w:val="20"/>
                <w:lang w:val="es-ES"/>
              </w:rPr>
              <w:t xml:space="preserve"> </w:t>
            </w:r>
          </w:p>
        </w:tc>
        <w:tc>
          <w:tcPr>
            <w:tcW w:w="5103" w:type="dxa"/>
          </w:tcPr>
          <w:p w14:paraId="565C239A" w14:textId="77777777" w:rsidR="004814FB" w:rsidRDefault="004814FB" w:rsidP="00061B89">
            <w:pPr>
              <w:jc w:val="both"/>
              <w:rPr>
                <w:rFonts w:ascii="Arial" w:hAnsi="Arial" w:cs="Arial"/>
                <w:sz w:val="20"/>
                <w:szCs w:val="20"/>
                <w:lang w:val="es-ES"/>
              </w:rPr>
            </w:pPr>
          </w:p>
          <w:p w14:paraId="41407A67" w14:textId="77777777" w:rsidR="005B3AE8" w:rsidRDefault="005B3AE8" w:rsidP="00061B89">
            <w:pPr>
              <w:jc w:val="both"/>
              <w:rPr>
                <w:rFonts w:ascii="Arial" w:hAnsi="Arial" w:cs="Arial"/>
                <w:sz w:val="20"/>
                <w:szCs w:val="20"/>
                <w:lang w:val="es-ES"/>
              </w:rPr>
            </w:pPr>
          </w:p>
          <w:p w14:paraId="47F5B0E6" w14:textId="77777777" w:rsidR="005B3AE8" w:rsidRDefault="005B3AE8" w:rsidP="00061B89">
            <w:pPr>
              <w:jc w:val="both"/>
              <w:rPr>
                <w:rFonts w:ascii="Arial" w:hAnsi="Arial" w:cs="Arial"/>
                <w:sz w:val="20"/>
                <w:szCs w:val="20"/>
                <w:lang w:val="es-ES"/>
              </w:rPr>
            </w:pPr>
          </w:p>
          <w:p w14:paraId="6C83E002" w14:textId="77777777" w:rsidR="005C6111" w:rsidRDefault="005C6111" w:rsidP="00061B89">
            <w:pPr>
              <w:jc w:val="both"/>
              <w:rPr>
                <w:rFonts w:ascii="Arial" w:hAnsi="Arial" w:cs="Arial"/>
                <w:color w:val="7030A0"/>
                <w:sz w:val="20"/>
                <w:szCs w:val="20"/>
                <w:lang w:val="es-ES"/>
              </w:rPr>
            </w:pPr>
          </w:p>
          <w:p w14:paraId="176341C8" w14:textId="77777777" w:rsidR="005C6111" w:rsidRDefault="005C6111" w:rsidP="00061B89">
            <w:pPr>
              <w:jc w:val="both"/>
              <w:rPr>
                <w:rFonts w:ascii="Arial" w:hAnsi="Arial" w:cs="Arial"/>
                <w:color w:val="7030A0"/>
                <w:sz w:val="20"/>
                <w:szCs w:val="20"/>
                <w:lang w:val="es-ES"/>
              </w:rPr>
            </w:pPr>
          </w:p>
          <w:p w14:paraId="72B4C722" w14:textId="77777777" w:rsidR="005C6111" w:rsidRDefault="005C6111" w:rsidP="00061B89">
            <w:pPr>
              <w:jc w:val="both"/>
              <w:rPr>
                <w:rFonts w:ascii="Arial" w:hAnsi="Arial" w:cs="Arial"/>
                <w:color w:val="7030A0"/>
                <w:sz w:val="20"/>
                <w:szCs w:val="20"/>
                <w:lang w:val="es-ES"/>
              </w:rPr>
            </w:pPr>
          </w:p>
          <w:p w14:paraId="1CE155C9" w14:textId="77777777" w:rsidR="005C6111" w:rsidRDefault="005C6111" w:rsidP="00061B89">
            <w:pPr>
              <w:jc w:val="both"/>
              <w:rPr>
                <w:rFonts w:ascii="Arial" w:hAnsi="Arial" w:cs="Arial"/>
                <w:color w:val="7030A0"/>
                <w:sz w:val="20"/>
                <w:szCs w:val="20"/>
                <w:lang w:val="es-ES"/>
              </w:rPr>
            </w:pPr>
          </w:p>
          <w:p w14:paraId="379051F4" w14:textId="0A37BF45" w:rsidR="005C6111" w:rsidRPr="000816B7" w:rsidRDefault="005C6111" w:rsidP="00061B89">
            <w:pPr>
              <w:jc w:val="both"/>
              <w:rPr>
                <w:rFonts w:ascii="Arial" w:hAnsi="Arial" w:cs="Arial"/>
                <w:color w:val="7030A0"/>
                <w:sz w:val="20"/>
                <w:szCs w:val="20"/>
                <w:lang w:val="es-ES"/>
              </w:rPr>
            </w:pPr>
            <w:r w:rsidRPr="000816B7">
              <w:rPr>
                <w:rFonts w:ascii="Arial" w:hAnsi="Arial" w:cs="Arial"/>
                <w:color w:val="7030A0"/>
                <w:sz w:val="20"/>
                <w:szCs w:val="20"/>
                <w:lang w:val="es-ES"/>
              </w:rPr>
              <w:t>Artículo 14 Decreto 806 de 2020</w:t>
            </w:r>
            <w:r w:rsidR="00F15651">
              <w:rPr>
                <w:rFonts w:ascii="Arial" w:hAnsi="Arial" w:cs="Arial"/>
                <w:color w:val="7030A0"/>
                <w:sz w:val="20"/>
                <w:szCs w:val="20"/>
                <w:lang w:val="es-ES"/>
              </w:rPr>
              <w:t xml:space="preserve">. </w:t>
            </w:r>
          </w:p>
          <w:p w14:paraId="15B02041" w14:textId="77777777" w:rsidR="005C6111" w:rsidRPr="00014F59" w:rsidRDefault="005C6111" w:rsidP="00061B89">
            <w:pPr>
              <w:jc w:val="both"/>
              <w:rPr>
                <w:rFonts w:ascii="Arial" w:hAnsi="Arial" w:cs="Arial"/>
                <w:sz w:val="20"/>
                <w:szCs w:val="20"/>
                <w:lang w:val="es-ES"/>
              </w:rPr>
            </w:pPr>
          </w:p>
        </w:tc>
      </w:tr>
      <w:tr w:rsidR="008266C5" w:rsidRPr="00014F59" w14:paraId="5BB6C0F9" w14:textId="77777777" w:rsidTr="00214D80">
        <w:tc>
          <w:tcPr>
            <w:tcW w:w="6232" w:type="dxa"/>
          </w:tcPr>
          <w:p w14:paraId="2200BFE7" w14:textId="3073EFF6" w:rsidR="0099336B" w:rsidRPr="0099336B" w:rsidRDefault="0099336B" w:rsidP="00061B89">
            <w:pPr>
              <w:pStyle w:val="Prrafodelista"/>
              <w:numPr>
                <w:ilvl w:val="0"/>
                <w:numId w:val="2"/>
              </w:numPr>
              <w:ind w:left="360"/>
              <w:jc w:val="both"/>
              <w:rPr>
                <w:rFonts w:ascii="Arial" w:hAnsi="Arial" w:cs="Arial"/>
                <w:sz w:val="20"/>
                <w:szCs w:val="20"/>
                <w:lang w:val="es-ES"/>
              </w:rPr>
            </w:pPr>
            <w:r w:rsidRPr="0099336B">
              <w:rPr>
                <w:rFonts w:ascii="Arial" w:hAnsi="Arial" w:cs="Arial"/>
                <w:sz w:val="20"/>
                <w:szCs w:val="20"/>
                <w:lang w:val="es-ES"/>
              </w:rPr>
              <w:lastRenderedPageBreak/>
              <w:t xml:space="preserve">El </w:t>
            </w:r>
            <w:r w:rsidRPr="0099336B">
              <w:rPr>
                <w:rFonts w:ascii="Arial" w:hAnsi="Arial" w:cs="Arial"/>
                <w:b/>
                <w:bCs/>
                <w:sz w:val="20"/>
                <w:szCs w:val="20"/>
                <w:lang w:val="es-ES"/>
              </w:rPr>
              <w:t xml:space="preserve">01 de marzo de 2021 </w:t>
            </w:r>
            <w:r w:rsidRPr="0099336B">
              <w:rPr>
                <w:rFonts w:ascii="Arial" w:hAnsi="Arial" w:cs="Arial"/>
                <w:sz w:val="20"/>
                <w:szCs w:val="20"/>
                <w:lang w:val="es-ES"/>
              </w:rPr>
              <w:t xml:space="preserve">el Tribunal Superior de Villavicencio declaró desierto el recurso de apelación presentado por Axa Colpatria. </w:t>
            </w:r>
          </w:p>
          <w:p w14:paraId="798F522E" w14:textId="77777777" w:rsidR="008266C5" w:rsidRDefault="008266C5" w:rsidP="00061B89">
            <w:pPr>
              <w:jc w:val="both"/>
              <w:rPr>
                <w:rFonts w:ascii="Arial" w:hAnsi="Arial" w:cs="Arial"/>
                <w:sz w:val="20"/>
                <w:szCs w:val="20"/>
                <w:lang w:val="es-ES"/>
              </w:rPr>
            </w:pPr>
          </w:p>
        </w:tc>
        <w:tc>
          <w:tcPr>
            <w:tcW w:w="6521" w:type="dxa"/>
          </w:tcPr>
          <w:p w14:paraId="5287697B" w14:textId="0B038AD5" w:rsidR="00F15651" w:rsidRPr="00F15651" w:rsidRDefault="00F15651" w:rsidP="00061B89">
            <w:pPr>
              <w:jc w:val="both"/>
              <w:rPr>
                <w:rFonts w:ascii="Arial" w:hAnsi="Arial" w:cs="Arial"/>
                <w:color w:val="2F5496" w:themeColor="accent1" w:themeShade="BF"/>
                <w:sz w:val="20"/>
                <w:szCs w:val="20"/>
                <w:lang w:val="es-ES"/>
              </w:rPr>
            </w:pPr>
            <w:r w:rsidRPr="00F15651">
              <w:rPr>
                <w:rFonts w:ascii="Arial" w:hAnsi="Arial" w:cs="Arial"/>
                <w:color w:val="2F5496" w:themeColor="accent1" w:themeShade="BF"/>
                <w:sz w:val="20"/>
                <w:szCs w:val="20"/>
                <w:lang w:val="es-ES"/>
              </w:rPr>
              <w:t xml:space="preserve">Como se explicó previamente, esto fue un error porque </w:t>
            </w:r>
            <w:r w:rsidRPr="00F15651">
              <w:rPr>
                <w:rFonts w:ascii="Arial" w:hAnsi="Arial" w:cs="Arial"/>
                <w:color w:val="2F5496" w:themeColor="accent1" w:themeShade="BF"/>
                <w:sz w:val="20"/>
                <w:szCs w:val="20"/>
                <w:lang w:val="es-ES"/>
              </w:rPr>
              <w:t>la sustentación del recurso de apelación fue presentada</w:t>
            </w:r>
            <w:r w:rsidRPr="00F15651">
              <w:rPr>
                <w:rFonts w:ascii="Arial" w:hAnsi="Arial" w:cs="Arial"/>
                <w:color w:val="2F5496" w:themeColor="accent1" w:themeShade="BF"/>
                <w:sz w:val="20"/>
                <w:szCs w:val="20"/>
                <w:lang w:val="es-ES"/>
              </w:rPr>
              <w:t xml:space="preserve"> oportunamente</w:t>
            </w:r>
            <w:r w:rsidRPr="00F15651">
              <w:rPr>
                <w:rFonts w:ascii="Arial" w:hAnsi="Arial" w:cs="Arial"/>
                <w:color w:val="2F5496" w:themeColor="accent1" w:themeShade="BF"/>
                <w:sz w:val="20"/>
                <w:szCs w:val="20"/>
                <w:lang w:val="es-ES"/>
              </w:rPr>
              <w:t xml:space="preserve">. </w:t>
            </w:r>
          </w:p>
          <w:p w14:paraId="0A50B151" w14:textId="2FE66BA7" w:rsidR="008266C5" w:rsidRDefault="008266C5" w:rsidP="00061B89">
            <w:pPr>
              <w:jc w:val="both"/>
              <w:rPr>
                <w:rFonts w:ascii="Arial" w:hAnsi="Arial" w:cs="Arial"/>
                <w:sz w:val="20"/>
                <w:szCs w:val="20"/>
                <w:lang w:val="es-ES"/>
              </w:rPr>
            </w:pPr>
          </w:p>
        </w:tc>
        <w:tc>
          <w:tcPr>
            <w:tcW w:w="5103" w:type="dxa"/>
          </w:tcPr>
          <w:p w14:paraId="517FBC32" w14:textId="77777777" w:rsidR="006463A2" w:rsidRDefault="006463A2" w:rsidP="00061B89">
            <w:pPr>
              <w:jc w:val="both"/>
              <w:rPr>
                <w:rFonts w:ascii="Arial" w:hAnsi="Arial" w:cs="Arial"/>
                <w:color w:val="7030A0"/>
                <w:sz w:val="20"/>
                <w:szCs w:val="20"/>
                <w:lang w:val="es-ES"/>
              </w:rPr>
            </w:pPr>
          </w:p>
          <w:p w14:paraId="2BDCBF03" w14:textId="4E98A85C" w:rsidR="006463A2" w:rsidRPr="000816B7" w:rsidRDefault="006463A2" w:rsidP="00061B89">
            <w:pPr>
              <w:jc w:val="both"/>
              <w:rPr>
                <w:rFonts w:ascii="Arial" w:hAnsi="Arial" w:cs="Arial"/>
                <w:color w:val="7030A0"/>
                <w:sz w:val="20"/>
                <w:szCs w:val="20"/>
                <w:lang w:val="es-ES"/>
              </w:rPr>
            </w:pPr>
            <w:r w:rsidRPr="000816B7">
              <w:rPr>
                <w:rFonts w:ascii="Arial" w:hAnsi="Arial" w:cs="Arial"/>
                <w:color w:val="7030A0"/>
                <w:sz w:val="20"/>
                <w:szCs w:val="20"/>
                <w:lang w:val="es-ES"/>
              </w:rPr>
              <w:t>Artículo 14 Decreto 806 de 2020</w:t>
            </w:r>
            <w:r>
              <w:rPr>
                <w:rFonts w:ascii="Arial" w:hAnsi="Arial" w:cs="Arial"/>
                <w:color w:val="7030A0"/>
                <w:sz w:val="20"/>
                <w:szCs w:val="20"/>
                <w:lang w:val="es-ES"/>
              </w:rPr>
              <w:t xml:space="preserve">. </w:t>
            </w:r>
          </w:p>
          <w:p w14:paraId="54AF149D" w14:textId="77777777" w:rsidR="008266C5" w:rsidRDefault="008266C5" w:rsidP="00061B89">
            <w:pPr>
              <w:jc w:val="both"/>
              <w:rPr>
                <w:rFonts w:ascii="Arial" w:hAnsi="Arial" w:cs="Arial"/>
                <w:sz w:val="20"/>
                <w:szCs w:val="20"/>
                <w:lang w:val="es-ES"/>
              </w:rPr>
            </w:pPr>
          </w:p>
        </w:tc>
      </w:tr>
      <w:tr w:rsidR="008266C5" w:rsidRPr="00014F59" w14:paraId="00C321F3" w14:textId="77777777" w:rsidTr="00214D80">
        <w:tc>
          <w:tcPr>
            <w:tcW w:w="6232" w:type="dxa"/>
          </w:tcPr>
          <w:p w14:paraId="4E382175" w14:textId="1EE9B2EA" w:rsidR="00763256" w:rsidRPr="00763256" w:rsidRDefault="00763256" w:rsidP="00061B89">
            <w:pPr>
              <w:pStyle w:val="Prrafodelista"/>
              <w:numPr>
                <w:ilvl w:val="0"/>
                <w:numId w:val="2"/>
              </w:numPr>
              <w:ind w:left="360"/>
              <w:jc w:val="both"/>
              <w:rPr>
                <w:rFonts w:ascii="Arial" w:hAnsi="Arial" w:cs="Arial"/>
                <w:sz w:val="20"/>
                <w:szCs w:val="20"/>
                <w:lang w:val="es-ES"/>
              </w:rPr>
            </w:pPr>
            <w:r w:rsidRPr="00763256">
              <w:rPr>
                <w:rFonts w:ascii="Arial" w:hAnsi="Arial" w:cs="Arial"/>
                <w:sz w:val="20"/>
                <w:szCs w:val="20"/>
                <w:lang w:val="es-ES"/>
              </w:rPr>
              <w:t xml:space="preserve">El </w:t>
            </w:r>
            <w:r w:rsidRPr="00763256">
              <w:rPr>
                <w:rFonts w:ascii="Arial" w:hAnsi="Arial" w:cs="Arial"/>
                <w:b/>
                <w:bCs/>
                <w:sz w:val="20"/>
                <w:szCs w:val="20"/>
                <w:lang w:val="es-ES"/>
              </w:rPr>
              <w:t xml:space="preserve">05 de marzo de 2021 </w:t>
            </w:r>
            <w:r w:rsidRPr="00763256">
              <w:rPr>
                <w:rFonts w:ascii="Arial" w:hAnsi="Arial" w:cs="Arial"/>
                <w:sz w:val="20"/>
                <w:szCs w:val="20"/>
                <w:lang w:val="es-ES"/>
              </w:rPr>
              <w:t xml:space="preserve">el apoderado de Axa Colpatria presentó recurso </w:t>
            </w:r>
            <w:r w:rsidR="004A0960">
              <w:rPr>
                <w:rFonts w:ascii="Arial" w:hAnsi="Arial" w:cs="Arial"/>
                <w:sz w:val="20"/>
                <w:szCs w:val="20"/>
                <w:lang w:val="es-ES"/>
              </w:rPr>
              <w:t xml:space="preserve">de súplica </w:t>
            </w:r>
            <w:r w:rsidRPr="00763256">
              <w:rPr>
                <w:rFonts w:ascii="Arial" w:hAnsi="Arial" w:cs="Arial"/>
                <w:sz w:val="20"/>
                <w:szCs w:val="20"/>
                <w:lang w:val="es-ES"/>
              </w:rPr>
              <w:t xml:space="preserve">en contra de la decisión que declaró desierto el recurso de apelación. </w:t>
            </w:r>
          </w:p>
          <w:p w14:paraId="3E6284F2" w14:textId="77777777" w:rsidR="008266C5" w:rsidRDefault="008266C5" w:rsidP="00061B89">
            <w:pPr>
              <w:jc w:val="both"/>
              <w:rPr>
                <w:rFonts w:ascii="Arial" w:hAnsi="Arial" w:cs="Arial"/>
                <w:sz w:val="20"/>
                <w:szCs w:val="20"/>
                <w:lang w:val="es-ES"/>
              </w:rPr>
            </w:pPr>
          </w:p>
        </w:tc>
        <w:tc>
          <w:tcPr>
            <w:tcW w:w="6521" w:type="dxa"/>
          </w:tcPr>
          <w:p w14:paraId="64931A4B" w14:textId="780104B2" w:rsidR="008266C5" w:rsidRPr="004A0960" w:rsidRDefault="004A0960" w:rsidP="00061B89">
            <w:pPr>
              <w:jc w:val="both"/>
              <w:rPr>
                <w:rFonts w:ascii="Arial" w:hAnsi="Arial" w:cs="Arial"/>
                <w:color w:val="FF0000"/>
                <w:sz w:val="20"/>
                <w:szCs w:val="20"/>
                <w:lang w:val="es-ES"/>
              </w:rPr>
            </w:pPr>
            <w:r w:rsidRPr="004A0960">
              <w:rPr>
                <w:rFonts w:ascii="Arial" w:hAnsi="Arial" w:cs="Arial"/>
                <w:b/>
                <w:bCs/>
                <w:color w:val="FF0000"/>
                <w:sz w:val="20"/>
                <w:szCs w:val="20"/>
                <w:lang w:val="es-ES"/>
              </w:rPr>
              <w:t>No se mencionará en el testimonio</w:t>
            </w:r>
            <w:r>
              <w:rPr>
                <w:rFonts w:ascii="Arial" w:hAnsi="Arial" w:cs="Arial"/>
                <w:color w:val="FF0000"/>
                <w:sz w:val="20"/>
                <w:szCs w:val="20"/>
                <w:lang w:val="es-ES"/>
              </w:rPr>
              <w:t xml:space="preserve">, sin embargo, el recurso de súplica se fundamentó en la indebida aplicación por parte del Tribunal del artículo 9 del Decreto 806 de 2020. </w:t>
            </w:r>
          </w:p>
        </w:tc>
        <w:tc>
          <w:tcPr>
            <w:tcW w:w="5103" w:type="dxa"/>
          </w:tcPr>
          <w:p w14:paraId="25794420" w14:textId="05412B90" w:rsidR="004A0960" w:rsidRDefault="004A0960" w:rsidP="00061B89">
            <w:pPr>
              <w:jc w:val="both"/>
              <w:rPr>
                <w:rFonts w:ascii="Arial" w:hAnsi="Arial" w:cs="Arial"/>
                <w:color w:val="FF0000"/>
                <w:sz w:val="20"/>
                <w:szCs w:val="20"/>
                <w:lang w:val="es-ES"/>
              </w:rPr>
            </w:pPr>
            <w:r w:rsidRPr="004A0960">
              <w:rPr>
                <w:rFonts w:ascii="Arial" w:hAnsi="Arial" w:cs="Arial"/>
                <w:b/>
                <w:bCs/>
                <w:color w:val="FF0000"/>
                <w:sz w:val="20"/>
                <w:szCs w:val="20"/>
                <w:lang w:val="es-ES"/>
              </w:rPr>
              <w:t>No se mencionará en el testimonio</w:t>
            </w:r>
            <w:r w:rsidR="00931A48">
              <w:rPr>
                <w:rFonts w:ascii="Arial" w:hAnsi="Arial" w:cs="Arial"/>
                <w:b/>
                <w:bCs/>
                <w:color w:val="FF0000"/>
                <w:sz w:val="20"/>
                <w:szCs w:val="20"/>
                <w:lang w:val="es-ES"/>
              </w:rPr>
              <w:t xml:space="preserve">. </w:t>
            </w:r>
          </w:p>
          <w:p w14:paraId="39CCD151" w14:textId="77777777" w:rsidR="004A0960" w:rsidRDefault="004A0960" w:rsidP="00061B89">
            <w:pPr>
              <w:jc w:val="both"/>
              <w:rPr>
                <w:rFonts w:ascii="Arial" w:hAnsi="Arial" w:cs="Arial"/>
                <w:color w:val="FF0000"/>
                <w:sz w:val="20"/>
                <w:szCs w:val="20"/>
                <w:lang w:val="es-ES"/>
              </w:rPr>
            </w:pPr>
          </w:p>
          <w:p w14:paraId="7C067C6A" w14:textId="38373A85" w:rsidR="004A0960" w:rsidRPr="004A0960" w:rsidRDefault="004A0960" w:rsidP="00061B89">
            <w:pPr>
              <w:spacing w:after="0" w:line="240" w:lineRule="auto"/>
              <w:jc w:val="both"/>
              <w:rPr>
                <w:rFonts w:ascii="Arial" w:hAnsi="Arial" w:cs="Arial"/>
                <w:color w:val="FF0000"/>
                <w:sz w:val="20"/>
                <w:szCs w:val="20"/>
                <w:lang w:val="es-ES"/>
              </w:rPr>
            </w:pPr>
            <w:r w:rsidRPr="004A0960">
              <w:rPr>
                <w:rFonts w:ascii="Arial" w:hAnsi="Arial" w:cs="Arial"/>
                <w:color w:val="FF0000"/>
                <w:sz w:val="20"/>
                <w:szCs w:val="20"/>
                <w:lang w:val="es-ES"/>
              </w:rPr>
              <w:t xml:space="preserve">ARTÍCULO 9o. NOTIFICACIÓN POR ESTADO Y TRASLADOS. </w:t>
            </w:r>
            <w:r>
              <w:rPr>
                <w:rFonts w:ascii="Arial" w:hAnsi="Arial" w:cs="Arial"/>
                <w:color w:val="FF0000"/>
                <w:sz w:val="20"/>
                <w:szCs w:val="20"/>
                <w:lang w:val="es-ES"/>
              </w:rPr>
              <w:t>(…)</w:t>
            </w:r>
          </w:p>
          <w:p w14:paraId="46166B3B" w14:textId="77777777" w:rsidR="004A0960" w:rsidRDefault="004A0960" w:rsidP="00061B89">
            <w:pPr>
              <w:jc w:val="both"/>
              <w:rPr>
                <w:rFonts w:ascii="Arial" w:hAnsi="Arial" w:cs="Arial"/>
                <w:color w:val="FF0000"/>
                <w:sz w:val="20"/>
                <w:szCs w:val="20"/>
                <w:lang w:val="es-ES"/>
              </w:rPr>
            </w:pPr>
          </w:p>
          <w:p w14:paraId="7A649C0A" w14:textId="5D8C0B1C" w:rsidR="008266C5" w:rsidRDefault="004A0960" w:rsidP="00061B89">
            <w:pPr>
              <w:jc w:val="both"/>
              <w:rPr>
                <w:rFonts w:ascii="Arial" w:hAnsi="Arial" w:cs="Arial"/>
                <w:sz w:val="20"/>
                <w:szCs w:val="20"/>
                <w:lang w:val="es-ES"/>
              </w:rPr>
            </w:pPr>
            <w:r w:rsidRPr="004A0960">
              <w:rPr>
                <w:rFonts w:ascii="Arial" w:hAnsi="Arial" w:cs="Arial"/>
                <w:color w:val="FF0000"/>
                <w:sz w:val="20"/>
                <w:szCs w:val="20"/>
                <w:lang w:val="es-ES"/>
              </w:rPr>
              <w:t>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correr a partir del día siguiente.</w:t>
            </w:r>
          </w:p>
        </w:tc>
      </w:tr>
      <w:tr w:rsidR="008266C5" w:rsidRPr="00014F59" w14:paraId="129A1DBA" w14:textId="77777777" w:rsidTr="00214D80">
        <w:tc>
          <w:tcPr>
            <w:tcW w:w="6232" w:type="dxa"/>
          </w:tcPr>
          <w:p w14:paraId="3B991ED5" w14:textId="5E603860" w:rsidR="00910C4F" w:rsidRPr="00910C4F" w:rsidRDefault="00910C4F" w:rsidP="00061B89">
            <w:pPr>
              <w:pStyle w:val="Prrafodelista"/>
              <w:numPr>
                <w:ilvl w:val="0"/>
                <w:numId w:val="2"/>
              </w:numPr>
              <w:ind w:left="360"/>
              <w:jc w:val="both"/>
              <w:rPr>
                <w:rFonts w:ascii="Arial" w:hAnsi="Arial" w:cs="Arial"/>
                <w:sz w:val="20"/>
                <w:szCs w:val="20"/>
                <w:lang w:val="es-ES"/>
              </w:rPr>
            </w:pPr>
            <w:r w:rsidRPr="00910C4F">
              <w:rPr>
                <w:rFonts w:ascii="Arial" w:hAnsi="Arial" w:cs="Arial"/>
                <w:sz w:val="20"/>
                <w:szCs w:val="20"/>
                <w:lang w:val="es-ES"/>
              </w:rPr>
              <w:t xml:space="preserve">El </w:t>
            </w:r>
            <w:r w:rsidRPr="00910C4F">
              <w:rPr>
                <w:rFonts w:ascii="Arial" w:hAnsi="Arial" w:cs="Arial"/>
                <w:b/>
                <w:bCs/>
                <w:sz w:val="20"/>
                <w:szCs w:val="20"/>
                <w:lang w:val="es-ES"/>
              </w:rPr>
              <w:t>21 de abril de 2021</w:t>
            </w:r>
            <w:r w:rsidRPr="00910C4F">
              <w:rPr>
                <w:rFonts w:ascii="Arial" w:hAnsi="Arial" w:cs="Arial"/>
                <w:sz w:val="20"/>
                <w:szCs w:val="20"/>
                <w:lang w:val="es-ES"/>
              </w:rPr>
              <w:t xml:space="preserve"> el Tribunal Superior de Villavicencio confirmó el auto que había declarado desierto el recurso de apelación. </w:t>
            </w:r>
          </w:p>
          <w:p w14:paraId="5623421E" w14:textId="77777777" w:rsidR="008266C5" w:rsidRDefault="008266C5" w:rsidP="00061B89">
            <w:pPr>
              <w:jc w:val="both"/>
              <w:rPr>
                <w:rFonts w:ascii="Arial" w:hAnsi="Arial" w:cs="Arial"/>
                <w:sz w:val="20"/>
                <w:szCs w:val="20"/>
                <w:lang w:val="es-ES"/>
              </w:rPr>
            </w:pPr>
          </w:p>
        </w:tc>
        <w:tc>
          <w:tcPr>
            <w:tcW w:w="6521" w:type="dxa"/>
          </w:tcPr>
          <w:p w14:paraId="57FA912D" w14:textId="77777777" w:rsidR="006463A2" w:rsidRPr="00F15651" w:rsidRDefault="006463A2" w:rsidP="00061B89">
            <w:pPr>
              <w:jc w:val="both"/>
              <w:rPr>
                <w:rFonts w:ascii="Arial" w:hAnsi="Arial" w:cs="Arial"/>
                <w:color w:val="2F5496" w:themeColor="accent1" w:themeShade="BF"/>
                <w:sz w:val="20"/>
                <w:szCs w:val="20"/>
                <w:lang w:val="es-ES"/>
              </w:rPr>
            </w:pPr>
            <w:r w:rsidRPr="00F15651">
              <w:rPr>
                <w:rFonts w:ascii="Arial" w:hAnsi="Arial" w:cs="Arial"/>
                <w:color w:val="2F5496" w:themeColor="accent1" w:themeShade="BF"/>
                <w:sz w:val="20"/>
                <w:szCs w:val="20"/>
                <w:lang w:val="es-ES"/>
              </w:rPr>
              <w:t xml:space="preserve">Como se explicó previamente, esto fue un error porque la sustentación del recurso de apelación fue presentada oportunamente. </w:t>
            </w:r>
          </w:p>
          <w:p w14:paraId="21AC531D" w14:textId="77777777" w:rsidR="008266C5" w:rsidRDefault="008266C5" w:rsidP="00061B89">
            <w:pPr>
              <w:jc w:val="both"/>
              <w:rPr>
                <w:rFonts w:ascii="Arial" w:hAnsi="Arial" w:cs="Arial"/>
                <w:sz w:val="20"/>
                <w:szCs w:val="20"/>
                <w:lang w:val="es-ES"/>
              </w:rPr>
            </w:pPr>
          </w:p>
        </w:tc>
        <w:tc>
          <w:tcPr>
            <w:tcW w:w="5103" w:type="dxa"/>
          </w:tcPr>
          <w:p w14:paraId="610FB9BB" w14:textId="77777777" w:rsidR="006463A2" w:rsidRDefault="006463A2" w:rsidP="00061B89">
            <w:pPr>
              <w:jc w:val="both"/>
              <w:rPr>
                <w:rFonts w:ascii="Arial" w:hAnsi="Arial" w:cs="Arial"/>
                <w:color w:val="7030A0"/>
                <w:sz w:val="20"/>
                <w:szCs w:val="20"/>
                <w:lang w:val="es-ES"/>
              </w:rPr>
            </w:pPr>
          </w:p>
          <w:p w14:paraId="2C639DC9" w14:textId="04A8F6C6" w:rsidR="006463A2" w:rsidRPr="000816B7" w:rsidRDefault="006463A2" w:rsidP="00061B89">
            <w:pPr>
              <w:jc w:val="both"/>
              <w:rPr>
                <w:rFonts w:ascii="Arial" w:hAnsi="Arial" w:cs="Arial"/>
                <w:color w:val="7030A0"/>
                <w:sz w:val="20"/>
                <w:szCs w:val="20"/>
                <w:lang w:val="es-ES"/>
              </w:rPr>
            </w:pPr>
            <w:r w:rsidRPr="000816B7">
              <w:rPr>
                <w:rFonts w:ascii="Arial" w:hAnsi="Arial" w:cs="Arial"/>
                <w:color w:val="7030A0"/>
                <w:sz w:val="20"/>
                <w:szCs w:val="20"/>
                <w:lang w:val="es-ES"/>
              </w:rPr>
              <w:t>Artículo 14 Decreto 806 de 2020</w:t>
            </w:r>
            <w:r>
              <w:rPr>
                <w:rFonts w:ascii="Arial" w:hAnsi="Arial" w:cs="Arial"/>
                <w:color w:val="7030A0"/>
                <w:sz w:val="20"/>
                <w:szCs w:val="20"/>
                <w:lang w:val="es-ES"/>
              </w:rPr>
              <w:t xml:space="preserve">. </w:t>
            </w:r>
          </w:p>
          <w:p w14:paraId="6AFD4DAF" w14:textId="77777777" w:rsidR="008266C5" w:rsidRDefault="008266C5" w:rsidP="00061B89">
            <w:pPr>
              <w:jc w:val="both"/>
              <w:rPr>
                <w:rFonts w:ascii="Arial" w:hAnsi="Arial" w:cs="Arial"/>
                <w:sz w:val="20"/>
                <w:szCs w:val="20"/>
                <w:lang w:val="es-ES"/>
              </w:rPr>
            </w:pPr>
          </w:p>
        </w:tc>
      </w:tr>
      <w:tr w:rsidR="008266C5" w:rsidRPr="00014F59" w14:paraId="7F120DE1" w14:textId="77777777" w:rsidTr="00214D80">
        <w:tc>
          <w:tcPr>
            <w:tcW w:w="6232" w:type="dxa"/>
          </w:tcPr>
          <w:p w14:paraId="66251184" w14:textId="0F0707D9" w:rsidR="00CC11E0" w:rsidRPr="00CC11E0" w:rsidRDefault="00CC11E0" w:rsidP="00061B89">
            <w:pPr>
              <w:pStyle w:val="Prrafodelista"/>
              <w:numPr>
                <w:ilvl w:val="0"/>
                <w:numId w:val="2"/>
              </w:numPr>
              <w:ind w:left="360"/>
              <w:jc w:val="both"/>
              <w:rPr>
                <w:rFonts w:ascii="Arial" w:hAnsi="Arial" w:cs="Arial"/>
                <w:sz w:val="20"/>
                <w:szCs w:val="20"/>
                <w:lang w:val="es-ES"/>
              </w:rPr>
            </w:pPr>
            <w:r w:rsidRPr="00CC11E0">
              <w:rPr>
                <w:rFonts w:ascii="Arial" w:hAnsi="Arial" w:cs="Arial"/>
                <w:sz w:val="20"/>
                <w:szCs w:val="20"/>
                <w:lang w:val="es-ES"/>
              </w:rPr>
              <w:t xml:space="preserve">El </w:t>
            </w:r>
            <w:r w:rsidRPr="00CC11E0">
              <w:rPr>
                <w:rFonts w:ascii="Arial" w:hAnsi="Arial" w:cs="Arial"/>
                <w:b/>
                <w:bCs/>
                <w:sz w:val="20"/>
                <w:szCs w:val="20"/>
                <w:lang w:val="es-ES"/>
              </w:rPr>
              <w:t xml:space="preserve">18 de mayo de 2021, </w:t>
            </w:r>
            <w:r w:rsidRPr="00CC11E0">
              <w:rPr>
                <w:rFonts w:ascii="Arial" w:hAnsi="Arial" w:cs="Arial"/>
                <w:sz w:val="20"/>
                <w:szCs w:val="20"/>
                <w:lang w:val="es-ES"/>
              </w:rPr>
              <w:t>el Tribunal Superior de Villavicencio remitió el expediente al juzgado de origen.</w:t>
            </w:r>
          </w:p>
          <w:p w14:paraId="3D731275" w14:textId="77777777" w:rsidR="008266C5" w:rsidRDefault="008266C5" w:rsidP="00061B89">
            <w:pPr>
              <w:jc w:val="both"/>
              <w:rPr>
                <w:rFonts w:ascii="Arial" w:hAnsi="Arial" w:cs="Arial"/>
                <w:sz w:val="20"/>
                <w:szCs w:val="20"/>
                <w:lang w:val="es-ES"/>
              </w:rPr>
            </w:pPr>
          </w:p>
        </w:tc>
        <w:tc>
          <w:tcPr>
            <w:tcW w:w="6521" w:type="dxa"/>
          </w:tcPr>
          <w:p w14:paraId="0297DA97" w14:textId="009301F6" w:rsidR="00CC11E0" w:rsidRPr="00CC11E0" w:rsidRDefault="00CC11E0" w:rsidP="00061B89">
            <w:pPr>
              <w:jc w:val="both"/>
              <w:rPr>
                <w:rFonts w:ascii="Arial" w:hAnsi="Arial" w:cs="Arial"/>
                <w:color w:val="2F5496" w:themeColor="accent1" w:themeShade="BF"/>
                <w:sz w:val="20"/>
                <w:szCs w:val="20"/>
                <w:lang w:val="es-ES"/>
              </w:rPr>
            </w:pPr>
            <w:r w:rsidRPr="00CC11E0">
              <w:rPr>
                <w:rFonts w:ascii="Arial" w:hAnsi="Arial" w:cs="Arial"/>
                <w:color w:val="2F5496" w:themeColor="accent1" w:themeShade="BF"/>
                <w:sz w:val="20"/>
                <w:szCs w:val="20"/>
                <w:lang w:val="es-ES"/>
              </w:rPr>
              <w:t xml:space="preserve">Qué quiere decir que se haya enviado el expediente al juzgado de origen, que el Tribunal ya no tenía competencia para tomar ninguna clase de decisión dentro del proceso. </w:t>
            </w:r>
            <w:r>
              <w:rPr>
                <w:rFonts w:ascii="Arial" w:hAnsi="Arial" w:cs="Arial"/>
                <w:color w:val="2F5496" w:themeColor="accent1" w:themeShade="BF"/>
                <w:sz w:val="20"/>
                <w:szCs w:val="20"/>
                <w:lang w:val="es-ES"/>
              </w:rPr>
              <w:t xml:space="preserve"> </w:t>
            </w:r>
          </w:p>
        </w:tc>
        <w:tc>
          <w:tcPr>
            <w:tcW w:w="5103" w:type="dxa"/>
          </w:tcPr>
          <w:p w14:paraId="120BF56E" w14:textId="77777777" w:rsidR="00CC11E0" w:rsidRDefault="00CC11E0" w:rsidP="00061B89">
            <w:pPr>
              <w:jc w:val="both"/>
              <w:rPr>
                <w:rFonts w:ascii="Arial" w:hAnsi="Arial" w:cs="Arial"/>
                <w:color w:val="7030A0"/>
                <w:sz w:val="20"/>
                <w:szCs w:val="20"/>
                <w:lang w:val="es-ES"/>
              </w:rPr>
            </w:pPr>
          </w:p>
          <w:p w14:paraId="16A97C4B" w14:textId="495D0EC2" w:rsidR="008266C5" w:rsidRDefault="00CC11E0" w:rsidP="00061B89">
            <w:pPr>
              <w:jc w:val="both"/>
              <w:rPr>
                <w:rFonts w:ascii="Arial" w:hAnsi="Arial" w:cs="Arial"/>
                <w:sz w:val="20"/>
                <w:szCs w:val="20"/>
                <w:lang w:val="es-ES"/>
              </w:rPr>
            </w:pPr>
            <w:r w:rsidRPr="00CD77F5">
              <w:rPr>
                <w:rFonts w:ascii="Arial" w:hAnsi="Arial" w:cs="Arial"/>
                <w:color w:val="7030A0"/>
                <w:sz w:val="20"/>
                <w:szCs w:val="20"/>
                <w:lang w:val="es-ES"/>
              </w:rPr>
              <w:t>N/A</w:t>
            </w:r>
          </w:p>
        </w:tc>
      </w:tr>
      <w:tr w:rsidR="008266C5" w:rsidRPr="00014F59" w14:paraId="273C7B93" w14:textId="77777777" w:rsidTr="00214D80">
        <w:tc>
          <w:tcPr>
            <w:tcW w:w="6232" w:type="dxa"/>
          </w:tcPr>
          <w:p w14:paraId="004D70F3" w14:textId="53DE8D33" w:rsidR="008266C5" w:rsidRDefault="002B5707" w:rsidP="00061B89">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t xml:space="preserve">¿Cuál es el contexto con el que el Dr. Herrera y la firma recibieron el caso? </w:t>
            </w:r>
          </w:p>
          <w:p w14:paraId="583B95A1" w14:textId="77777777" w:rsidR="002B5707" w:rsidRDefault="002B5707" w:rsidP="00061B89">
            <w:pPr>
              <w:pStyle w:val="Prrafodelista"/>
              <w:ind w:left="360"/>
              <w:jc w:val="both"/>
              <w:rPr>
                <w:rFonts w:ascii="Arial" w:hAnsi="Arial" w:cs="Arial"/>
                <w:sz w:val="20"/>
                <w:szCs w:val="20"/>
                <w:lang w:val="es-ES"/>
              </w:rPr>
            </w:pPr>
          </w:p>
          <w:p w14:paraId="639B351E" w14:textId="230F470B" w:rsidR="002B5707" w:rsidRDefault="002B5707" w:rsidP="00061B89">
            <w:pPr>
              <w:pStyle w:val="Prrafodelista"/>
              <w:ind w:left="360"/>
              <w:jc w:val="both"/>
              <w:rPr>
                <w:rFonts w:ascii="Arial" w:hAnsi="Arial" w:cs="Arial"/>
                <w:sz w:val="20"/>
                <w:szCs w:val="20"/>
                <w:lang w:val="es-ES"/>
              </w:rPr>
            </w:pPr>
            <w:r>
              <w:rPr>
                <w:rFonts w:ascii="Arial" w:hAnsi="Arial" w:cs="Arial"/>
                <w:sz w:val="20"/>
                <w:szCs w:val="20"/>
                <w:lang w:val="es-ES"/>
              </w:rPr>
              <w:t xml:space="preserve">Síntesis de errores: </w:t>
            </w:r>
          </w:p>
          <w:p w14:paraId="25469A23" w14:textId="3954DDE4" w:rsidR="002B5707" w:rsidRPr="002B5707" w:rsidRDefault="002B5707" w:rsidP="00061B89">
            <w:pPr>
              <w:pStyle w:val="Prrafodelista"/>
              <w:ind w:left="360"/>
              <w:jc w:val="both"/>
              <w:rPr>
                <w:rFonts w:ascii="Arial" w:hAnsi="Arial" w:cs="Arial"/>
                <w:sz w:val="20"/>
                <w:szCs w:val="20"/>
                <w:lang w:val="es-ES"/>
              </w:rPr>
            </w:pPr>
          </w:p>
        </w:tc>
        <w:tc>
          <w:tcPr>
            <w:tcW w:w="6521" w:type="dxa"/>
          </w:tcPr>
          <w:p w14:paraId="3176C150" w14:textId="77777777" w:rsidR="00277548" w:rsidRPr="00277548" w:rsidRDefault="00277548" w:rsidP="00061B89">
            <w:pPr>
              <w:pStyle w:val="Prrafodelista"/>
              <w:jc w:val="both"/>
              <w:rPr>
                <w:rFonts w:ascii="Arial" w:hAnsi="Arial" w:cs="Arial"/>
                <w:color w:val="2F5496" w:themeColor="accent1" w:themeShade="BF"/>
                <w:sz w:val="20"/>
                <w:szCs w:val="20"/>
                <w:lang w:val="es-ES"/>
              </w:rPr>
            </w:pPr>
          </w:p>
          <w:p w14:paraId="66A2D720" w14:textId="3376F488" w:rsidR="00277548" w:rsidRPr="00277548" w:rsidRDefault="00277548" w:rsidP="00061B89">
            <w:pPr>
              <w:pStyle w:val="Prrafodelista"/>
              <w:numPr>
                <w:ilvl w:val="1"/>
                <w:numId w:val="2"/>
              </w:numPr>
              <w:ind w:left="360"/>
              <w:jc w:val="both"/>
              <w:rPr>
                <w:rFonts w:ascii="Arial" w:hAnsi="Arial" w:cs="Arial"/>
                <w:sz w:val="20"/>
                <w:szCs w:val="20"/>
                <w:lang w:val="es-ES"/>
              </w:rPr>
            </w:pPr>
            <w:r w:rsidRPr="00277548">
              <w:rPr>
                <w:rFonts w:ascii="Arial" w:hAnsi="Arial" w:cs="Arial"/>
                <w:color w:val="2F5496" w:themeColor="accent1" w:themeShade="BF"/>
                <w:sz w:val="20"/>
                <w:szCs w:val="20"/>
                <w:lang w:val="es-ES"/>
              </w:rPr>
              <w:t xml:space="preserve">La sentencia de primera instancia hizo efectivo el amparo por muerte del asegurado, aún cuando se encontraba vivo y era precisamente demandante en el proceso. </w:t>
            </w:r>
          </w:p>
          <w:p w14:paraId="4AA2CE85" w14:textId="25FB94CC" w:rsidR="00277548" w:rsidRPr="00277548" w:rsidRDefault="00277548" w:rsidP="00061B89">
            <w:pPr>
              <w:pStyle w:val="Prrafodelista"/>
              <w:ind w:left="360"/>
              <w:jc w:val="both"/>
              <w:rPr>
                <w:rFonts w:ascii="Arial" w:hAnsi="Arial" w:cs="Arial"/>
                <w:sz w:val="20"/>
                <w:szCs w:val="20"/>
                <w:lang w:val="es-ES"/>
              </w:rPr>
            </w:pPr>
          </w:p>
          <w:p w14:paraId="07DF8B9C" w14:textId="39F907BC" w:rsidR="00277548" w:rsidRDefault="00277548" w:rsidP="00061B89">
            <w:pPr>
              <w:pStyle w:val="Prrafodelista"/>
              <w:numPr>
                <w:ilvl w:val="1"/>
                <w:numId w:val="2"/>
              </w:numPr>
              <w:ind w:left="360"/>
              <w:jc w:val="both"/>
              <w:rPr>
                <w:rFonts w:ascii="Arial" w:hAnsi="Arial" w:cs="Arial"/>
                <w:color w:val="2F5496" w:themeColor="accent1" w:themeShade="BF"/>
                <w:sz w:val="20"/>
                <w:szCs w:val="20"/>
                <w:lang w:val="es-ES"/>
              </w:rPr>
            </w:pPr>
            <w:r w:rsidRPr="00DF7851">
              <w:rPr>
                <w:rFonts w:ascii="Arial" w:hAnsi="Arial" w:cs="Arial"/>
                <w:color w:val="2F5496" w:themeColor="accent1" w:themeShade="BF"/>
                <w:sz w:val="20"/>
                <w:szCs w:val="20"/>
                <w:lang w:val="es-ES"/>
              </w:rPr>
              <w:t xml:space="preserve">Pese a que el demandante no solicitó se le pagara el rendimiento del contrato, de forma ultra </w:t>
            </w:r>
            <w:proofErr w:type="spellStart"/>
            <w:r w:rsidRPr="00DF7851">
              <w:rPr>
                <w:rFonts w:ascii="Arial" w:hAnsi="Arial" w:cs="Arial"/>
                <w:color w:val="2F5496" w:themeColor="accent1" w:themeShade="BF"/>
                <w:sz w:val="20"/>
                <w:szCs w:val="20"/>
                <w:lang w:val="es-ES"/>
              </w:rPr>
              <w:t>petita</w:t>
            </w:r>
            <w:proofErr w:type="spellEnd"/>
            <w:r w:rsidRPr="00DF7851">
              <w:rPr>
                <w:rFonts w:ascii="Arial" w:hAnsi="Arial" w:cs="Arial"/>
                <w:color w:val="2F5496" w:themeColor="accent1" w:themeShade="BF"/>
                <w:sz w:val="20"/>
                <w:szCs w:val="20"/>
                <w:lang w:val="es-ES"/>
              </w:rPr>
              <w:t xml:space="preserve">, el juzgado de primera instancia se lo reconoció vulnerando el principio de congruencia. </w:t>
            </w:r>
          </w:p>
          <w:p w14:paraId="0C3E378C" w14:textId="77777777" w:rsidR="00DF7851" w:rsidRPr="00DF7851" w:rsidRDefault="00DF7851" w:rsidP="00061B89">
            <w:pPr>
              <w:pStyle w:val="Prrafodelista"/>
              <w:rPr>
                <w:rFonts w:ascii="Arial" w:hAnsi="Arial" w:cs="Arial"/>
                <w:color w:val="2F5496" w:themeColor="accent1" w:themeShade="BF"/>
                <w:sz w:val="20"/>
                <w:szCs w:val="20"/>
                <w:lang w:val="es-ES"/>
              </w:rPr>
            </w:pPr>
          </w:p>
          <w:p w14:paraId="455C97F4" w14:textId="69F53D0D" w:rsidR="00DF7851" w:rsidRDefault="00DF7851" w:rsidP="00061B89">
            <w:pPr>
              <w:pStyle w:val="Prrafodelista"/>
              <w:ind w:left="360"/>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lastRenderedPageBreak/>
              <w:t xml:space="preserve">Hasta acá se tenía una condena improcedente por </w:t>
            </w:r>
            <w:r w:rsidRPr="00DF7851">
              <w:rPr>
                <w:rFonts w:ascii="Arial" w:hAnsi="Arial" w:cs="Arial"/>
                <w:color w:val="2F5496" w:themeColor="accent1" w:themeShade="BF"/>
                <w:sz w:val="20"/>
                <w:szCs w:val="20"/>
                <w:lang w:val="es-ES"/>
              </w:rPr>
              <w:t>$2.066.483.629</w:t>
            </w:r>
            <w:r>
              <w:rPr>
                <w:rFonts w:ascii="Arial" w:hAnsi="Arial" w:cs="Arial"/>
                <w:color w:val="2F5496" w:themeColor="accent1" w:themeShade="BF"/>
                <w:sz w:val="20"/>
                <w:szCs w:val="20"/>
                <w:lang w:val="es-ES"/>
              </w:rPr>
              <w:t xml:space="preserve">. </w:t>
            </w:r>
            <w:r w:rsidRPr="00DF7851">
              <w:rPr>
                <w:rFonts w:ascii="Arial" w:hAnsi="Arial" w:cs="Arial"/>
                <w:color w:val="2F5496" w:themeColor="accent1" w:themeShade="BF"/>
                <w:sz w:val="20"/>
                <w:szCs w:val="20"/>
                <w:lang w:val="es-ES"/>
              </w:rPr>
              <w:t xml:space="preserve"> </w:t>
            </w:r>
            <w:r>
              <w:rPr>
                <w:rFonts w:ascii="Arial" w:hAnsi="Arial" w:cs="Arial"/>
                <w:color w:val="2F5496" w:themeColor="accent1" w:themeShade="BF"/>
                <w:sz w:val="20"/>
                <w:szCs w:val="20"/>
                <w:lang w:val="es-ES"/>
              </w:rPr>
              <w:t xml:space="preserve"> </w:t>
            </w:r>
          </w:p>
          <w:p w14:paraId="30DDC004" w14:textId="77777777" w:rsidR="00DF7851" w:rsidRPr="00DF7851" w:rsidRDefault="00DF7851" w:rsidP="00061B89">
            <w:pPr>
              <w:pStyle w:val="Prrafodelista"/>
              <w:rPr>
                <w:rFonts w:ascii="Arial" w:hAnsi="Arial" w:cs="Arial"/>
                <w:color w:val="2F5496" w:themeColor="accent1" w:themeShade="BF"/>
                <w:sz w:val="20"/>
                <w:szCs w:val="20"/>
                <w:lang w:val="es-ES"/>
              </w:rPr>
            </w:pPr>
          </w:p>
          <w:p w14:paraId="0F9DB963" w14:textId="74599FDA" w:rsidR="00DF7851" w:rsidRDefault="00CD2BD1" w:rsidP="00061B89">
            <w:pPr>
              <w:pStyle w:val="Prrafodelista"/>
              <w:numPr>
                <w:ilvl w:val="1"/>
                <w:numId w:val="2"/>
              </w:numPr>
              <w:ind w:left="360"/>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Aunque el recurso fue presentado en vigencia del C.G.P., y lo procedente era adelantar la audiencia de alegaciones de que trata el artículo 327, el Tribunal corrió traslado para alegar por escrito. </w:t>
            </w:r>
          </w:p>
          <w:p w14:paraId="652FAF52" w14:textId="07251AC2" w:rsidR="00CD2BD1" w:rsidRDefault="00CD2BD1" w:rsidP="00061B89">
            <w:pPr>
              <w:pStyle w:val="Prrafodelista"/>
              <w:ind w:left="360"/>
              <w:jc w:val="both"/>
              <w:rPr>
                <w:rFonts w:ascii="Arial" w:hAnsi="Arial" w:cs="Arial"/>
                <w:color w:val="2F5496" w:themeColor="accent1" w:themeShade="BF"/>
                <w:sz w:val="20"/>
                <w:szCs w:val="20"/>
                <w:lang w:val="es-ES"/>
              </w:rPr>
            </w:pPr>
          </w:p>
          <w:p w14:paraId="61153F2A" w14:textId="12D58C79" w:rsidR="00CD2BD1" w:rsidRDefault="003F095C" w:rsidP="00061B89">
            <w:pPr>
              <w:pStyle w:val="Prrafodelista"/>
              <w:numPr>
                <w:ilvl w:val="1"/>
                <w:numId w:val="2"/>
              </w:numPr>
              <w:ind w:left="360"/>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Pese a que el artículo 14 del Decreto 806 indica que el traslado de 5 días inicia una vez esté ejecutoriado el auto que admite, el Tribunal contabilizó el traslado para alegar desde la notificación en estado</w:t>
            </w:r>
            <w:r w:rsidR="00561EA7">
              <w:rPr>
                <w:rFonts w:ascii="Arial" w:hAnsi="Arial" w:cs="Arial"/>
                <w:color w:val="2F5496" w:themeColor="accent1" w:themeShade="BF"/>
                <w:sz w:val="20"/>
                <w:szCs w:val="20"/>
                <w:lang w:val="es-ES"/>
              </w:rPr>
              <w:t xml:space="preserve"> y no desde </w:t>
            </w:r>
            <w:r w:rsidR="005B236E">
              <w:rPr>
                <w:rFonts w:ascii="Arial" w:hAnsi="Arial" w:cs="Arial"/>
                <w:color w:val="2F5496" w:themeColor="accent1" w:themeShade="BF"/>
                <w:sz w:val="20"/>
                <w:szCs w:val="20"/>
                <w:lang w:val="es-ES"/>
              </w:rPr>
              <w:t>su</w:t>
            </w:r>
            <w:r w:rsidR="00561EA7">
              <w:rPr>
                <w:rFonts w:ascii="Arial" w:hAnsi="Arial" w:cs="Arial"/>
                <w:color w:val="2F5496" w:themeColor="accent1" w:themeShade="BF"/>
                <w:sz w:val="20"/>
                <w:szCs w:val="20"/>
                <w:lang w:val="es-ES"/>
              </w:rPr>
              <w:t xml:space="preserve"> ejecutoria. </w:t>
            </w:r>
          </w:p>
          <w:p w14:paraId="197B2823" w14:textId="77777777" w:rsidR="003F095C" w:rsidRPr="003F095C" w:rsidRDefault="003F095C" w:rsidP="00061B89">
            <w:pPr>
              <w:pStyle w:val="Prrafodelista"/>
              <w:rPr>
                <w:rFonts w:ascii="Arial" w:hAnsi="Arial" w:cs="Arial"/>
                <w:color w:val="2F5496" w:themeColor="accent1" w:themeShade="BF"/>
                <w:sz w:val="20"/>
                <w:szCs w:val="20"/>
                <w:lang w:val="es-ES"/>
              </w:rPr>
            </w:pPr>
          </w:p>
          <w:p w14:paraId="3C54BA48" w14:textId="71D9DCAE" w:rsidR="003F095C" w:rsidRPr="00DF7851" w:rsidRDefault="003F55EC" w:rsidP="00061B89">
            <w:pPr>
              <w:pStyle w:val="Prrafodelista"/>
              <w:numPr>
                <w:ilvl w:val="1"/>
                <w:numId w:val="2"/>
              </w:numPr>
              <w:ind w:left="360"/>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Pese a que el recurso de apelación había sido presentado y sustentado desde la primera instancia, y aunque se sustentó </w:t>
            </w:r>
            <w:r w:rsidR="001F25C8">
              <w:rPr>
                <w:rFonts w:ascii="Arial" w:hAnsi="Arial" w:cs="Arial"/>
                <w:color w:val="2F5496" w:themeColor="accent1" w:themeShade="BF"/>
                <w:sz w:val="20"/>
                <w:szCs w:val="20"/>
                <w:lang w:val="es-ES"/>
              </w:rPr>
              <w:t xml:space="preserve">de nuevo y </w:t>
            </w:r>
            <w:r>
              <w:rPr>
                <w:rFonts w:ascii="Arial" w:hAnsi="Arial" w:cs="Arial"/>
                <w:color w:val="2F5496" w:themeColor="accent1" w:themeShade="BF"/>
                <w:sz w:val="20"/>
                <w:szCs w:val="20"/>
                <w:lang w:val="es-ES"/>
              </w:rPr>
              <w:t xml:space="preserve">oportunamente en la segunda, el Tribunal declaró desierto el recurso de apelación. </w:t>
            </w:r>
          </w:p>
          <w:p w14:paraId="679434E7" w14:textId="3BBE6366" w:rsidR="00277548" w:rsidRPr="00277548" w:rsidRDefault="00277548" w:rsidP="00061B89">
            <w:pPr>
              <w:pStyle w:val="Prrafodelista"/>
              <w:jc w:val="both"/>
              <w:rPr>
                <w:rFonts w:ascii="Arial" w:hAnsi="Arial" w:cs="Arial"/>
                <w:sz w:val="20"/>
                <w:szCs w:val="20"/>
                <w:lang w:val="es-ES"/>
              </w:rPr>
            </w:pPr>
          </w:p>
          <w:p w14:paraId="2093F26E" w14:textId="5F8F3649" w:rsidR="00277548" w:rsidRPr="00277548" w:rsidRDefault="00277548" w:rsidP="00061B89">
            <w:pPr>
              <w:jc w:val="both"/>
              <w:rPr>
                <w:rFonts w:ascii="Arial" w:hAnsi="Arial" w:cs="Arial"/>
                <w:sz w:val="20"/>
                <w:szCs w:val="20"/>
                <w:lang w:val="es-ES"/>
              </w:rPr>
            </w:pPr>
          </w:p>
        </w:tc>
        <w:tc>
          <w:tcPr>
            <w:tcW w:w="5103" w:type="dxa"/>
          </w:tcPr>
          <w:p w14:paraId="66C824E6" w14:textId="77777777" w:rsidR="008266C5" w:rsidRDefault="008266C5" w:rsidP="00061B89">
            <w:pPr>
              <w:jc w:val="both"/>
              <w:rPr>
                <w:rFonts w:ascii="Arial" w:hAnsi="Arial" w:cs="Arial"/>
                <w:sz w:val="20"/>
                <w:szCs w:val="20"/>
                <w:lang w:val="es-ES"/>
              </w:rPr>
            </w:pPr>
          </w:p>
        </w:tc>
      </w:tr>
      <w:tr w:rsidR="008266C5" w:rsidRPr="00014F59" w14:paraId="7687BE60" w14:textId="77777777" w:rsidTr="00214D80">
        <w:tc>
          <w:tcPr>
            <w:tcW w:w="6232" w:type="dxa"/>
          </w:tcPr>
          <w:p w14:paraId="42842A7C" w14:textId="77777777" w:rsidR="008266C5" w:rsidRDefault="003266E4" w:rsidP="00061B89">
            <w:pPr>
              <w:pStyle w:val="Prrafodelista"/>
              <w:numPr>
                <w:ilvl w:val="0"/>
                <w:numId w:val="2"/>
              </w:numPr>
              <w:ind w:left="360"/>
              <w:jc w:val="both"/>
              <w:rPr>
                <w:rFonts w:ascii="Arial" w:hAnsi="Arial" w:cs="Arial"/>
                <w:sz w:val="20"/>
                <w:szCs w:val="20"/>
                <w:lang w:val="es-ES"/>
              </w:rPr>
            </w:pPr>
            <w:r w:rsidRPr="003266E4">
              <w:rPr>
                <w:rFonts w:ascii="Arial" w:hAnsi="Arial" w:cs="Arial"/>
                <w:sz w:val="20"/>
                <w:szCs w:val="20"/>
                <w:lang w:val="es-ES"/>
              </w:rPr>
              <w:t xml:space="preserve">El </w:t>
            </w:r>
            <w:r w:rsidRPr="003266E4">
              <w:rPr>
                <w:rFonts w:ascii="Arial" w:hAnsi="Arial" w:cs="Arial"/>
                <w:b/>
                <w:bCs/>
                <w:sz w:val="20"/>
                <w:szCs w:val="20"/>
                <w:lang w:val="es-ES"/>
              </w:rPr>
              <w:t xml:space="preserve">24 de mayo de 2021 </w:t>
            </w:r>
            <w:r w:rsidRPr="003266E4">
              <w:rPr>
                <w:rFonts w:ascii="Arial" w:hAnsi="Arial" w:cs="Arial"/>
                <w:sz w:val="20"/>
                <w:szCs w:val="20"/>
                <w:lang w:val="es-ES"/>
              </w:rPr>
              <w:t xml:space="preserve">el Dr. Herrera en representación de Axa Colpatria interpuso acción de tutela en contra del Tribunal Superior de Villavicencio, en donde se buscaban dejar sin efectos los autos que declararon desierto el recurso de apelación. </w:t>
            </w:r>
          </w:p>
          <w:p w14:paraId="565D7F15" w14:textId="52B3F1AD" w:rsidR="00DD414F" w:rsidRPr="003266E4" w:rsidRDefault="00DD414F" w:rsidP="00061B89">
            <w:pPr>
              <w:pStyle w:val="Prrafodelista"/>
              <w:ind w:left="360"/>
              <w:jc w:val="both"/>
              <w:rPr>
                <w:rFonts w:ascii="Arial" w:hAnsi="Arial" w:cs="Arial"/>
                <w:sz w:val="20"/>
                <w:szCs w:val="20"/>
                <w:lang w:val="es-ES"/>
              </w:rPr>
            </w:pPr>
          </w:p>
        </w:tc>
        <w:tc>
          <w:tcPr>
            <w:tcW w:w="6521" w:type="dxa"/>
          </w:tcPr>
          <w:p w14:paraId="647164D7" w14:textId="77777777" w:rsidR="008266C5" w:rsidRDefault="00DD414F" w:rsidP="00061B89">
            <w:pPr>
              <w:jc w:val="both"/>
              <w:rPr>
                <w:rFonts w:ascii="Arial" w:hAnsi="Arial" w:cs="Arial"/>
                <w:color w:val="2F5496" w:themeColor="accent1" w:themeShade="BF"/>
                <w:sz w:val="20"/>
                <w:szCs w:val="20"/>
                <w:lang w:val="es-ES"/>
              </w:rPr>
            </w:pPr>
            <w:r w:rsidRPr="00DD414F">
              <w:rPr>
                <w:rFonts w:ascii="Arial" w:hAnsi="Arial" w:cs="Arial"/>
                <w:color w:val="2F5496" w:themeColor="accent1" w:themeShade="BF"/>
                <w:sz w:val="20"/>
                <w:szCs w:val="20"/>
                <w:lang w:val="es-ES"/>
              </w:rPr>
              <w:t xml:space="preserve">Los argumentos principales de la acción de tutela fueron: </w:t>
            </w:r>
          </w:p>
          <w:p w14:paraId="5CB51248" w14:textId="77777777" w:rsidR="00DD414F" w:rsidRDefault="00DD414F" w:rsidP="00061B89">
            <w:pPr>
              <w:jc w:val="both"/>
              <w:rPr>
                <w:rFonts w:ascii="Arial" w:hAnsi="Arial" w:cs="Arial"/>
                <w:color w:val="2F5496" w:themeColor="accent1" w:themeShade="BF"/>
                <w:sz w:val="20"/>
                <w:szCs w:val="20"/>
                <w:lang w:val="es-ES"/>
              </w:rPr>
            </w:pPr>
          </w:p>
          <w:p w14:paraId="298B32CB" w14:textId="77777777" w:rsidR="00DD414F" w:rsidRDefault="00DD414F" w:rsidP="00061B89">
            <w:pPr>
              <w:pStyle w:val="Prrafodelista"/>
              <w:numPr>
                <w:ilvl w:val="1"/>
                <w:numId w:val="2"/>
              </w:numPr>
              <w:ind w:left="360"/>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Aunque el recurso fue presentado en vigencia del C.G.P., y lo procedente era adelantar la audiencia de alegaciones de que trata el artículo 327, el Tribunal corrió traslado para alegar por escrito. </w:t>
            </w:r>
          </w:p>
          <w:p w14:paraId="5C285908" w14:textId="77777777" w:rsidR="00DD414F" w:rsidRDefault="00DD414F" w:rsidP="00061B89">
            <w:pPr>
              <w:pStyle w:val="Prrafodelista"/>
              <w:ind w:left="360"/>
              <w:jc w:val="both"/>
              <w:rPr>
                <w:rFonts w:ascii="Arial" w:hAnsi="Arial" w:cs="Arial"/>
                <w:color w:val="2F5496" w:themeColor="accent1" w:themeShade="BF"/>
                <w:sz w:val="20"/>
                <w:szCs w:val="20"/>
                <w:lang w:val="es-ES"/>
              </w:rPr>
            </w:pPr>
          </w:p>
          <w:p w14:paraId="12EC6618" w14:textId="77777777" w:rsidR="00DD414F" w:rsidRDefault="00DD414F" w:rsidP="00061B89">
            <w:pPr>
              <w:pStyle w:val="Prrafodelista"/>
              <w:numPr>
                <w:ilvl w:val="1"/>
                <w:numId w:val="2"/>
              </w:numPr>
              <w:ind w:left="360"/>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Pese a que el artículo 14 del Decreto 806 indica que el traslado de 5 días inicia una vez esté ejecutoriado el auto que admite, el Tribunal contabilizó el traslado para alegar desde la notificación en estado y no desde su ejecutoria. </w:t>
            </w:r>
          </w:p>
          <w:p w14:paraId="5BE129CF" w14:textId="256E18E5" w:rsidR="00DD414F" w:rsidRDefault="00DD414F" w:rsidP="00061B89">
            <w:pPr>
              <w:jc w:val="both"/>
              <w:rPr>
                <w:rFonts w:ascii="Arial" w:hAnsi="Arial" w:cs="Arial"/>
                <w:sz w:val="20"/>
                <w:szCs w:val="20"/>
                <w:lang w:val="es-ES"/>
              </w:rPr>
            </w:pPr>
          </w:p>
        </w:tc>
        <w:tc>
          <w:tcPr>
            <w:tcW w:w="5103" w:type="dxa"/>
          </w:tcPr>
          <w:p w14:paraId="680DDA97" w14:textId="77777777" w:rsidR="008266C5" w:rsidRDefault="008266C5" w:rsidP="00061B89">
            <w:pPr>
              <w:jc w:val="both"/>
              <w:rPr>
                <w:rFonts w:ascii="Arial" w:hAnsi="Arial" w:cs="Arial"/>
                <w:sz w:val="20"/>
                <w:szCs w:val="20"/>
                <w:lang w:val="es-ES"/>
              </w:rPr>
            </w:pPr>
          </w:p>
        </w:tc>
      </w:tr>
      <w:tr w:rsidR="008266C5" w:rsidRPr="00014F59" w14:paraId="13A748E3" w14:textId="77777777" w:rsidTr="00214D80">
        <w:tc>
          <w:tcPr>
            <w:tcW w:w="6232" w:type="dxa"/>
          </w:tcPr>
          <w:p w14:paraId="7EF54318" w14:textId="34639CFD" w:rsidR="00216A90" w:rsidRPr="00216A90" w:rsidRDefault="00216A90" w:rsidP="00061B89">
            <w:pPr>
              <w:pStyle w:val="Prrafodelista"/>
              <w:numPr>
                <w:ilvl w:val="0"/>
                <w:numId w:val="2"/>
              </w:numPr>
              <w:ind w:left="360"/>
              <w:jc w:val="both"/>
              <w:rPr>
                <w:rFonts w:ascii="Arial" w:hAnsi="Arial" w:cs="Arial"/>
                <w:sz w:val="20"/>
                <w:szCs w:val="20"/>
                <w:lang w:val="es-ES"/>
              </w:rPr>
            </w:pPr>
            <w:r w:rsidRPr="00216A90">
              <w:rPr>
                <w:rFonts w:ascii="Arial" w:hAnsi="Arial" w:cs="Arial"/>
                <w:sz w:val="20"/>
                <w:szCs w:val="20"/>
                <w:lang w:val="es-ES"/>
              </w:rPr>
              <w:t xml:space="preserve">El </w:t>
            </w:r>
            <w:r w:rsidRPr="00216A90">
              <w:rPr>
                <w:rFonts w:ascii="Arial" w:hAnsi="Arial" w:cs="Arial"/>
                <w:b/>
                <w:bCs/>
                <w:sz w:val="20"/>
                <w:szCs w:val="20"/>
                <w:lang w:val="es-ES"/>
              </w:rPr>
              <w:t xml:space="preserve">02 de junio de 2021, </w:t>
            </w:r>
            <w:r w:rsidRPr="00216A90">
              <w:rPr>
                <w:rFonts w:ascii="Arial" w:hAnsi="Arial" w:cs="Arial"/>
                <w:sz w:val="20"/>
                <w:szCs w:val="20"/>
                <w:lang w:val="es-ES"/>
              </w:rPr>
              <w:t xml:space="preserve">la Sala Civil de la Corte Suprema de Justicia denegó el amparo solicitado. </w:t>
            </w:r>
          </w:p>
          <w:p w14:paraId="509F5BD0" w14:textId="77777777" w:rsidR="008266C5" w:rsidRDefault="008266C5" w:rsidP="00061B89">
            <w:pPr>
              <w:jc w:val="both"/>
              <w:rPr>
                <w:rFonts w:ascii="Arial" w:hAnsi="Arial" w:cs="Arial"/>
                <w:sz w:val="20"/>
                <w:szCs w:val="20"/>
                <w:lang w:val="es-ES"/>
              </w:rPr>
            </w:pPr>
          </w:p>
        </w:tc>
        <w:tc>
          <w:tcPr>
            <w:tcW w:w="6521" w:type="dxa"/>
          </w:tcPr>
          <w:p w14:paraId="11EB50B5" w14:textId="77777777" w:rsidR="008266C5" w:rsidRPr="00F829D8" w:rsidRDefault="008266C5" w:rsidP="00061B89">
            <w:pPr>
              <w:jc w:val="both"/>
              <w:rPr>
                <w:rFonts w:ascii="Arial" w:hAnsi="Arial" w:cs="Arial"/>
                <w:color w:val="2F5496" w:themeColor="accent1" w:themeShade="BF"/>
                <w:sz w:val="20"/>
                <w:szCs w:val="20"/>
                <w:lang w:val="es-ES"/>
              </w:rPr>
            </w:pPr>
          </w:p>
          <w:p w14:paraId="0C922CFB" w14:textId="0BB00AB4" w:rsidR="00F829D8" w:rsidRPr="00F829D8" w:rsidRDefault="00F829D8" w:rsidP="00061B89">
            <w:pPr>
              <w:jc w:val="both"/>
              <w:rPr>
                <w:rFonts w:ascii="Arial" w:hAnsi="Arial" w:cs="Arial"/>
                <w:color w:val="2F5496" w:themeColor="accent1" w:themeShade="BF"/>
                <w:sz w:val="20"/>
                <w:szCs w:val="20"/>
                <w:lang w:val="es-ES"/>
              </w:rPr>
            </w:pPr>
            <w:r w:rsidRPr="00F829D8">
              <w:rPr>
                <w:rFonts w:ascii="Arial" w:hAnsi="Arial" w:cs="Arial"/>
                <w:color w:val="2F5496" w:themeColor="accent1" w:themeShade="BF"/>
                <w:sz w:val="20"/>
                <w:szCs w:val="20"/>
                <w:lang w:val="es-ES"/>
              </w:rPr>
              <w:t xml:space="preserve">Para efectos del testimonio: </w:t>
            </w:r>
            <w:r w:rsidR="006852FF">
              <w:rPr>
                <w:rFonts w:ascii="Arial" w:hAnsi="Arial" w:cs="Arial"/>
                <w:color w:val="2F5496" w:themeColor="accent1" w:themeShade="BF"/>
                <w:sz w:val="20"/>
                <w:szCs w:val="20"/>
                <w:lang w:val="es-ES"/>
              </w:rPr>
              <w:t>“</w:t>
            </w:r>
            <w:r w:rsidRPr="006852FF">
              <w:rPr>
                <w:rFonts w:ascii="Arial" w:hAnsi="Arial" w:cs="Arial"/>
                <w:i/>
                <w:iCs/>
                <w:color w:val="2F5496" w:themeColor="accent1" w:themeShade="BF"/>
                <w:sz w:val="20"/>
                <w:szCs w:val="20"/>
                <w:lang w:val="es-ES"/>
              </w:rPr>
              <w:t>Fue negada por subsidiariedad</w:t>
            </w:r>
            <w:r w:rsidRPr="00F829D8">
              <w:rPr>
                <w:rFonts w:ascii="Arial" w:hAnsi="Arial" w:cs="Arial"/>
                <w:color w:val="2F5496" w:themeColor="accent1" w:themeShade="BF"/>
                <w:sz w:val="20"/>
                <w:szCs w:val="20"/>
                <w:lang w:val="es-ES"/>
              </w:rPr>
              <w:t>.</w:t>
            </w:r>
            <w:r w:rsidR="006852FF">
              <w:rPr>
                <w:rFonts w:ascii="Arial" w:hAnsi="Arial" w:cs="Arial"/>
                <w:color w:val="2F5496" w:themeColor="accent1" w:themeShade="BF"/>
                <w:sz w:val="20"/>
                <w:szCs w:val="20"/>
                <w:lang w:val="es-ES"/>
              </w:rPr>
              <w:t>”</w:t>
            </w:r>
            <w:r w:rsidRPr="00F829D8">
              <w:rPr>
                <w:rFonts w:ascii="Arial" w:hAnsi="Arial" w:cs="Arial"/>
                <w:color w:val="2F5496" w:themeColor="accent1" w:themeShade="BF"/>
                <w:sz w:val="20"/>
                <w:szCs w:val="20"/>
                <w:lang w:val="es-ES"/>
              </w:rPr>
              <w:t xml:space="preserve"> </w:t>
            </w:r>
          </w:p>
        </w:tc>
        <w:tc>
          <w:tcPr>
            <w:tcW w:w="5103" w:type="dxa"/>
          </w:tcPr>
          <w:p w14:paraId="5ED45AAB" w14:textId="77777777" w:rsidR="008266C5" w:rsidRDefault="008266C5" w:rsidP="00061B89">
            <w:pPr>
              <w:jc w:val="both"/>
              <w:rPr>
                <w:rFonts w:ascii="Arial" w:hAnsi="Arial" w:cs="Arial"/>
                <w:sz w:val="20"/>
                <w:szCs w:val="20"/>
                <w:lang w:val="es-ES"/>
              </w:rPr>
            </w:pPr>
          </w:p>
        </w:tc>
      </w:tr>
      <w:tr w:rsidR="008266C5" w:rsidRPr="00014F59" w14:paraId="76C3E8F7" w14:textId="77777777" w:rsidTr="00214D80">
        <w:tc>
          <w:tcPr>
            <w:tcW w:w="6232" w:type="dxa"/>
          </w:tcPr>
          <w:p w14:paraId="2C7FFC19" w14:textId="77777777" w:rsidR="001D4C21" w:rsidRDefault="001D4C21" w:rsidP="00061B89">
            <w:pPr>
              <w:jc w:val="both"/>
              <w:rPr>
                <w:rFonts w:ascii="Arial" w:hAnsi="Arial" w:cs="Arial"/>
                <w:lang w:val="es-ES"/>
              </w:rPr>
            </w:pPr>
          </w:p>
          <w:p w14:paraId="0805784B" w14:textId="1A960E22" w:rsidR="001D4C21" w:rsidRPr="001D4C21" w:rsidRDefault="001D4C21" w:rsidP="00061B89">
            <w:pPr>
              <w:pStyle w:val="Prrafodelista"/>
              <w:numPr>
                <w:ilvl w:val="0"/>
                <w:numId w:val="2"/>
              </w:numPr>
              <w:ind w:left="360"/>
              <w:jc w:val="both"/>
              <w:rPr>
                <w:rFonts w:ascii="Arial" w:hAnsi="Arial" w:cs="Arial"/>
                <w:sz w:val="20"/>
                <w:szCs w:val="20"/>
                <w:lang w:val="es-ES"/>
              </w:rPr>
            </w:pPr>
            <w:r w:rsidRPr="001D4C21">
              <w:rPr>
                <w:rFonts w:ascii="Arial" w:hAnsi="Arial" w:cs="Arial"/>
                <w:sz w:val="20"/>
                <w:szCs w:val="20"/>
                <w:lang w:val="es-ES"/>
              </w:rPr>
              <w:t xml:space="preserve">El </w:t>
            </w:r>
            <w:r w:rsidRPr="001D4C21">
              <w:rPr>
                <w:rFonts w:ascii="Arial" w:hAnsi="Arial" w:cs="Arial"/>
                <w:b/>
                <w:bCs/>
                <w:sz w:val="20"/>
                <w:szCs w:val="20"/>
                <w:lang w:val="es-ES"/>
              </w:rPr>
              <w:t xml:space="preserve">09 de junio de 2021 </w:t>
            </w:r>
            <w:r w:rsidRPr="001D4C21">
              <w:rPr>
                <w:rFonts w:ascii="Arial" w:hAnsi="Arial" w:cs="Arial"/>
                <w:sz w:val="20"/>
                <w:szCs w:val="20"/>
                <w:lang w:val="es-ES"/>
              </w:rPr>
              <w:t xml:space="preserve">el Dr. Herrera en representación de Axa Colpatria, presentó ante el juzgado de primera instancia solicitud de nulidad de todo lo actuado en razón a la vulneración de garantías constitucionales </w:t>
            </w:r>
            <w:proofErr w:type="gramStart"/>
            <w:r w:rsidRPr="001D4C21">
              <w:rPr>
                <w:rFonts w:ascii="Arial" w:hAnsi="Arial" w:cs="Arial"/>
                <w:sz w:val="20"/>
                <w:szCs w:val="20"/>
                <w:lang w:val="es-ES"/>
              </w:rPr>
              <w:t>y</w:t>
            </w:r>
            <w:proofErr w:type="gramEnd"/>
            <w:r w:rsidRPr="001D4C21">
              <w:rPr>
                <w:rFonts w:ascii="Arial" w:hAnsi="Arial" w:cs="Arial"/>
                <w:sz w:val="20"/>
                <w:szCs w:val="20"/>
                <w:lang w:val="es-ES"/>
              </w:rPr>
              <w:t xml:space="preserve"> además, por haber pretermitido la segunda instancia del proceso.  </w:t>
            </w:r>
          </w:p>
          <w:p w14:paraId="13A3DC1F" w14:textId="53E13E4C" w:rsidR="008266C5" w:rsidRPr="00BB05B4" w:rsidRDefault="008266C5" w:rsidP="00061B89">
            <w:pPr>
              <w:pStyle w:val="Prrafodelista"/>
              <w:jc w:val="both"/>
              <w:rPr>
                <w:rFonts w:ascii="Arial" w:hAnsi="Arial" w:cs="Arial"/>
                <w:sz w:val="20"/>
                <w:szCs w:val="20"/>
                <w:lang w:val="es-ES"/>
              </w:rPr>
            </w:pPr>
          </w:p>
        </w:tc>
        <w:tc>
          <w:tcPr>
            <w:tcW w:w="6521" w:type="dxa"/>
          </w:tcPr>
          <w:p w14:paraId="50183E33" w14:textId="77777777" w:rsidR="008266C5" w:rsidRDefault="008266C5" w:rsidP="00061B89">
            <w:pPr>
              <w:jc w:val="both"/>
              <w:rPr>
                <w:rFonts w:ascii="Arial" w:hAnsi="Arial" w:cs="Arial"/>
                <w:sz w:val="20"/>
                <w:szCs w:val="20"/>
                <w:lang w:val="es-ES"/>
              </w:rPr>
            </w:pPr>
          </w:p>
          <w:p w14:paraId="45D91B97" w14:textId="77777777" w:rsidR="00012400" w:rsidRDefault="00AE63F7" w:rsidP="00061B89">
            <w:pPr>
              <w:jc w:val="both"/>
              <w:rPr>
                <w:rFonts w:ascii="Arial" w:hAnsi="Arial" w:cs="Arial"/>
                <w:color w:val="2F5496" w:themeColor="accent1" w:themeShade="BF"/>
                <w:sz w:val="20"/>
                <w:szCs w:val="20"/>
                <w:lang w:val="es-ES"/>
              </w:rPr>
            </w:pPr>
            <w:r w:rsidRPr="00AE63F7">
              <w:rPr>
                <w:rFonts w:ascii="Arial" w:hAnsi="Arial" w:cs="Arial"/>
                <w:color w:val="2F5496" w:themeColor="accent1" w:themeShade="BF"/>
                <w:sz w:val="20"/>
                <w:szCs w:val="20"/>
                <w:lang w:val="es-ES"/>
              </w:rPr>
              <w:t xml:space="preserve">Se debe tomar en consideración lo siguiente: </w:t>
            </w:r>
            <w:r w:rsidR="00C40B2B" w:rsidRPr="00AE63F7">
              <w:rPr>
                <w:rFonts w:ascii="Arial" w:hAnsi="Arial" w:cs="Arial"/>
                <w:color w:val="2F5496" w:themeColor="accent1" w:themeShade="BF"/>
                <w:sz w:val="20"/>
                <w:szCs w:val="20"/>
                <w:lang w:val="es-ES"/>
              </w:rPr>
              <w:t xml:space="preserve"> </w:t>
            </w:r>
          </w:p>
          <w:p w14:paraId="7F725002" w14:textId="77777777" w:rsidR="00E95378" w:rsidRDefault="00E95378" w:rsidP="00061B89">
            <w:pPr>
              <w:jc w:val="both"/>
              <w:rPr>
                <w:rFonts w:ascii="Arial" w:hAnsi="Arial" w:cs="Arial"/>
                <w:color w:val="2F5496" w:themeColor="accent1" w:themeShade="BF"/>
                <w:sz w:val="20"/>
                <w:szCs w:val="20"/>
                <w:lang w:val="es-ES"/>
              </w:rPr>
            </w:pPr>
          </w:p>
          <w:p w14:paraId="5521D732" w14:textId="48244E22" w:rsidR="000F0E6A" w:rsidRDefault="00E95378" w:rsidP="00061B89">
            <w:pPr>
              <w:jc w:val="both"/>
              <w:rPr>
                <w:rFonts w:ascii="Arial" w:hAnsi="Arial" w:cs="Arial"/>
                <w:color w:val="2F5496" w:themeColor="accent1" w:themeShade="BF"/>
                <w:sz w:val="20"/>
                <w:szCs w:val="20"/>
                <w:lang w:val="es-ES"/>
              </w:rPr>
            </w:pPr>
            <w:r w:rsidRPr="007B55E4">
              <w:rPr>
                <w:rFonts w:ascii="Arial" w:hAnsi="Arial" w:cs="Arial"/>
                <w:b/>
                <w:bCs/>
                <w:color w:val="2F5496" w:themeColor="accent1" w:themeShade="BF"/>
                <w:sz w:val="20"/>
                <w:szCs w:val="20"/>
                <w:u w:val="single"/>
                <w:lang w:val="es-ES"/>
              </w:rPr>
              <w:t>Primero</w:t>
            </w:r>
            <w:r>
              <w:rPr>
                <w:rFonts w:ascii="Arial" w:hAnsi="Arial" w:cs="Arial"/>
                <w:color w:val="2F5496" w:themeColor="accent1" w:themeShade="BF"/>
                <w:sz w:val="20"/>
                <w:szCs w:val="20"/>
                <w:lang w:val="es-ES"/>
              </w:rPr>
              <w:t xml:space="preserve">, </w:t>
            </w:r>
            <w:r w:rsidR="00391B73">
              <w:rPr>
                <w:rFonts w:ascii="Arial" w:hAnsi="Arial" w:cs="Arial"/>
                <w:color w:val="2F5496" w:themeColor="accent1" w:themeShade="BF"/>
                <w:sz w:val="20"/>
                <w:szCs w:val="20"/>
                <w:lang w:val="es-ES"/>
              </w:rPr>
              <w:t>existían dos causales de nulidad muy claras. Por un lado, es evidente que se había vulnerado de manera flagrante el debido proceso de Axa Colpatria</w:t>
            </w:r>
            <w:r w:rsidR="000F0E6A">
              <w:rPr>
                <w:rFonts w:ascii="Arial" w:hAnsi="Arial" w:cs="Arial"/>
                <w:color w:val="2F5496" w:themeColor="accent1" w:themeShade="BF"/>
                <w:sz w:val="20"/>
                <w:szCs w:val="20"/>
                <w:lang w:val="es-ES"/>
              </w:rPr>
              <w:t>,</w:t>
            </w:r>
            <w:r w:rsidR="00391B73">
              <w:rPr>
                <w:rFonts w:ascii="Arial" w:hAnsi="Arial" w:cs="Arial"/>
                <w:color w:val="2F5496" w:themeColor="accent1" w:themeShade="BF"/>
                <w:sz w:val="20"/>
                <w:szCs w:val="20"/>
                <w:lang w:val="es-ES"/>
              </w:rPr>
              <w:t xml:space="preserve"> tanto con el fallo de primera instancia, como con la falta injustificada de</w:t>
            </w:r>
            <w:r w:rsidR="007B55E4">
              <w:rPr>
                <w:rFonts w:ascii="Arial" w:hAnsi="Arial" w:cs="Arial"/>
                <w:color w:val="2F5496" w:themeColor="accent1" w:themeShade="BF"/>
                <w:sz w:val="20"/>
                <w:szCs w:val="20"/>
                <w:lang w:val="es-ES"/>
              </w:rPr>
              <w:t>l</w:t>
            </w:r>
            <w:r w:rsidR="00391B73">
              <w:rPr>
                <w:rFonts w:ascii="Arial" w:hAnsi="Arial" w:cs="Arial"/>
                <w:color w:val="2F5496" w:themeColor="accent1" w:themeShade="BF"/>
                <w:sz w:val="20"/>
                <w:szCs w:val="20"/>
                <w:lang w:val="es-ES"/>
              </w:rPr>
              <w:t xml:space="preserve"> trámite de la apelación. </w:t>
            </w:r>
          </w:p>
          <w:p w14:paraId="244DE567" w14:textId="77777777" w:rsidR="005D2DAC" w:rsidRDefault="005D2DAC" w:rsidP="00061B89">
            <w:pPr>
              <w:jc w:val="both"/>
              <w:rPr>
                <w:rFonts w:ascii="Arial" w:hAnsi="Arial" w:cs="Arial"/>
                <w:color w:val="2F5496" w:themeColor="accent1" w:themeShade="BF"/>
                <w:sz w:val="20"/>
                <w:szCs w:val="20"/>
                <w:lang w:val="es-ES"/>
              </w:rPr>
            </w:pPr>
          </w:p>
          <w:p w14:paraId="04E5EDBB" w14:textId="4B79E67B" w:rsidR="005D2DAC" w:rsidRDefault="005D2DAC" w:rsidP="00061B89">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Por otro lado, </w:t>
            </w:r>
            <w:r w:rsidR="001E275F">
              <w:rPr>
                <w:rFonts w:ascii="Arial" w:hAnsi="Arial" w:cs="Arial"/>
                <w:color w:val="2F5496" w:themeColor="accent1" w:themeShade="BF"/>
                <w:sz w:val="20"/>
                <w:szCs w:val="20"/>
                <w:lang w:val="es-ES"/>
              </w:rPr>
              <w:t xml:space="preserve">el numeral 2 del artículo 133 del CGP indica que el proceso será nulo cuando se pretermite íntegramente la respectiva instancia </w:t>
            </w:r>
            <w:proofErr w:type="gramStart"/>
            <w:r w:rsidR="001E275F">
              <w:rPr>
                <w:rFonts w:ascii="Arial" w:hAnsi="Arial" w:cs="Arial"/>
                <w:color w:val="2F5496" w:themeColor="accent1" w:themeShade="BF"/>
                <w:sz w:val="20"/>
                <w:szCs w:val="20"/>
                <w:lang w:val="es-ES"/>
              </w:rPr>
              <w:t>y</w:t>
            </w:r>
            <w:proofErr w:type="gramEnd"/>
            <w:r w:rsidR="001E275F">
              <w:rPr>
                <w:rFonts w:ascii="Arial" w:hAnsi="Arial" w:cs="Arial"/>
                <w:color w:val="2F5496" w:themeColor="accent1" w:themeShade="BF"/>
                <w:sz w:val="20"/>
                <w:szCs w:val="20"/>
                <w:lang w:val="es-ES"/>
              </w:rPr>
              <w:t xml:space="preserve"> además, el artículo 9 del mismo código establece que los </w:t>
            </w:r>
            <w:r w:rsidR="001E275F">
              <w:rPr>
                <w:rFonts w:ascii="Arial" w:hAnsi="Arial" w:cs="Arial"/>
                <w:color w:val="2F5496" w:themeColor="accent1" w:themeShade="BF"/>
                <w:sz w:val="20"/>
                <w:szCs w:val="20"/>
                <w:lang w:val="es-ES"/>
              </w:rPr>
              <w:lastRenderedPageBreak/>
              <w:t xml:space="preserve">procesos tendrán dos instancias, salvo que la ley diga que sólo habrá una. </w:t>
            </w:r>
          </w:p>
          <w:p w14:paraId="35883F9C" w14:textId="77777777" w:rsidR="000F0E6A" w:rsidRDefault="000F0E6A" w:rsidP="00061B89">
            <w:pPr>
              <w:jc w:val="both"/>
              <w:rPr>
                <w:rFonts w:ascii="Arial" w:hAnsi="Arial" w:cs="Arial"/>
                <w:color w:val="2F5496" w:themeColor="accent1" w:themeShade="BF"/>
                <w:sz w:val="20"/>
                <w:szCs w:val="20"/>
                <w:lang w:val="es-ES"/>
              </w:rPr>
            </w:pPr>
          </w:p>
          <w:p w14:paraId="11B9FE09" w14:textId="23A07274" w:rsidR="000F0E6A" w:rsidRDefault="000F0E6A" w:rsidP="00061B89">
            <w:pPr>
              <w:jc w:val="both"/>
              <w:rPr>
                <w:rFonts w:ascii="Arial" w:hAnsi="Arial" w:cs="Arial"/>
                <w:color w:val="2F5496" w:themeColor="accent1" w:themeShade="BF"/>
                <w:sz w:val="20"/>
                <w:szCs w:val="20"/>
                <w:lang w:val="es-ES"/>
              </w:rPr>
            </w:pPr>
            <w:r w:rsidRPr="007B55E4">
              <w:rPr>
                <w:rFonts w:ascii="Arial" w:hAnsi="Arial" w:cs="Arial"/>
                <w:b/>
                <w:bCs/>
                <w:color w:val="2F5496" w:themeColor="accent1" w:themeShade="BF"/>
                <w:sz w:val="20"/>
                <w:szCs w:val="20"/>
                <w:u w:val="single"/>
                <w:lang w:val="es-ES"/>
              </w:rPr>
              <w:t>Segundo</w:t>
            </w:r>
            <w:r>
              <w:rPr>
                <w:rFonts w:ascii="Arial" w:hAnsi="Arial" w:cs="Arial"/>
                <w:color w:val="2F5496" w:themeColor="accent1" w:themeShade="BF"/>
                <w:sz w:val="20"/>
                <w:szCs w:val="20"/>
                <w:lang w:val="es-ES"/>
              </w:rPr>
              <w:t>, el Tribunal ya había perdido competencia e inclusive, ya había regresado el expediente al despacho de origen</w:t>
            </w:r>
            <w:r w:rsidR="002878C3">
              <w:rPr>
                <w:rFonts w:ascii="Arial" w:hAnsi="Arial" w:cs="Arial"/>
                <w:color w:val="2F5496" w:themeColor="accent1" w:themeShade="BF"/>
                <w:sz w:val="20"/>
                <w:szCs w:val="20"/>
                <w:lang w:val="es-ES"/>
              </w:rPr>
              <w:t xml:space="preserve"> desde el 18 de mayo de 2021</w:t>
            </w:r>
            <w:r>
              <w:rPr>
                <w:rFonts w:ascii="Arial" w:hAnsi="Arial" w:cs="Arial"/>
                <w:color w:val="2F5496" w:themeColor="accent1" w:themeShade="BF"/>
                <w:sz w:val="20"/>
                <w:szCs w:val="20"/>
                <w:lang w:val="es-ES"/>
              </w:rPr>
              <w:t xml:space="preserve">. </w:t>
            </w:r>
            <w:r w:rsidR="00EE67FA">
              <w:rPr>
                <w:rFonts w:ascii="Arial" w:hAnsi="Arial" w:cs="Arial"/>
                <w:color w:val="2F5496" w:themeColor="accent1" w:themeShade="BF"/>
                <w:sz w:val="20"/>
                <w:szCs w:val="20"/>
                <w:lang w:val="es-ES"/>
              </w:rPr>
              <w:t>Luego entonces</w:t>
            </w:r>
            <w:r w:rsidR="00446C74">
              <w:rPr>
                <w:rFonts w:ascii="Arial" w:hAnsi="Arial" w:cs="Arial"/>
                <w:color w:val="2F5496" w:themeColor="accent1" w:themeShade="BF"/>
                <w:sz w:val="20"/>
                <w:szCs w:val="20"/>
                <w:lang w:val="es-ES"/>
              </w:rPr>
              <w:t>,</w:t>
            </w:r>
            <w:r w:rsidR="00EE67FA">
              <w:rPr>
                <w:rFonts w:ascii="Arial" w:hAnsi="Arial" w:cs="Arial"/>
                <w:color w:val="2F5496" w:themeColor="accent1" w:themeShade="BF"/>
                <w:sz w:val="20"/>
                <w:szCs w:val="20"/>
                <w:lang w:val="es-ES"/>
              </w:rPr>
              <w:t xml:space="preserve"> no era procesalmente viable presentar una nulidad ante aquel organismo. </w:t>
            </w:r>
          </w:p>
          <w:p w14:paraId="44ED404A" w14:textId="77777777" w:rsidR="00EE6698" w:rsidRDefault="00EE6698" w:rsidP="00061B89">
            <w:pPr>
              <w:jc w:val="both"/>
              <w:rPr>
                <w:rFonts w:ascii="Arial" w:hAnsi="Arial" w:cs="Arial"/>
                <w:color w:val="2F5496" w:themeColor="accent1" w:themeShade="BF"/>
                <w:sz w:val="20"/>
                <w:szCs w:val="20"/>
                <w:lang w:val="es-ES"/>
              </w:rPr>
            </w:pPr>
          </w:p>
          <w:p w14:paraId="104058D2" w14:textId="2CF81204" w:rsidR="00EE6698" w:rsidRPr="000F0E6A" w:rsidRDefault="00EE6698" w:rsidP="00061B89">
            <w:pPr>
              <w:jc w:val="both"/>
              <w:rPr>
                <w:rFonts w:ascii="Arial" w:hAnsi="Arial" w:cs="Arial"/>
                <w:color w:val="2F5496" w:themeColor="accent1" w:themeShade="BF"/>
                <w:sz w:val="20"/>
                <w:szCs w:val="20"/>
                <w:lang w:val="es-ES"/>
              </w:rPr>
            </w:pPr>
            <w:r w:rsidRPr="007B55E4">
              <w:rPr>
                <w:rFonts w:ascii="Arial" w:hAnsi="Arial" w:cs="Arial"/>
                <w:b/>
                <w:bCs/>
                <w:color w:val="2F5496" w:themeColor="accent1" w:themeShade="BF"/>
                <w:sz w:val="20"/>
                <w:szCs w:val="20"/>
                <w:u w:val="single"/>
                <w:lang w:val="es-ES"/>
              </w:rPr>
              <w:t>Tercero</w:t>
            </w:r>
            <w:r>
              <w:rPr>
                <w:rFonts w:ascii="Arial" w:hAnsi="Arial" w:cs="Arial"/>
                <w:color w:val="2F5496" w:themeColor="accent1" w:themeShade="BF"/>
                <w:sz w:val="20"/>
                <w:szCs w:val="20"/>
                <w:lang w:val="es-ES"/>
              </w:rPr>
              <w:t xml:space="preserve">, </w:t>
            </w:r>
            <w:r w:rsidR="00A54CF9">
              <w:rPr>
                <w:rFonts w:ascii="Arial" w:hAnsi="Arial" w:cs="Arial"/>
                <w:color w:val="2F5496" w:themeColor="accent1" w:themeShade="BF"/>
                <w:sz w:val="20"/>
                <w:szCs w:val="20"/>
                <w:lang w:val="es-ES"/>
              </w:rPr>
              <w:t>en consecuencia, la única alternativa procesalmente acertada que quedaba consistía en presentar la nulidad ante el juez de primera instancia</w:t>
            </w:r>
            <w:r w:rsidR="00CE4100">
              <w:rPr>
                <w:rFonts w:ascii="Arial" w:hAnsi="Arial" w:cs="Arial"/>
                <w:color w:val="2F5496" w:themeColor="accent1" w:themeShade="BF"/>
                <w:sz w:val="20"/>
                <w:szCs w:val="20"/>
                <w:lang w:val="es-ES"/>
              </w:rPr>
              <w:t xml:space="preserve">, para que la administración de justicia la resolviera.  </w:t>
            </w:r>
          </w:p>
        </w:tc>
        <w:tc>
          <w:tcPr>
            <w:tcW w:w="5103" w:type="dxa"/>
          </w:tcPr>
          <w:p w14:paraId="7A6EDCC8" w14:textId="77777777" w:rsidR="008266C5" w:rsidRDefault="008266C5" w:rsidP="00061B89">
            <w:pPr>
              <w:jc w:val="both"/>
              <w:rPr>
                <w:rFonts w:ascii="Arial" w:hAnsi="Arial" w:cs="Arial"/>
                <w:sz w:val="20"/>
                <w:szCs w:val="20"/>
                <w:lang w:val="es-ES"/>
              </w:rPr>
            </w:pPr>
          </w:p>
          <w:p w14:paraId="3AF54B30" w14:textId="246EBF11" w:rsidR="00012400" w:rsidRPr="00061B89" w:rsidRDefault="00A54CF9" w:rsidP="00061B89">
            <w:pPr>
              <w:jc w:val="both"/>
              <w:rPr>
                <w:rFonts w:ascii="Arial" w:hAnsi="Arial" w:cs="Arial"/>
                <w:color w:val="7030A0"/>
                <w:sz w:val="20"/>
                <w:szCs w:val="20"/>
                <w:lang w:val="es-ES"/>
              </w:rPr>
            </w:pPr>
            <w:r w:rsidRPr="00061B89">
              <w:rPr>
                <w:rFonts w:ascii="Arial" w:hAnsi="Arial" w:cs="Arial"/>
                <w:b/>
                <w:bCs/>
                <w:color w:val="7030A0"/>
                <w:sz w:val="20"/>
                <w:szCs w:val="20"/>
                <w:u w:val="single"/>
                <w:lang w:val="es-ES"/>
              </w:rPr>
              <w:t>PRIMERA</w:t>
            </w:r>
            <w:r w:rsidRPr="00061B89">
              <w:rPr>
                <w:rFonts w:ascii="Arial" w:hAnsi="Arial" w:cs="Arial"/>
                <w:color w:val="7030A0"/>
                <w:sz w:val="20"/>
                <w:szCs w:val="20"/>
                <w:lang w:val="es-ES"/>
              </w:rPr>
              <w:t xml:space="preserve"> </w:t>
            </w:r>
            <w:r w:rsidR="00061B89" w:rsidRPr="00061B89">
              <w:rPr>
                <w:rFonts w:ascii="Arial" w:hAnsi="Arial" w:cs="Arial"/>
                <w:color w:val="7030A0"/>
                <w:sz w:val="20"/>
                <w:szCs w:val="20"/>
                <w:lang w:val="es-ES"/>
              </w:rPr>
              <w:t xml:space="preserve">causal de nulidad “Supralegal” </w:t>
            </w:r>
          </w:p>
          <w:p w14:paraId="4051F5FC" w14:textId="77777777" w:rsidR="00061B89" w:rsidRPr="00061B89" w:rsidRDefault="00061B89" w:rsidP="00061B89">
            <w:pPr>
              <w:jc w:val="both"/>
              <w:rPr>
                <w:rFonts w:ascii="Arial" w:hAnsi="Arial" w:cs="Arial"/>
                <w:color w:val="7030A0"/>
                <w:sz w:val="20"/>
                <w:szCs w:val="20"/>
                <w:lang w:val="es-ES"/>
              </w:rPr>
            </w:pPr>
          </w:p>
          <w:p w14:paraId="397986A9" w14:textId="755F1752" w:rsidR="00061B89" w:rsidRPr="005729E7" w:rsidRDefault="00061B89" w:rsidP="005729E7">
            <w:pPr>
              <w:pStyle w:val="Prrafodelista"/>
              <w:numPr>
                <w:ilvl w:val="0"/>
                <w:numId w:val="3"/>
              </w:numPr>
              <w:jc w:val="both"/>
              <w:rPr>
                <w:rFonts w:ascii="Arial" w:hAnsi="Arial" w:cs="Arial"/>
                <w:color w:val="7030A0"/>
                <w:sz w:val="20"/>
                <w:szCs w:val="20"/>
                <w:lang w:val="es-ES"/>
              </w:rPr>
            </w:pPr>
            <w:r w:rsidRPr="005729E7">
              <w:rPr>
                <w:rFonts w:ascii="Arial" w:hAnsi="Arial" w:cs="Arial"/>
                <w:color w:val="7030A0"/>
                <w:sz w:val="20"/>
                <w:szCs w:val="20"/>
                <w:lang w:val="es-ES"/>
              </w:rPr>
              <w:t xml:space="preserve">ARTÍCULO 11. INTERPRETACIÓN DE LAS NORMAS PROCESALES. Al interpretar la ley procesal el juez deberá tener en cuenta que el objeto de los procedimientos es la efectividad de los derechos reconocidos por la ley sustancial. Las dudas que surjan en la interpretación de las normas del presente código deberán aclararse mediante la aplicación de los principios constitucionales y </w:t>
            </w:r>
            <w:r w:rsidRPr="005729E7">
              <w:rPr>
                <w:rFonts w:ascii="Arial" w:hAnsi="Arial" w:cs="Arial"/>
                <w:color w:val="7030A0"/>
                <w:sz w:val="20"/>
                <w:szCs w:val="20"/>
                <w:lang w:val="es-ES"/>
              </w:rPr>
              <w:lastRenderedPageBreak/>
              <w:t>generales del derecho procesal garantizando en todo caso el debido proceso, el derecho de defensa, la igualdad de las partes y los demás derechos constitucionales fundamentales.</w:t>
            </w:r>
          </w:p>
          <w:p w14:paraId="316B4C32" w14:textId="77777777" w:rsidR="00061B89" w:rsidRDefault="00061B89" w:rsidP="00061B89">
            <w:pPr>
              <w:spacing w:line="259" w:lineRule="auto"/>
              <w:jc w:val="both"/>
              <w:rPr>
                <w:rFonts w:ascii="Arial" w:hAnsi="Arial" w:cs="Arial"/>
                <w:color w:val="7030A0"/>
                <w:sz w:val="20"/>
                <w:szCs w:val="20"/>
                <w:lang w:val="es-ES"/>
              </w:rPr>
            </w:pPr>
          </w:p>
          <w:p w14:paraId="2D322F2D" w14:textId="4BF6B059" w:rsidR="00061B89" w:rsidRDefault="00A54CF9" w:rsidP="00061B89">
            <w:pPr>
              <w:spacing w:line="259" w:lineRule="auto"/>
              <w:jc w:val="both"/>
              <w:rPr>
                <w:rFonts w:ascii="Arial" w:hAnsi="Arial" w:cs="Arial"/>
                <w:color w:val="7030A0"/>
                <w:sz w:val="20"/>
                <w:szCs w:val="20"/>
                <w:lang w:val="es-ES"/>
              </w:rPr>
            </w:pPr>
            <w:r w:rsidRPr="00061B89">
              <w:rPr>
                <w:rFonts w:ascii="Arial" w:hAnsi="Arial" w:cs="Arial"/>
                <w:b/>
                <w:bCs/>
                <w:color w:val="7030A0"/>
                <w:sz w:val="20"/>
                <w:szCs w:val="20"/>
                <w:u w:val="single"/>
                <w:lang w:val="es-ES"/>
              </w:rPr>
              <w:t>SEGUNDA</w:t>
            </w:r>
            <w:r>
              <w:rPr>
                <w:rFonts w:ascii="Arial" w:hAnsi="Arial" w:cs="Arial"/>
                <w:color w:val="7030A0"/>
                <w:sz w:val="20"/>
                <w:szCs w:val="20"/>
                <w:lang w:val="es-ES"/>
              </w:rPr>
              <w:t xml:space="preserve"> </w:t>
            </w:r>
            <w:r w:rsidR="00061B89">
              <w:rPr>
                <w:rFonts w:ascii="Arial" w:hAnsi="Arial" w:cs="Arial"/>
                <w:color w:val="7030A0"/>
                <w:sz w:val="20"/>
                <w:szCs w:val="20"/>
                <w:lang w:val="es-ES"/>
              </w:rPr>
              <w:t xml:space="preserve">causal de nulidad: </w:t>
            </w:r>
          </w:p>
          <w:p w14:paraId="36B7377F" w14:textId="77777777" w:rsidR="00061B89" w:rsidRDefault="00061B89" w:rsidP="00061B89">
            <w:pPr>
              <w:spacing w:line="259" w:lineRule="auto"/>
              <w:jc w:val="both"/>
              <w:rPr>
                <w:rFonts w:ascii="Arial" w:hAnsi="Arial" w:cs="Arial"/>
                <w:color w:val="7030A0"/>
                <w:sz w:val="20"/>
                <w:szCs w:val="20"/>
                <w:lang w:val="es-ES"/>
              </w:rPr>
            </w:pPr>
          </w:p>
          <w:p w14:paraId="31717165" w14:textId="72B77306" w:rsidR="00061B89" w:rsidRPr="005729E7" w:rsidRDefault="00061B89" w:rsidP="005729E7">
            <w:pPr>
              <w:pStyle w:val="Prrafodelista"/>
              <w:numPr>
                <w:ilvl w:val="0"/>
                <w:numId w:val="3"/>
              </w:numPr>
              <w:jc w:val="both"/>
              <w:rPr>
                <w:rFonts w:ascii="Arial" w:hAnsi="Arial" w:cs="Arial"/>
                <w:color w:val="7030A0"/>
                <w:sz w:val="20"/>
                <w:szCs w:val="20"/>
                <w:lang w:val="es-ES"/>
              </w:rPr>
            </w:pPr>
            <w:r w:rsidRPr="005729E7">
              <w:rPr>
                <w:rFonts w:ascii="Arial" w:hAnsi="Arial" w:cs="Arial"/>
                <w:color w:val="7030A0"/>
                <w:sz w:val="20"/>
                <w:szCs w:val="20"/>
                <w:lang w:val="es-ES"/>
              </w:rPr>
              <w:t>ARTÍCULO 133. CAUSALES DE NULIDAD. El proceso es nulo, en todo o en parte, solamente en los siguientes casos:</w:t>
            </w:r>
          </w:p>
          <w:p w14:paraId="524BB128" w14:textId="77777777" w:rsidR="00061B89" w:rsidRPr="00061B89" w:rsidRDefault="00061B89" w:rsidP="00061B89">
            <w:pPr>
              <w:spacing w:after="0"/>
              <w:jc w:val="both"/>
              <w:rPr>
                <w:rFonts w:ascii="Arial" w:hAnsi="Arial" w:cs="Arial"/>
                <w:color w:val="7030A0"/>
                <w:sz w:val="20"/>
                <w:szCs w:val="20"/>
                <w:lang w:val="es-ES"/>
              </w:rPr>
            </w:pPr>
          </w:p>
          <w:p w14:paraId="71BF4A37" w14:textId="5F0D5515" w:rsidR="00061B89" w:rsidRDefault="00061B89" w:rsidP="00061B89">
            <w:pPr>
              <w:spacing w:line="259" w:lineRule="auto"/>
              <w:jc w:val="both"/>
              <w:rPr>
                <w:rFonts w:ascii="Arial" w:hAnsi="Arial" w:cs="Arial"/>
                <w:color w:val="7030A0"/>
                <w:sz w:val="20"/>
                <w:szCs w:val="20"/>
                <w:lang w:val="es-ES"/>
              </w:rPr>
            </w:pPr>
            <w:r w:rsidRPr="00061B89">
              <w:rPr>
                <w:rFonts w:ascii="Arial" w:hAnsi="Arial" w:cs="Arial"/>
                <w:color w:val="7030A0"/>
                <w:sz w:val="20"/>
                <w:szCs w:val="20"/>
                <w:lang w:val="es-ES"/>
              </w:rPr>
              <w:t xml:space="preserve">2. Cuando el juez </w:t>
            </w:r>
            <w:r>
              <w:rPr>
                <w:rFonts w:ascii="Arial" w:hAnsi="Arial" w:cs="Arial"/>
                <w:color w:val="7030A0"/>
                <w:sz w:val="20"/>
                <w:szCs w:val="20"/>
                <w:lang w:val="es-ES"/>
              </w:rPr>
              <w:t xml:space="preserve">(…) </w:t>
            </w:r>
            <w:r w:rsidRPr="00061B89">
              <w:rPr>
                <w:rFonts w:ascii="Arial" w:hAnsi="Arial" w:cs="Arial"/>
                <w:color w:val="7030A0"/>
                <w:sz w:val="20"/>
                <w:szCs w:val="20"/>
                <w:lang w:val="es-ES"/>
              </w:rPr>
              <w:t>pretermite íntegramente la respectiva instancia.</w:t>
            </w:r>
          </w:p>
          <w:p w14:paraId="1BBF42AA" w14:textId="77777777" w:rsidR="005729E7" w:rsidRDefault="005729E7" w:rsidP="00061B89">
            <w:pPr>
              <w:spacing w:line="259" w:lineRule="auto"/>
              <w:jc w:val="both"/>
              <w:rPr>
                <w:rFonts w:ascii="Arial" w:hAnsi="Arial" w:cs="Arial"/>
                <w:color w:val="7030A0"/>
                <w:sz w:val="20"/>
                <w:szCs w:val="20"/>
                <w:lang w:val="es-ES"/>
              </w:rPr>
            </w:pPr>
          </w:p>
          <w:p w14:paraId="35F3EAB0" w14:textId="77777777" w:rsidR="00061B89" w:rsidRDefault="005729E7" w:rsidP="00A54CF9">
            <w:pPr>
              <w:pStyle w:val="Prrafodelista"/>
              <w:numPr>
                <w:ilvl w:val="0"/>
                <w:numId w:val="3"/>
              </w:numPr>
              <w:spacing w:after="160" w:line="259" w:lineRule="auto"/>
              <w:jc w:val="both"/>
              <w:rPr>
                <w:rFonts w:ascii="Arial" w:hAnsi="Arial" w:cs="Arial"/>
                <w:color w:val="7030A0"/>
                <w:sz w:val="20"/>
                <w:szCs w:val="20"/>
                <w:lang w:val="es-ES"/>
              </w:rPr>
            </w:pPr>
            <w:r w:rsidRPr="005729E7">
              <w:rPr>
                <w:rFonts w:ascii="Arial" w:hAnsi="Arial" w:cs="Arial"/>
                <w:color w:val="7030A0"/>
                <w:sz w:val="20"/>
                <w:szCs w:val="20"/>
                <w:lang w:val="es-ES"/>
              </w:rPr>
              <w:t>ARTÍCULO 9o. INSTANCIAS. Los procesos tendrán dos instancias a menos que la ley establezca una sola.</w:t>
            </w:r>
          </w:p>
          <w:p w14:paraId="0F9C35AD" w14:textId="2F3616DD" w:rsidR="00A54CF9" w:rsidRPr="00A54CF9" w:rsidRDefault="00A54CF9" w:rsidP="00A54CF9">
            <w:pPr>
              <w:pStyle w:val="Prrafodelista"/>
              <w:spacing w:after="160" w:line="259" w:lineRule="auto"/>
              <w:rPr>
                <w:rFonts w:ascii="Arial" w:hAnsi="Arial" w:cs="Arial"/>
                <w:color w:val="7030A0"/>
                <w:sz w:val="20"/>
                <w:szCs w:val="20"/>
                <w:lang w:val="es-ES"/>
              </w:rPr>
            </w:pPr>
          </w:p>
        </w:tc>
      </w:tr>
      <w:tr w:rsidR="00F308DA" w:rsidRPr="00014F59" w14:paraId="7DD495EE" w14:textId="77777777" w:rsidTr="00214D80">
        <w:tc>
          <w:tcPr>
            <w:tcW w:w="6232" w:type="dxa"/>
          </w:tcPr>
          <w:p w14:paraId="3580310D" w14:textId="236B1567" w:rsidR="00F308DA" w:rsidRPr="00E1294D" w:rsidRDefault="00F308DA" w:rsidP="00F308DA">
            <w:pPr>
              <w:pStyle w:val="Prrafodelista"/>
              <w:numPr>
                <w:ilvl w:val="0"/>
                <w:numId w:val="2"/>
              </w:numPr>
              <w:ind w:left="360"/>
              <w:jc w:val="both"/>
              <w:rPr>
                <w:rFonts w:ascii="Arial" w:hAnsi="Arial" w:cs="Arial"/>
                <w:sz w:val="20"/>
                <w:szCs w:val="20"/>
                <w:lang w:val="es-ES"/>
              </w:rPr>
            </w:pPr>
            <w:r w:rsidRPr="00E1294D">
              <w:rPr>
                <w:rFonts w:ascii="Arial" w:hAnsi="Arial" w:cs="Arial"/>
                <w:sz w:val="20"/>
                <w:szCs w:val="20"/>
                <w:lang w:val="es-ES"/>
              </w:rPr>
              <w:lastRenderedPageBreak/>
              <w:t xml:space="preserve">El </w:t>
            </w:r>
            <w:r w:rsidRPr="00E1294D">
              <w:rPr>
                <w:rFonts w:ascii="Arial" w:hAnsi="Arial" w:cs="Arial"/>
                <w:b/>
                <w:bCs/>
                <w:sz w:val="20"/>
                <w:szCs w:val="20"/>
                <w:lang w:val="es-ES"/>
              </w:rPr>
              <w:t xml:space="preserve">23 de junio de 2021, </w:t>
            </w:r>
            <w:r w:rsidRPr="00E1294D">
              <w:rPr>
                <w:rFonts w:ascii="Arial" w:hAnsi="Arial" w:cs="Arial"/>
                <w:sz w:val="20"/>
                <w:szCs w:val="20"/>
                <w:lang w:val="es-ES"/>
              </w:rPr>
              <w:t xml:space="preserve">la Sala Laboral de la Corte Suprema de Justicia confirmó el fallo de tutela que negaba el amparo pretendido por Axa Colpatria. </w:t>
            </w:r>
          </w:p>
          <w:p w14:paraId="1B317D33" w14:textId="77777777" w:rsidR="00F308DA" w:rsidRDefault="00F308DA" w:rsidP="00F308DA">
            <w:pPr>
              <w:jc w:val="both"/>
              <w:rPr>
                <w:rFonts w:ascii="Arial" w:hAnsi="Arial" w:cs="Arial"/>
                <w:lang w:val="es-ES"/>
              </w:rPr>
            </w:pPr>
          </w:p>
        </w:tc>
        <w:tc>
          <w:tcPr>
            <w:tcW w:w="6521" w:type="dxa"/>
          </w:tcPr>
          <w:p w14:paraId="65437EA1" w14:textId="77777777" w:rsidR="00F308DA" w:rsidRDefault="00F308DA" w:rsidP="00F308DA">
            <w:pPr>
              <w:jc w:val="both"/>
              <w:rPr>
                <w:rFonts w:ascii="Arial" w:hAnsi="Arial" w:cs="Arial"/>
                <w:color w:val="2F5496" w:themeColor="accent1" w:themeShade="BF"/>
                <w:sz w:val="20"/>
                <w:szCs w:val="20"/>
                <w:lang w:val="es-ES"/>
              </w:rPr>
            </w:pPr>
          </w:p>
          <w:p w14:paraId="549CD143" w14:textId="695DD4A1" w:rsidR="00F308DA" w:rsidRDefault="00F308DA" w:rsidP="00F308DA">
            <w:pPr>
              <w:jc w:val="both"/>
              <w:rPr>
                <w:rFonts w:ascii="Arial" w:hAnsi="Arial" w:cs="Arial"/>
                <w:sz w:val="20"/>
                <w:szCs w:val="20"/>
                <w:lang w:val="es-ES"/>
              </w:rPr>
            </w:pPr>
            <w:r>
              <w:rPr>
                <w:rFonts w:ascii="Arial" w:hAnsi="Arial" w:cs="Arial"/>
                <w:color w:val="2F5496" w:themeColor="accent1" w:themeShade="BF"/>
                <w:sz w:val="20"/>
                <w:szCs w:val="20"/>
                <w:lang w:val="es-ES"/>
              </w:rPr>
              <w:t>N/A</w:t>
            </w:r>
          </w:p>
        </w:tc>
        <w:tc>
          <w:tcPr>
            <w:tcW w:w="5103" w:type="dxa"/>
          </w:tcPr>
          <w:p w14:paraId="5BBE8A5B" w14:textId="77777777" w:rsidR="00F308DA" w:rsidRDefault="00F308DA" w:rsidP="00F308DA">
            <w:pPr>
              <w:jc w:val="both"/>
              <w:rPr>
                <w:rFonts w:ascii="Arial" w:hAnsi="Arial" w:cs="Arial"/>
                <w:color w:val="2F5496" w:themeColor="accent1" w:themeShade="BF"/>
                <w:sz w:val="20"/>
                <w:szCs w:val="20"/>
                <w:lang w:val="es-ES"/>
              </w:rPr>
            </w:pPr>
          </w:p>
          <w:p w14:paraId="1F14D8F9" w14:textId="37CEA56B" w:rsidR="00F308DA" w:rsidRDefault="00F308DA" w:rsidP="00F308DA">
            <w:pPr>
              <w:jc w:val="both"/>
              <w:rPr>
                <w:rFonts w:ascii="Arial" w:hAnsi="Arial" w:cs="Arial"/>
                <w:sz w:val="20"/>
                <w:szCs w:val="20"/>
                <w:lang w:val="es-ES"/>
              </w:rPr>
            </w:pPr>
            <w:r w:rsidRPr="00B273F9">
              <w:rPr>
                <w:rFonts w:ascii="Arial" w:hAnsi="Arial" w:cs="Arial"/>
                <w:color w:val="7030A0"/>
                <w:sz w:val="20"/>
                <w:szCs w:val="20"/>
                <w:lang w:val="es-ES"/>
              </w:rPr>
              <w:t>N/A</w:t>
            </w:r>
          </w:p>
        </w:tc>
      </w:tr>
      <w:tr w:rsidR="00F308DA" w:rsidRPr="00014F59" w14:paraId="2566F86A" w14:textId="77777777" w:rsidTr="00214D80">
        <w:tc>
          <w:tcPr>
            <w:tcW w:w="6232" w:type="dxa"/>
          </w:tcPr>
          <w:p w14:paraId="1DA326D5" w14:textId="0F4B6A0F" w:rsidR="00F308DA" w:rsidRPr="00C56097" w:rsidRDefault="00F308DA" w:rsidP="00F308DA">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t xml:space="preserve">El </w:t>
            </w:r>
            <w:r>
              <w:rPr>
                <w:rFonts w:ascii="Arial" w:hAnsi="Arial" w:cs="Arial"/>
                <w:b/>
                <w:bCs/>
                <w:sz w:val="20"/>
                <w:szCs w:val="20"/>
                <w:lang w:val="es-ES"/>
              </w:rPr>
              <w:t>06 de julio de 2021</w:t>
            </w:r>
            <w:r>
              <w:rPr>
                <w:rFonts w:ascii="Arial" w:hAnsi="Arial" w:cs="Arial"/>
                <w:sz w:val="20"/>
                <w:szCs w:val="20"/>
                <w:lang w:val="es-ES"/>
              </w:rPr>
              <w:t xml:space="preserve">, el Juzgado Tercero Civil del Circuito de Villavicencio rechazó de plano la nulidad propuesta. </w:t>
            </w:r>
          </w:p>
        </w:tc>
        <w:tc>
          <w:tcPr>
            <w:tcW w:w="6521" w:type="dxa"/>
          </w:tcPr>
          <w:p w14:paraId="17158103" w14:textId="553010BE" w:rsidR="00F308DA" w:rsidRDefault="003F0FC1" w:rsidP="00F308DA">
            <w:pPr>
              <w:jc w:val="both"/>
              <w:rPr>
                <w:rFonts w:ascii="Arial" w:hAnsi="Arial" w:cs="Arial"/>
                <w:sz w:val="20"/>
                <w:szCs w:val="20"/>
                <w:lang w:val="es-ES"/>
              </w:rPr>
            </w:pPr>
            <w:r>
              <w:rPr>
                <w:rFonts w:ascii="Arial" w:hAnsi="Arial" w:cs="Arial"/>
                <w:color w:val="2F5496" w:themeColor="accent1" w:themeShade="BF"/>
                <w:sz w:val="20"/>
                <w:szCs w:val="20"/>
                <w:lang w:val="es-ES"/>
              </w:rPr>
              <w:t>Es fundamental aclarar que en este auto el juzgado rechazó de plano la nulidad toda vez que se limitó a estudiar la causal supralegal invocada. Sin embargo, nada dijo sobre la causal de que trata el numeral 2 del artículo 133 del C.G.P.</w:t>
            </w:r>
            <w:r w:rsidR="006B3D5E">
              <w:rPr>
                <w:rFonts w:ascii="Arial" w:hAnsi="Arial" w:cs="Arial"/>
                <w:color w:val="2F5496" w:themeColor="accent1" w:themeShade="BF"/>
                <w:sz w:val="20"/>
                <w:szCs w:val="20"/>
                <w:lang w:val="es-ES"/>
              </w:rPr>
              <w:t xml:space="preserve">, también formulada. </w:t>
            </w:r>
          </w:p>
        </w:tc>
        <w:tc>
          <w:tcPr>
            <w:tcW w:w="5103" w:type="dxa"/>
          </w:tcPr>
          <w:p w14:paraId="395DD629" w14:textId="77777777" w:rsidR="00B273F9" w:rsidRDefault="00B273F9" w:rsidP="00F308DA">
            <w:pPr>
              <w:jc w:val="both"/>
              <w:rPr>
                <w:rFonts w:ascii="Arial" w:hAnsi="Arial" w:cs="Arial"/>
                <w:color w:val="7030A0"/>
                <w:sz w:val="20"/>
                <w:szCs w:val="20"/>
                <w:lang w:val="es-ES"/>
              </w:rPr>
            </w:pPr>
          </w:p>
          <w:p w14:paraId="2F031C71" w14:textId="133D7FD5" w:rsidR="00F308DA" w:rsidRDefault="00B273F9" w:rsidP="00F308DA">
            <w:pPr>
              <w:jc w:val="both"/>
              <w:rPr>
                <w:rFonts w:ascii="Arial" w:hAnsi="Arial" w:cs="Arial"/>
                <w:sz w:val="20"/>
                <w:szCs w:val="20"/>
                <w:lang w:val="es-ES"/>
              </w:rPr>
            </w:pPr>
            <w:r w:rsidRPr="00B273F9">
              <w:rPr>
                <w:rFonts w:ascii="Arial" w:hAnsi="Arial" w:cs="Arial"/>
                <w:color w:val="7030A0"/>
                <w:sz w:val="20"/>
                <w:szCs w:val="20"/>
                <w:lang w:val="es-ES"/>
              </w:rPr>
              <w:t>N/A</w:t>
            </w:r>
          </w:p>
        </w:tc>
      </w:tr>
      <w:tr w:rsidR="00F308DA" w:rsidRPr="00014F59" w14:paraId="03C2C050" w14:textId="77777777" w:rsidTr="00214D80">
        <w:tc>
          <w:tcPr>
            <w:tcW w:w="6232" w:type="dxa"/>
          </w:tcPr>
          <w:p w14:paraId="2054FCC1" w14:textId="72C736A6" w:rsidR="00F308DA" w:rsidRPr="00BE45D6" w:rsidRDefault="009C7201" w:rsidP="00BE45D6">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t xml:space="preserve">El </w:t>
            </w:r>
            <w:r>
              <w:rPr>
                <w:rFonts w:ascii="Arial" w:hAnsi="Arial" w:cs="Arial"/>
                <w:b/>
                <w:bCs/>
                <w:sz w:val="20"/>
                <w:szCs w:val="20"/>
                <w:lang w:val="es-ES"/>
              </w:rPr>
              <w:t>09</w:t>
            </w:r>
            <w:r>
              <w:rPr>
                <w:rFonts w:ascii="Arial" w:hAnsi="Arial" w:cs="Arial"/>
                <w:b/>
                <w:bCs/>
                <w:sz w:val="20"/>
                <w:szCs w:val="20"/>
                <w:lang w:val="es-ES"/>
              </w:rPr>
              <w:t xml:space="preserve"> de julio de 2021</w:t>
            </w:r>
            <w:r>
              <w:rPr>
                <w:rFonts w:ascii="Arial" w:hAnsi="Arial" w:cs="Arial"/>
                <w:sz w:val="20"/>
                <w:szCs w:val="20"/>
                <w:lang w:val="es-ES"/>
              </w:rPr>
              <w:t>,</w:t>
            </w:r>
            <w:r>
              <w:rPr>
                <w:rFonts w:ascii="Arial" w:hAnsi="Arial" w:cs="Arial"/>
                <w:sz w:val="20"/>
                <w:szCs w:val="20"/>
                <w:lang w:val="es-ES"/>
              </w:rPr>
              <w:t xml:space="preserve"> el </w:t>
            </w:r>
            <w:proofErr w:type="spellStart"/>
            <w:r>
              <w:rPr>
                <w:rFonts w:ascii="Arial" w:hAnsi="Arial" w:cs="Arial"/>
                <w:sz w:val="20"/>
                <w:szCs w:val="20"/>
                <w:lang w:val="es-ES"/>
              </w:rPr>
              <w:t>Dr</w:t>
            </w:r>
            <w:proofErr w:type="spellEnd"/>
            <w:r>
              <w:rPr>
                <w:rFonts w:ascii="Arial" w:hAnsi="Arial" w:cs="Arial"/>
                <w:sz w:val="20"/>
                <w:szCs w:val="20"/>
                <w:lang w:val="es-ES"/>
              </w:rPr>
              <w:t xml:space="preserve"> Gustavo Herrera</w:t>
            </w:r>
            <w:r w:rsidR="002B5618">
              <w:rPr>
                <w:rFonts w:ascii="Arial" w:hAnsi="Arial" w:cs="Arial"/>
                <w:sz w:val="20"/>
                <w:szCs w:val="20"/>
                <w:lang w:val="es-ES"/>
              </w:rPr>
              <w:t xml:space="preserve"> presentó solicitud de </w:t>
            </w:r>
            <w:r w:rsidR="001253B8">
              <w:rPr>
                <w:rFonts w:ascii="Arial" w:hAnsi="Arial" w:cs="Arial"/>
                <w:sz w:val="20"/>
                <w:szCs w:val="20"/>
                <w:lang w:val="es-ES"/>
              </w:rPr>
              <w:t>adición</w:t>
            </w:r>
            <w:r w:rsidR="002B5618">
              <w:rPr>
                <w:rFonts w:ascii="Arial" w:hAnsi="Arial" w:cs="Arial"/>
                <w:sz w:val="20"/>
                <w:szCs w:val="20"/>
                <w:lang w:val="es-ES"/>
              </w:rPr>
              <w:t xml:space="preserve"> y recurso de reposición y en subsidio de apelación, </w:t>
            </w:r>
            <w:r w:rsidR="00CC1095">
              <w:rPr>
                <w:rFonts w:ascii="Arial" w:hAnsi="Arial" w:cs="Arial"/>
                <w:sz w:val="20"/>
                <w:szCs w:val="20"/>
                <w:lang w:val="es-ES"/>
              </w:rPr>
              <w:t xml:space="preserve">en contra del auto del 06 de julio de 2021 que rechazó la nulidad. </w:t>
            </w:r>
          </w:p>
        </w:tc>
        <w:tc>
          <w:tcPr>
            <w:tcW w:w="6521" w:type="dxa"/>
          </w:tcPr>
          <w:p w14:paraId="2178C22A" w14:textId="77777777" w:rsidR="00F308DA" w:rsidRPr="001253B8" w:rsidRDefault="001253B8" w:rsidP="00F308DA">
            <w:pPr>
              <w:jc w:val="both"/>
              <w:rPr>
                <w:rFonts w:ascii="Arial" w:hAnsi="Arial" w:cs="Arial"/>
                <w:color w:val="2F5496" w:themeColor="accent1" w:themeShade="BF"/>
                <w:sz w:val="20"/>
                <w:szCs w:val="20"/>
                <w:lang w:val="es-ES"/>
              </w:rPr>
            </w:pPr>
            <w:r w:rsidRPr="001253B8">
              <w:rPr>
                <w:rFonts w:ascii="Arial" w:hAnsi="Arial" w:cs="Arial"/>
                <w:color w:val="2F5496" w:themeColor="accent1" w:themeShade="BF"/>
                <w:sz w:val="20"/>
                <w:szCs w:val="20"/>
                <w:lang w:val="es-ES"/>
              </w:rPr>
              <w:t xml:space="preserve">Esta solicitud debe analizarse desde dos puntos de vista: </w:t>
            </w:r>
          </w:p>
          <w:p w14:paraId="72D5B30C" w14:textId="77777777" w:rsidR="001253B8" w:rsidRDefault="001253B8" w:rsidP="00F308DA">
            <w:pPr>
              <w:jc w:val="both"/>
              <w:rPr>
                <w:rFonts w:ascii="Arial" w:hAnsi="Arial" w:cs="Arial"/>
                <w:sz w:val="20"/>
                <w:szCs w:val="20"/>
                <w:lang w:val="es-ES"/>
              </w:rPr>
            </w:pPr>
          </w:p>
          <w:p w14:paraId="2F2371C3" w14:textId="22373EC5" w:rsidR="001253B8" w:rsidRDefault="001253B8" w:rsidP="00F308DA">
            <w:pPr>
              <w:jc w:val="both"/>
              <w:rPr>
                <w:rFonts w:ascii="Arial" w:hAnsi="Arial" w:cs="Arial"/>
                <w:color w:val="2F5496" w:themeColor="accent1" w:themeShade="BF"/>
                <w:sz w:val="20"/>
                <w:szCs w:val="20"/>
                <w:lang w:val="es-ES"/>
              </w:rPr>
            </w:pPr>
            <w:r w:rsidRPr="00972D5A">
              <w:rPr>
                <w:rFonts w:ascii="Arial" w:hAnsi="Arial" w:cs="Arial"/>
                <w:b/>
                <w:bCs/>
                <w:color w:val="2F5496" w:themeColor="accent1" w:themeShade="BF"/>
                <w:sz w:val="20"/>
                <w:szCs w:val="20"/>
                <w:lang w:val="es-ES"/>
              </w:rPr>
              <w:t>Primero</w:t>
            </w:r>
            <w:r w:rsidRPr="001253B8">
              <w:rPr>
                <w:rFonts w:ascii="Arial" w:hAnsi="Arial" w:cs="Arial"/>
                <w:color w:val="2F5496" w:themeColor="accent1" w:themeShade="BF"/>
                <w:sz w:val="20"/>
                <w:szCs w:val="20"/>
                <w:lang w:val="es-ES"/>
              </w:rPr>
              <w:t xml:space="preserve">, la solicitud de adición era totalmente procedente porque el juzgado, cuando se le presentaron dos causales de nulidad, únicamente analizó la supralegal y pasó por alto la contenida en </w:t>
            </w:r>
            <w:r w:rsidRPr="001253B8">
              <w:rPr>
                <w:rFonts w:ascii="Arial" w:hAnsi="Arial" w:cs="Arial"/>
                <w:color w:val="2F5496" w:themeColor="accent1" w:themeShade="BF"/>
                <w:sz w:val="20"/>
                <w:szCs w:val="20"/>
                <w:lang w:val="es-ES"/>
              </w:rPr>
              <w:t>el numeral 2 del artículo 133 del C.G.P., también formulada.</w:t>
            </w:r>
            <w:r w:rsidR="00C96908">
              <w:rPr>
                <w:rFonts w:ascii="Arial" w:hAnsi="Arial" w:cs="Arial"/>
                <w:color w:val="2F5496" w:themeColor="accent1" w:themeShade="BF"/>
                <w:sz w:val="20"/>
                <w:szCs w:val="20"/>
                <w:lang w:val="es-ES"/>
              </w:rPr>
              <w:t xml:space="preserve"> </w:t>
            </w:r>
          </w:p>
          <w:p w14:paraId="29EC0D89" w14:textId="77777777" w:rsidR="00C96908" w:rsidRDefault="00C96908" w:rsidP="00F308DA">
            <w:pPr>
              <w:jc w:val="both"/>
              <w:rPr>
                <w:rFonts w:ascii="Arial" w:hAnsi="Arial" w:cs="Arial"/>
                <w:color w:val="2F5496" w:themeColor="accent1" w:themeShade="BF"/>
                <w:sz w:val="20"/>
                <w:szCs w:val="20"/>
                <w:lang w:val="es-ES"/>
              </w:rPr>
            </w:pPr>
          </w:p>
          <w:p w14:paraId="4AB6E595" w14:textId="2D944D12" w:rsidR="00C96908" w:rsidRPr="001253B8" w:rsidRDefault="00C96908" w:rsidP="00F308DA">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Tan procedente era la solicitud de adición, que el juzgado nos dio la razón en la siguiente providencia. </w:t>
            </w:r>
          </w:p>
          <w:p w14:paraId="27E228FF" w14:textId="77777777" w:rsidR="001253B8" w:rsidRDefault="001253B8" w:rsidP="00F308DA">
            <w:pPr>
              <w:jc w:val="both"/>
              <w:rPr>
                <w:rFonts w:ascii="Arial" w:hAnsi="Arial" w:cs="Arial"/>
                <w:sz w:val="20"/>
                <w:szCs w:val="20"/>
                <w:lang w:val="es-ES"/>
              </w:rPr>
            </w:pPr>
          </w:p>
          <w:p w14:paraId="77713600" w14:textId="6B159C40" w:rsidR="00D738ED" w:rsidRPr="00D738ED" w:rsidRDefault="00D738ED" w:rsidP="00F308DA">
            <w:pPr>
              <w:jc w:val="both"/>
              <w:rPr>
                <w:rFonts w:ascii="Arial" w:hAnsi="Arial" w:cs="Arial"/>
                <w:sz w:val="20"/>
                <w:szCs w:val="20"/>
                <w:lang w:val="es-ES"/>
              </w:rPr>
            </w:pPr>
            <w:r w:rsidRPr="00C96908">
              <w:rPr>
                <w:rFonts w:ascii="Arial" w:hAnsi="Arial" w:cs="Arial"/>
                <w:b/>
                <w:bCs/>
                <w:color w:val="2F5496" w:themeColor="accent1" w:themeShade="BF"/>
                <w:sz w:val="20"/>
                <w:szCs w:val="20"/>
                <w:lang w:val="es-ES"/>
              </w:rPr>
              <w:t>Segundo</w:t>
            </w:r>
            <w:r w:rsidRPr="00D738ED">
              <w:rPr>
                <w:rFonts w:ascii="Arial" w:hAnsi="Arial" w:cs="Arial"/>
                <w:color w:val="2F5496" w:themeColor="accent1" w:themeShade="BF"/>
                <w:sz w:val="20"/>
                <w:szCs w:val="20"/>
                <w:lang w:val="es-ES"/>
              </w:rPr>
              <w:t xml:space="preserve">, </w:t>
            </w:r>
            <w:r>
              <w:rPr>
                <w:rFonts w:ascii="Arial" w:hAnsi="Arial" w:cs="Arial"/>
                <w:color w:val="2F5496" w:themeColor="accent1" w:themeShade="BF"/>
                <w:sz w:val="20"/>
                <w:szCs w:val="20"/>
                <w:lang w:val="es-ES"/>
              </w:rPr>
              <w:t>la presentación de los recursos de reposición y apelación también eran taxativamente procedente</w:t>
            </w:r>
            <w:r w:rsidR="00D50E54">
              <w:rPr>
                <w:rFonts w:ascii="Arial" w:hAnsi="Arial" w:cs="Arial"/>
                <w:color w:val="2F5496" w:themeColor="accent1" w:themeShade="BF"/>
                <w:sz w:val="20"/>
                <w:szCs w:val="20"/>
                <w:lang w:val="es-ES"/>
              </w:rPr>
              <w:t>s</w:t>
            </w:r>
            <w:r>
              <w:rPr>
                <w:rFonts w:ascii="Arial" w:hAnsi="Arial" w:cs="Arial"/>
                <w:color w:val="2F5496" w:themeColor="accent1" w:themeShade="BF"/>
                <w:sz w:val="20"/>
                <w:szCs w:val="20"/>
                <w:lang w:val="es-ES"/>
              </w:rPr>
              <w:t xml:space="preserve">, conforme lo preceptúan los artículos 318 y 321 numeral 6 del C.G.P. </w:t>
            </w:r>
          </w:p>
        </w:tc>
        <w:tc>
          <w:tcPr>
            <w:tcW w:w="5103" w:type="dxa"/>
          </w:tcPr>
          <w:p w14:paraId="4FCCE17E" w14:textId="77777777" w:rsidR="00F308DA" w:rsidRDefault="00F308DA" w:rsidP="00F308DA">
            <w:pPr>
              <w:jc w:val="both"/>
              <w:rPr>
                <w:rFonts w:ascii="Arial" w:hAnsi="Arial" w:cs="Arial"/>
                <w:sz w:val="20"/>
                <w:szCs w:val="20"/>
                <w:lang w:val="es-ES"/>
              </w:rPr>
            </w:pPr>
          </w:p>
          <w:p w14:paraId="2FD3EF8D" w14:textId="77777777" w:rsidR="00FA19CF" w:rsidRPr="00B100BF" w:rsidRDefault="00FA19CF" w:rsidP="00B100BF">
            <w:pPr>
              <w:pStyle w:val="Prrafodelista"/>
              <w:numPr>
                <w:ilvl w:val="0"/>
                <w:numId w:val="3"/>
              </w:numPr>
              <w:spacing w:after="0"/>
              <w:ind w:left="360"/>
              <w:jc w:val="both"/>
              <w:rPr>
                <w:rFonts w:ascii="Arial" w:hAnsi="Arial" w:cs="Arial"/>
                <w:color w:val="7030A0"/>
                <w:sz w:val="20"/>
                <w:szCs w:val="20"/>
                <w:lang w:val="es-ES"/>
              </w:rPr>
            </w:pPr>
            <w:r w:rsidRPr="00B100BF">
              <w:rPr>
                <w:rFonts w:ascii="Arial" w:hAnsi="Arial" w:cs="Arial"/>
                <w:color w:val="7030A0"/>
                <w:sz w:val="20"/>
                <w:szCs w:val="20"/>
                <w:lang w:val="es-ES"/>
              </w:rPr>
              <w:t>ARTÍCULO 287. ADICIÓN. 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76EAD3BC" w14:textId="298FC467" w:rsidR="00FA19CF" w:rsidRPr="00FA19CF" w:rsidRDefault="00D738ED" w:rsidP="00FA19CF">
            <w:pPr>
              <w:jc w:val="both"/>
              <w:rPr>
                <w:rFonts w:ascii="Arial" w:hAnsi="Arial" w:cs="Arial"/>
                <w:color w:val="7030A0"/>
                <w:sz w:val="20"/>
                <w:szCs w:val="20"/>
                <w:lang w:val="es-ES"/>
              </w:rPr>
            </w:pPr>
            <w:r>
              <w:rPr>
                <w:rFonts w:ascii="Arial" w:hAnsi="Arial" w:cs="Arial"/>
                <w:color w:val="7030A0"/>
                <w:sz w:val="20"/>
                <w:szCs w:val="20"/>
                <w:lang w:val="es-ES"/>
              </w:rPr>
              <w:t>(…)</w:t>
            </w:r>
          </w:p>
          <w:p w14:paraId="4911DD10" w14:textId="77777777" w:rsidR="00FA19CF" w:rsidRPr="00FA19CF" w:rsidRDefault="00FA19CF" w:rsidP="00FA19CF">
            <w:pPr>
              <w:spacing w:after="0"/>
              <w:jc w:val="both"/>
              <w:rPr>
                <w:rFonts w:ascii="Arial" w:hAnsi="Arial" w:cs="Arial"/>
                <w:color w:val="7030A0"/>
                <w:sz w:val="20"/>
                <w:szCs w:val="20"/>
                <w:lang w:val="es-ES"/>
              </w:rPr>
            </w:pPr>
            <w:r w:rsidRPr="00FA19CF">
              <w:rPr>
                <w:rFonts w:ascii="Arial" w:hAnsi="Arial" w:cs="Arial"/>
                <w:color w:val="7030A0"/>
                <w:sz w:val="20"/>
                <w:szCs w:val="20"/>
                <w:lang w:val="es-ES"/>
              </w:rPr>
              <w:t>Los autos solo podrán adicionarse de oficio dentro del término de su ejecutoria, o a solicitud de parte presentada en el mismo término.</w:t>
            </w:r>
          </w:p>
          <w:p w14:paraId="574F4FD0" w14:textId="77777777" w:rsidR="00FA19CF" w:rsidRDefault="00FA19CF" w:rsidP="00F308DA">
            <w:pPr>
              <w:jc w:val="both"/>
              <w:rPr>
                <w:rFonts w:ascii="Arial" w:hAnsi="Arial" w:cs="Arial"/>
                <w:sz w:val="20"/>
                <w:szCs w:val="20"/>
                <w:lang w:val="es-ES"/>
              </w:rPr>
            </w:pPr>
          </w:p>
          <w:p w14:paraId="150F4A40" w14:textId="77777777" w:rsidR="00B100BF" w:rsidRDefault="00B100BF" w:rsidP="00F308DA">
            <w:pPr>
              <w:jc w:val="both"/>
              <w:rPr>
                <w:rFonts w:ascii="Arial" w:hAnsi="Arial" w:cs="Arial"/>
                <w:sz w:val="20"/>
                <w:szCs w:val="20"/>
                <w:lang w:val="es-ES"/>
              </w:rPr>
            </w:pPr>
          </w:p>
          <w:p w14:paraId="5D5F43B4" w14:textId="0B78BFDE" w:rsidR="00B100BF" w:rsidRPr="00B100BF" w:rsidRDefault="00B100BF" w:rsidP="00B100BF">
            <w:pPr>
              <w:pStyle w:val="Prrafodelista"/>
              <w:numPr>
                <w:ilvl w:val="0"/>
                <w:numId w:val="3"/>
              </w:numPr>
              <w:jc w:val="both"/>
              <w:rPr>
                <w:rFonts w:ascii="Arial" w:hAnsi="Arial" w:cs="Arial"/>
                <w:color w:val="7030A0"/>
                <w:sz w:val="20"/>
                <w:szCs w:val="20"/>
                <w:lang w:val="es-ES"/>
              </w:rPr>
            </w:pPr>
            <w:r w:rsidRPr="00B100BF">
              <w:rPr>
                <w:rFonts w:ascii="Arial" w:hAnsi="Arial" w:cs="Arial"/>
                <w:color w:val="7030A0"/>
                <w:sz w:val="20"/>
                <w:szCs w:val="20"/>
                <w:lang w:val="es-ES"/>
              </w:rPr>
              <w:t>ARTÍCULO 321. PROCEDENCIA</w:t>
            </w:r>
            <w:r w:rsidR="00BB5C22">
              <w:rPr>
                <w:rFonts w:ascii="Arial" w:hAnsi="Arial" w:cs="Arial"/>
                <w:color w:val="7030A0"/>
                <w:sz w:val="20"/>
                <w:szCs w:val="20"/>
                <w:lang w:val="es-ES"/>
              </w:rPr>
              <w:t xml:space="preserve"> APELACIÓN</w:t>
            </w:r>
            <w:r w:rsidRPr="00B100BF">
              <w:rPr>
                <w:rFonts w:ascii="Arial" w:hAnsi="Arial" w:cs="Arial"/>
                <w:color w:val="7030A0"/>
                <w:sz w:val="20"/>
                <w:szCs w:val="20"/>
                <w:lang w:val="es-ES"/>
              </w:rPr>
              <w:t>.</w:t>
            </w:r>
          </w:p>
          <w:p w14:paraId="78B7C4D4" w14:textId="77777777" w:rsidR="00FA19CF" w:rsidRDefault="00B100BF" w:rsidP="00B100BF">
            <w:pPr>
              <w:spacing w:line="259" w:lineRule="auto"/>
              <w:jc w:val="both"/>
              <w:rPr>
                <w:rFonts w:ascii="Arial" w:hAnsi="Arial" w:cs="Arial"/>
                <w:b/>
                <w:bCs/>
                <w:color w:val="7030A0"/>
                <w:sz w:val="20"/>
                <w:szCs w:val="20"/>
                <w:u w:val="single"/>
                <w:lang w:val="es-ES"/>
              </w:rPr>
            </w:pPr>
            <w:r w:rsidRPr="00B100BF">
              <w:rPr>
                <w:rFonts w:ascii="Arial" w:hAnsi="Arial" w:cs="Arial"/>
                <w:color w:val="7030A0"/>
                <w:sz w:val="20"/>
                <w:szCs w:val="20"/>
                <w:lang w:val="es-ES"/>
              </w:rPr>
              <w:t>También son apelables los siguientes autos proferidos en primera instancia:</w:t>
            </w:r>
            <w:r w:rsidRPr="00B100BF">
              <w:rPr>
                <w:color w:val="7030A0"/>
              </w:rPr>
              <w:t xml:space="preserve"> </w:t>
            </w:r>
            <w:r w:rsidRPr="00B100BF">
              <w:rPr>
                <w:rFonts w:ascii="Arial" w:hAnsi="Arial" w:cs="Arial"/>
                <w:color w:val="7030A0"/>
                <w:sz w:val="20"/>
                <w:szCs w:val="20"/>
                <w:lang w:val="es-ES"/>
              </w:rPr>
              <w:t xml:space="preserve">6. </w:t>
            </w:r>
            <w:r w:rsidRPr="00B100BF">
              <w:rPr>
                <w:rFonts w:ascii="Arial" w:hAnsi="Arial" w:cs="Arial"/>
                <w:b/>
                <w:bCs/>
                <w:color w:val="7030A0"/>
                <w:sz w:val="20"/>
                <w:szCs w:val="20"/>
                <w:u w:val="single"/>
                <w:lang w:val="es-ES"/>
              </w:rPr>
              <w:t>El que niegue el trámite de una nulidad procesal y el que la resuelva.</w:t>
            </w:r>
          </w:p>
          <w:p w14:paraId="50FDDACB" w14:textId="77777777" w:rsidR="00BB5C22" w:rsidRDefault="00BB5C22" w:rsidP="00B100BF">
            <w:pPr>
              <w:spacing w:line="259" w:lineRule="auto"/>
              <w:jc w:val="both"/>
              <w:rPr>
                <w:rFonts w:ascii="Arial" w:hAnsi="Arial" w:cs="Arial"/>
                <w:b/>
                <w:bCs/>
                <w:color w:val="7030A0"/>
                <w:sz w:val="20"/>
                <w:szCs w:val="20"/>
                <w:u w:val="single"/>
                <w:lang w:val="es-ES"/>
              </w:rPr>
            </w:pPr>
          </w:p>
          <w:p w14:paraId="1101BD23" w14:textId="2EC9396C" w:rsidR="00BB5C22" w:rsidRPr="00BB5C22" w:rsidRDefault="00BB5C22" w:rsidP="00BB5C22">
            <w:pPr>
              <w:pStyle w:val="Prrafodelista"/>
              <w:numPr>
                <w:ilvl w:val="0"/>
                <w:numId w:val="3"/>
              </w:numPr>
              <w:jc w:val="both"/>
              <w:rPr>
                <w:rFonts w:ascii="Arial" w:hAnsi="Arial" w:cs="Arial"/>
                <w:color w:val="7030A0"/>
                <w:sz w:val="20"/>
                <w:szCs w:val="20"/>
                <w:lang w:val="es-ES"/>
              </w:rPr>
            </w:pPr>
            <w:r w:rsidRPr="00BB5C22">
              <w:rPr>
                <w:rFonts w:ascii="Arial" w:hAnsi="Arial" w:cs="Arial"/>
                <w:color w:val="7030A0"/>
                <w:sz w:val="20"/>
                <w:szCs w:val="20"/>
                <w:lang w:val="es-ES"/>
              </w:rPr>
              <w:t xml:space="preserve">ARTÍCULO 318. PROCEDENCIA </w:t>
            </w:r>
            <w:r>
              <w:rPr>
                <w:rFonts w:ascii="Arial" w:hAnsi="Arial" w:cs="Arial"/>
                <w:color w:val="7030A0"/>
                <w:sz w:val="20"/>
                <w:szCs w:val="20"/>
                <w:lang w:val="es-ES"/>
              </w:rPr>
              <w:t>REPOSICIÓN</w:t>
            </w:r>
            <w:r w:rsidRPr="00BB5C22">
              <w:rPr>
                <w:rFonts w:ascii="Arial" w:hAnsi="Arial" w:cs="Arial"/>
                <w:color w:val="7030A0"/>
                <w:sz w:val="20"/>
                <w:szCs w:val="20"/>
                <w:lang w:val="es-ES"/>
              </w:rPr>
              <w:t>. Salvo norma en contrario, el recurso de reposición procede contra los autos que dicte el juez, contra los del magistrado sustanciador no susceptibles de súplica</w:t>
            </w:r>
            <w:r w:rsidR="00D4340E">
              <w:rPr>
                <w:rFonts w:ascii="Arial" w:hAnsi="Arial" w:cs="Arial"/>
                <w:color w:val="7030A0"/>
                <w:sz w:val="20"/>
                <w:szCs w:val="20"/>
                <w:lang w:val="es-ES"/>
              </w:rPr>
              <w:t xml:space="preserve"> (…) </w:t>
            </w:r>
            <w:r w:rsidRPr="00BB5C22">
              <w:rPr>
                <w:rFonts w:ascii="Arial" w:hAnsi="Arial" w:cs="Arial"/>
                <w:color w:val="7030A0"/>
                <w:sz w:val="20"/>
                <w:szCs w:val="20"/>
                <w:lang w:val="es-ES"/>
              </w:rPr>
              <w:t>para que se reformen o revoquen.</w:t>
            </w:r>
          </w:p>
          <w:p w14:paraId="4D319F8D" w14:textId="170F2A8E" w:rsidR="00BB5C22" w:rsidRPr="00B100BF" w:rsidRDefault="00BB5C22" w:rsidP="00B100BF">
            <w:pPr>
              <w:spacing w:line="259" w:lineRule="auto"/>
              <w:jc w:val="both"/>
              <w:rPr>
                <w:rFonts w:ascii="Arial" w:hAnsi="Arial" w:cs="Arial"/>
                <w:b/>
                <w:bCs/>
                <w:color w:val="7030A0"/>
                <w:sz w:val="20"/>
                <w:szCs w:val="20"/>
                <w:u w:val="single"/>
                <w:lang w:val="es-ES"/>
              </w:rPr>
            </w:pPr>
          </w:p>
        </w:tc>
      </w:tr>
      <w:tr w:rsidR="00F308DA" w:rsidRPr="00014F59" w14:paraId="39020C83" w14:textId="77777777" w:rsidTr="00214D80">
        <w:tc>
          <w:tcPr>
            <w:tcW w:w="6232" w:type="dxa"/>
          </w:tcPr>
          <w:p w14:paraId="3A68BCBB" w14:textId="70721757" w:rsidR="00F308DA" w:rsidRPr="00B36D35" w:rsidRDefault="00220D6E" w:rsidP="00666441">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lastRenderedPageBreak/>
              <w:t xml:space="preserve">El </w:t>
            </w:r>
            <w:r w:rsidRPr="00220D6E">
              <w:rPr>
                <w:rFonts w:ascii="Arial" w:hAnsi="Arial" w:cs="Arial"/>
                <w:b/>
                <w:bCs/>
                <w:sz w:val="20"/>
                <w:szCs w:val="20"/>
                <w:lang w:val="es-ES"/>
              </w:rPr>
              <w:t>19 de agosto de 2021</w:t>
            </w:r>
            <w:r>
              <w:rPr>
                <w:rFonts w:ascii="Arial" w:hAnsi="Arial" w:cs="Arial"/>
                <w:sz w:val="20"/>
                <w:szCs w:val="20"/>
                <w:lang w:val="es-ES"/>
              </w:rPr>
              <w:t>, el juzgado Tercero Civil del Circuito de Villavicencio declaró procedente y accedió a la solicitud de adición. Así mismo,</w:t>
            </w:r>
            <w:r w:rsidR="00E50073">
              <w:rPr>
                <w:rFonts w:ascii="Arial" w:hAnsi="Arial" w:cs="Arial"/>
                <w:sz w:val="20"/>
                <w:szCs w:val="20"/>
                <w:lang w:val="es-ES"/>
              </w:rPr>
              <w:t xml:space="preserve"> estudió de fondo la causal de nulidad contenida en el numeral 2 del artículo 133 del C.G.P., </w:t>
            </w:r>
            <w:r w:rsidR="004A2513">
              <w:rPr>
                <w:rFonts w:ascii="Arial" w:hAnsi="Arial" w:cs="Arial"/>
                <w:sz w:val="20"/>
                <w:szCs w:val="20"/>
                <w:lang w:val="es-ES"/>
              </w:rPr>
              <w:t>para posteriormente negarla</w:t>
            </w:r>
            <w:r w:rsidR="00135742">
              <w:rPr>
                <w:rFonts w:ascii="Arial" w:hAnsi="Arial" w:cs="Arial"/>
                <w:sz w:val="20"/>
                <w:szCs w:val="20"/>
                <w:lang w:val="es-ES"/>
              </w:rPr>
              <w:t xml:space="preserve"> por diferencia de criterio. </w:t>
            </w:r>
            <w:r w:rsidR="000E7C33">
              <w:rPr>
                <w:rFonts w:ascii="Arial" w:hAnsi="Arial" w:cs="Arial"/>
                <w:sz w:val="20"/>
                <w:szCs w:val="20"/>
                <w:lang w:val="es-ES"/>
              </w:rPr>
              <w:t xml:space="preserve">Finalmente, concedió el recurso de apelación. </w:t>
            </w:r>
          </w:p>
        </w:tc>
        <w:tc>
          <w:tcPr>
            <w:tcW w:w="6521" w:type="dxa"/>
          </w:tcPr>
          <w:p w14:paraId="3400AF24" w14:textId="47DAAB43" w:rsidR="00AD6EA2" w:rsidRDefault="00AD6EA2" w:rsidP="00AD6EA2">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Observaciones frente a la solicitud de adición y los recursos: </w:t>
            </w:r>
          </w:p>
          <w:p w14:paraId="485F8B0E" w14:textId="77777777" w:rsidR="00AD6EA2" w:rsidRDefault="00AD6EA2" w:rsidP="00AD6EA2">
            <w:pPr>
              <w:jc w:val="both"/>
              <w:rPr>
                <w:rFonts w:ascii="Arial" w:hAnsi="Arial" w:cs="Arial"/>
                <w:color w:val="2F5496" w:themeColor="accent1" w:themeShade="BF"/>
                <w:sz w:val="20"/>
                <w:szCs w:val="20"/>
                <w:lang w:val="es-ES"/>
              </w:rPr>
            </w:pPr>
          </w:p>
          <w:p w14:paraId="397DDF26" w14:textId="28065905" w:rsidR="00AD6EA2" w:rsidRDefault="00AD6EA2" w:rsidP="00AD6EA2">
            <w:pPr>
              <w:jc w:val="both"/>
              <w:rPr>
                <w:rFonts w:ascii="Arial" w:hAnsi="Arial" w:cs="Arial"/>
                <w:color w:val="2F5496" w:themeColor="accent1" w:themeShade="BF"/>
                <w:sz w:val="20"/>
                <w:szCs w:val="20"/>
                <w:lang w:val="es-ES"/>
              </w:rPr>
            </w:pPr>
            <w:r>
              <w:rPr>
                <w:rFonts w:ascii="Arial" w:hAnsi="Arial" w:cs="Arial"/>
                <w:b/>
                <w:bCs/>
                <w:color w:val="2F5496" w:themeColor="accent1" w:themeShade="BF"/>
                <w:sz w:val="20"/>
                <w:szCs w:val="20"/>
                <w:lang w:val="es-ES"/>
              </w:rPr>
              <w:t xml:space="preserve">Adición. </w:t>
            </w:r>
            <w:r>
              <w:rPr>
                <w:rFonts w:ascii="Arial" w:hAnsi="Arial" w:cs="Arial"/>
                <w:color w:val="2F5496" w:themeColor="accent1" w:themeShade="BF"/>
                <w:sz w:val="20"/>
                <w:szCs w:val="20"/>
                <w:lang w:val="es-ES"/>
              </w:rPr>
              <w:t xml:space="preserve">Tan procedente era, que el juzgado accedió a la misma. </w:t>
            </w:r>
          </w:p>
          <w:p w14:paraId="7427BB1C" w14:textId="77777777" w:rsidR="00AD6EA2" w:rsidRDefault="00AD6EA2" w:rsidP="00AD6EA2">
            <w:pPr>
              <w:jc w:val="both"/>
              <w:rPr>
                <w:rFonts w:ascii="Arial" w:hAnsi="Arial" w:cs="Arial"/>
                <w:color w:val="2F5496" w:themeColor="accent1" w:themeShade="BF"/>
                <w:sz w:val="20"/>
                <w:szCs w:val="20"/>
                <w:lang w:val="es-ES"/>
              </w:rPr>
            </w:pPr>
          </w:p>
          <w:p w14:paraId="0A6918AA" w14:textId="1F36FE19" w:rsidR="00AD6EA2" w:rsidRDefault="00AD6EA2" w:rsidP="00AD6EA2">
            <w:pPr>
              <w:jc w:val="both"/>
              <w:rPr>
                <w:rFonts w:ascii="Arial" w:hAnsi="Arial" w:cs="Arial"/>
                <w:color w:val="2F5496" w:themeColor="accent1" w:themeShade="BF"/>
                <w:sz w:val="20"/>
                <w:szCs w:val="20"/>
                <w:lang w:val="es-ES"/>
              </w:rPr>
            </w:pPr>
            <w:r>
              <w:rPr>
                <w:rFonts w:ascii="Arial" w:hAnsi="Arial" w:cs="Arial"/>
                <w:b/>
                <w:bCs/>
                <w:color w:val="2F5496" w:themeColor="accent1" w:themeShade="BF"/>
                <w:sz w:val="20"/>
                <w:szCs w:val="20"/>
                <w:lang w:val="es-ES"/>
              </w:rPr>
              <w:t xml:space="preserve">Reposición. </w:t>
            </w:r>
            <w:r>
              <w:rPr>
                <w:rFonts w:ascii="Arial" w:hAnsi="Arial" w:cs="Arial"/>
                <w:color w:val="2F5496" w:themeColor="accent1" w:themeShade="BF"/>
                <w:sz w:val="20"/>
                <w:szCs w:val="20"/>
                <w:lang w:val="es-ES"/>
              </w:rPr>
              <w:t xml:space="preserve">Tan procedente era, que el juzgado lo estudió de fondo. </w:t>
            </w:r>
          </w:p>
          <w:p w14:paraId="7E8D19B0" w14:textId="77777777" w:rsidR="00AD6EA2" w:rsidRDefault="00AD6EA2" w:rsidP="00AD6EA2">
            <w:pPr>
              <w:jc w:val="both"/>
              <w:rPr>
                <w:rFonts w:ascii="Arial" w:hAnsi="Arial" w:cs="Arial"/>
                <w:color w:val="2F5496" w:themeColor="accent1" w:themeShade="BF"/>
                <w:sz w:val="20"/>
                <w:szCs w:val="20"/>
                <w:lang w:val="es-ES"/>
              </w:rPr>
            </w:pPr>
          </w:p>
          <w:p w14:paraId="7E2E8B38" w14:textId="30F038CE" w:rsidR="00AD6EA2" w:rsidRPr="00AD6EA2" w:rsidRDefault="00AD6EA2" w:rsidP="00AD6EA2">
            <w:pPr>
              <w:jc w:val="both"/>
              <w:rPr>
                <w:rFonts w:ascii="Arial" w:hAnsi="Arial" w:cs="Arial"/>
                <w:color w:val="2F5496" w:themeColor="accent1" w:themeShade="BF"/>
                <w:sz w:val="20"/>
                <w:szCs w:val="20"/>
                <w:lang w:val="es-ES"/>
              </w:rPr>
            </w:pPr>
            <w:r>
              <w:rPr>
                <w:rFonts w:ascii="Arial" w:hAnsi="Arial" w:cs="Arial"/>
                <w:b/>
                <w:bCs/>
                <w:color w:val="2F5496" w:themeColor="accent1" w:themeShade="BF"/>
                <w:sz w:val="20"/>
                <w:szCs w:val="20"/>
                <w:lang w:val="es-ES"/>
              </w:rPr>
              <w:t xml:space="preserve">Apelación. </w:t>
            </w:r>
            <w:r>
              <w:rPr>
                <w:rFonts w:ascii="Arial" w:hAnsi="Arial" w:cs="Arial"/>
                <w:color w:val="2F5496" w:themeColor="accent1" w:themeShade="BF"/>
                <w:sz w:val="20"/>
                <w:szCs w:val="20"/>
                <w:lang w:val="es-ES"/>
              </w:rPr>
              <w:t xml:space="preserve">Tan procedente era, que el juzgado concedió el recurso. </w:t>
            </w:r>
          </w:p>
          <w:p w14:paraId="5F1D3330" w14:textId="77777777" w:rsidR="00F308DA" w:rsidRDefault="00F308DA" w:rsidP="00F308DA">
            <w:pPr>
              <w:jc w:val="both"/>
              <w:rPr>
                <w:rFonts w:ascii="Arial" w:hAnsi="Arial" w:cs="Arial"/>
                <w:sz w:val="20"/>
                <w:szCs w:val="20"/>
                <w:lang w:val="es-ES"/>
              </w:rPr>
            </w:pPr>
          </w:p>
        </w:tc>
        <w:tc>
          <w:tcPr>
            <w:tcW w:w="5103" w:type="dxa"/>
          </w:tcPr>
          <w:p w14:paraId="4D47248E" w14:textId="77777777" w:rsidR="000D6D9E" w:rsidRDefault="000D6D9E" w:rsidP="00F308DA">
            <w:pPr>
              <w:jc w:val="both"/>
              <w:rPr>
                <w:rFonts w:ascii="Arial" w:hAnsi="Arial" w:cs="Arial"/>
                <w:color w:val="7030A0"/>
                <w:sz w:val="20"/>
                <w:szCs w:val="20"/>
                <w:lang w:val="es-ES"/>
              </w:rPr>
            </w:pPr>
          </w:p>
          <w:p w14:paraId="17D25183" w14:textId="77777777" w:rsidR="000D6D9E" w:rsidRDefault="000D6D9E" w:rsidP="00F308DA">
            <w:pPr>
              <w:jc w:val="both"/>
              <w:rPr>
                <w:rFonts w:ascii="Arial" w:hAnsi="Arial" w:cs="Arial"/>
                <w:color w:val="7030A0"/>
                <w:sz w:val="20"/>
                <w:szCs w:val="20"/>
                <w:lang w:val="es-ES"/>
              </w:rPr>
            </w:pPr>
          </w:p>
          <w:p w14:paraId="2BD3926B" w14:textId="77777777" w:rsidR="000D6D9E" w:rsidRDefault="000D6D9E" w:rsidP="00F308DA">
            <w:pPr>
              <w:jc w:val="both"/>
              <w:rPr>
                <w:rFonts w:ascii="Arial" w:hAnsi="Arial" w:cs="Arial"/>
                <w:color w:val="7030A0"/>
                <w:sz w:val="20"/>
                <w:szCs w:val="20"/>
                <w:lang w:val="es-ES"/>
              </w:rPr>
            </w:pPr>
          </w:p>
          <w:p w14:paraId="7E41AFCB" w14:textId="7A8DC536" w:rsidR="00F308DA" w:rsidRDefault="000D6D9E" w:rsidP="00F308DA">
            <w:pPr>
              <w:jc w:val="both"/>
              <w:rPr>
                <w:rFonts w:ascii="Arial" w:hAnsi="Arial" w:cs="Arial"/>
                <w:sz w:val="20"/>
                <w:szCs w:val="20"/>
                <w:lang w:val="es-ES"/>
              </w:rPr>
            </w:pPr>
            <w:r w:rsidRPr="00B273F9">
              <w:rPr>
                <w:rFonts w:ascii="Arial" w:hAnsi="Arial" w:cs="Arial"/>
                <w:color w:val="7030A0"/>
                <w:sz w:val="20"/>
                <w:szCs w:val="20"/>
                <w:lang w:val="es-ES"/>
              </w:rPr>
              <w:t>N/A</w:t>
            </w:r>
          </w:p>
        </w:tc>
      </w:tr>
      <w:tr w:rsidR="001B0351" w:rsidRPr="00014F59" w14:paraId="48217DF3" w14:textId="77777777" w:rsidTr="00214D80">
        <w:tc>
          <w:tcPr>
            <w:tcW w:w="6232" w:type="dxa"/>
          </w:tcPr>
          <w:p w14:paraId="13AFF3E4" w14:textId="5E241D8E" w:rsidR="001B0351" w:rsidRDefault="00330388" w:rsidP="001B0351">
            <w:pPr>
              <w:pStyle w:val="Prrafodelista"/>
              <w:numPr>
                <w:ilvl w:val="0"/>
                <w:numId w:val="2"/>
              </w:numPr>
              <w:ind w:left="360"/>
              <w:jc w:val="both"/>
              <w:rPr>
                <w:rFonts w:ascii="Arial" w:hAnsi="Arial" w:cs="Arial"/>
                <w:sz w:val="20"/>
                <w:szCs w:val="20"/>
                <w:lang w:val="es-ES"/>
              </w:rPr>
            </w:pPr>
            <w:r w:rsidRPr="004E41E0">
              <w:rPr>
                <w:rFonts w:ascii="Arial" w:hAnsi="Arial" w:cs="Arial"/>
                <w:color w:val="000000" w:themeColor="text1"/>
                <w:sz w:val="20"/>
                <w:szCs w:val="20"/>
                <w:lang w:val="es-ES"/>
              </w:rPr>
              <w:t>El</w:t>
            </w:r>
            <w:r w:rsidRPr="00330388">
              <w:rPr>
                <w:rFonts w:ascii="Arial" w:hAnsi="Arial" w:cs="Arial"/>
                <w:b/>
                <w:bCs/>
                <w:color w:val="000000" w:themeColor="text1"/>
                <w:sz w:val="20"/>
                <w:szCs w:val="20"/>
                <w:lang w:val="es-ES"/>
              </w:rPr>
              <w:t xml:space="preserve"> 13 de octubre de 2021</w:t>
            </w:r>
            <w:r>
              <w:rPr>
                <w:rFonts w:ascii="Arial" w:hAnsi="Arial" w:cs="Arial"/>
                <w:color w:val="000000" w:themeColor="text1"/>
                <w:sz w:val="20"/>
                <w:szCs w:val="20"/>
                <w:lang w:val="es-ES"/>
              </w:rPr>
              <w:t>, e</w:t>
            </w:r>
            <w:r w:rsidR="001B0351">
              <w:rPr>
                <w:rFonts w:ascii="Arial" w:hAnsi="Arial" w:cs="Arial"/>
                <w:sz w:val="20"/>
                <w:szCs w:val="20"/>
                <w:lang w:val="es-ES"/>
              </w:rPr>
              <w:t xml:space="preserve">l extremo activo solicitó se librara mandamiento de pago. </w:t>
            </w:r>
          </w:p>
          <w:p w14:paraId="1EA6CA8B" w14:textId="6AD4C9A6" w:rsidR="00A371F6" w:rsidRPr="009710A3" w:rsidRDefault="00A371F6" w:rsidP="00A371F6">
            <w:pPr>
              <w:pStyle w:val="Prrafodelista"/>
              <w:ind w:left="360"/>
              <w:jc w:val="both"/>
              <w:rPr>
                <w:rFonts w:ascii="Arial" w:hAnsi="Arial" w:cs="Arial"/>
                <w:sz w:val="20"/>
                <w:szCs w:val="20"/>
                <w:lang w:val="es-ES"/>
              </w:rPr>
            </w:pPr>
          </w:p>
        </w:tc>
        <w:tc>
          <w:tcPr>
            <w:tcW w:w="6521" w:type="dxa"/>
          </w:tcPr>
          <w:p w14:paraId="7D420DE6" w14:textId="77777777" w:rsidR="001B0351" w:rsidRDefault="001B0351" w:rsidP="001B0351">
            <w:pPr>
              <w:jc w:val="both"/>
              <w:rPr>
                <w:rFonts w:ascii="Arial" w:hAnsi="Arial" w:cs="Arial"/>
                <w:color w:val="2F5496" w:themeColor="accent1" w:themeShade="BF"/>
                <w:sz w:val="20"/>
                <w:szCs w:val="20"/>
                <w:lang w:val="es-ES"/>
              </w:rPr>
            </w:pPr>
          </w:p>
          <w:p w14:paraId="7FB4FEE0" w14:textId="6A1C2225" w:rsidR="001B0351" w:rsidRDefault="001B0351" w:rsidP="001B0351">
            <w:pPr>
              <w:jc w:val="both"/>
              <w:rPr>
                <w:rFonts w:ascii="Arial" w:hAnsi="Arial" w:cs="Arial"/>
                <w:sz w:val="20"/>
                <w:szCs w:val="20"/>
                <w:lang w:val="es-ES"/>
              </w:rPr>
            </w:pPr>
            <w:r>
              <w:rPr>
                <w:rFonts w:ascii="Arial" w:hAnsi="Arial" w:cs="Arial"/>
                <w:color w:val="2F5496" w:themeColor="accent1" w:themeShade="BF"/>
                <w:sz w:val="20"/>
                <w:szCs w:val="20"/>
                <w:lang w:val="es-ES"/>
              </w:rPr>
              <w:t>N/A</w:t>
            </w:r>
          </w:p>
        </w:tc>
        <w:tc>
          <w:tcPr>
            <w:tcW w:w="5103" w:type="dxa"/>
          </w:tcPr>
          <w:p w14:paraId="5456CD5E" w14:textId="77777777" w:rsidR="001B0351" w:rsidRDefault="001B0351" w:rsidP="001B0351">
            <w:pPr>
              <w:jc w:val="both"/>
              <w:rPr>
                <w:rFonts w:ascii="Arial" w:hAnsi="Arial" w:cs="Arial"/>
                <w:color w:val="2F5496" w:themeColor="accent1" w:themeShade="BF"/>
                <w:sz w:val="20"/>
                <w:szCs w:val="20"/>
                <w:lang w:val="es-ES"/>
              </w:rPr>
            </w:pPr>
          </w:p>
          <w:p w14:paraId="5DA2C30C" w14:textId="21116684" w:rsidR="001B0351" w:rsidRDefault="001B0351" w:rsidP="001B0351">
            <w:pPr>
              <w:jc w:val="both"/>
              <w:rPr>
                <w:rFonts w:ascii="Arial" w:hAnsi="Arial" w:cs="Arial"/>
                <w:sz w:val="20"/>
                <w:szCs w:val="20"/>
                <w:lang w:val="es-ES"/>
              </w:rPr>
            </w:pPr>
            <w:r w:rsidRPr="00B273F9">
              <w:rPr>
                <w:rFonts w:ascii="Arial" w:hAnsi="Arial" w:cs="Arial"/>
                <w:color w:val="7030A0"/>
                <w:sz w:val="20"/>
                <w:szCs w:val="20"/>
                <w:lang w:val="es-ES"/>
              </w:rPr>
              <w:t>N/A</w:t>
            </w:r>
          </w:p>
        </w:tc>
      </w:tr>
      <w:tr w:rsidR="00221B42" w:rsidRPr="00014F59" w14:paraId="47337406" w14:textId="77777777" w:rsidTr="00214D80">
        <w:tc>
          <w:tcPr>
            <w:tcW w:w="6232" w:type="dxa"/>
          </w:tcPr>
          <w:p w14:paraId="5146494B" w14:textId="526A9AF8" w:rsidR="00221B42" w:rsidRPr="007E7C4D" w:rsidRDefault="00221B42" w:rsidP="00221B42">
            <w:pPr>
              <w:pStyle w:val="Prrafodelista"/>
              <w:numPr>
                <w:ilvl w:val="0"/>
                <w:numId w:val="2"/>
              </w:numPr>
              <w:ind w:left="360"/>
              <w:jc w:val="both"/>
              <w:rPr>
                <w:rFonts w:ascii="Arial" w:hAnsi="Arial" w:cs="Arial"/>
                <w:sz w:val="20"/>
                <w:szCs w:val="20"/>
                <w:lang w:val="es-ES"/>
              </w:rPr>
            </w:pPr>
            <w:r w:rsidRPr="007E7C4D">
              <w:rPr>
                <w:rFonts w:ascii="Arial" w:hAnsi="Arial" w:cs="Arial"/>
                <w:sz w:val="20"/>
                <w:szCs w:val="20"/>
                <w:lang w:val="es-ES"/>
              </w:rPr>
              <w:t xml:space="preserve">El </w:t>
            </w:r>
            <w:r>
              <w:rPr>
                <w:rFonts w:ascii="Arial" w:hAnsi="Arial" w:cs="Arial"/>
                <w:b/>
                <w:bCs/>
                <w:sz w:val="20"/>
                <w:szCs w:val="20"/>
                <w:lang w:val="es-ES"/>
              </w:rPr>
              <w:t>22 de octubre de 2021</w:t>
            </w:r>
            <w:r>
              <w:rPr>
                <w:rFonts w:ascii="Arial" w:hAnsi="Arial" w:cs="Arial"/>
                <w:sz w:val="20"/>
                <w:szCs w:val="20"/>
                <w:lang w:val="es-ES"/>
              </w:rPr>
              <w:t xml:space="preserve">, el juzgado Tercero Civil del Circuito de Villavicencio libró mandamiento de pago pretendiendo el pago de la sentencia. </w:t>
            </w:r>
          </w:p>
          <w:p w14:paraId="47E99DE8" w14:textId="6F43BBCC" w:rsidR="00221B42" w:rsidRPr="001B0351" w:rsidRDefault="00221B42" w:rsidP="00221B42">
            <w:pPr>
              <w:pStyle w:val="Prrafodelista"/>
              <w:ind w:left="360"/>
              <w:jc w:val="both"/>
              <w:rPr>
                <w:rFonts w:ascii="Arial" w:hAnsi="Arial" w:cs="Arial"/>
                <w:sz w:val="20"/>
                <w:szCs w:val="20"/>
                <w:lang w:val="es-ES"/>
              </w:rPr>
            </w:pPr>
          </w:p>
        </w:tc>
        <w:tc>
          <w:tcPr>
            <w:tcW w:w="6521" w:type="dxa"/>
          </w:tcPr>
          <w:p w14:paraId="5DBBB0B0" w14:textId="77777777" w:rsidR="00221B42" w:rsidRDefault="00221B42" w:rsidP="00221B42">
            <w:pPr>
              <w:jc w:val="both"/>
              <w:rPr>
                <w:rFonts w:ascii="Arial" w:hAnsi="Arial" w:cs="Arial"/>
                <w:color w:val="2F5496" w:themeColor="accent1" w:themeShade="BF"/>
                <w:sz w:val="20"/>
                <w:szCs w:val="20"/>
                <w:lang w:val="es-ES"/>
              </w:rPr>
            </w:pPr>
          </w:p>
          <w:p w14:paraId="685BA3D2" w14:textId="047628CE" w:rsidR="00221B42" w:rsidRDefault="00221B42" w:rsidP="00221B42">
            <w:pPr>
              <w:jc w:val="both"/>
              <w:rPr>
                <w:rFonts w:ascii="Arial" w:hAnsi="Arial" w:cs="Arial"/>
                <w:sz w:val="20"/>
                <w:szCs w:val="20"/>
                <w:lang w:val="es-ES"/>
              </w:rPr>
            </w:pPr>
            <w:r>
              <w:rPr>
                <w:rFonts w:ascii="Arial" w:hAnsi="Arial" w:cs="Arial"/>
                <w:color w:val="2F5496" w:themeColor="accent1" w:themeShade="BF"/>
                <w:sz w:val="20"/>
                <w:szCs w:val="20"/>
                <w:lang w:val="es-ES"/>
              </w:rPr>
              <w:t>N/A</w:t>
            </w:r>
          </w:p>
        </w:tc>
        <w:tc>
          <w:tcPr>
            <w:tcW w:w="5103" w:type="dxa"/>
          </w:tcPr>
          <w:p w14:paraId="44082AA5" w14:textId="77777777" w:rsidR="00221B42" w:rsidRDefault="00221B42" w:rsidP="00221B42">
            <w:pPr>
              <w:jc w:val="both"/>
              <w:rPr>
                <w:rFonts w:ascii="Arial" w:hAnsi="Arial" w:cs="Arial"/>
                <w:color w:val="2F5496" w:themeColor="accent1" w:themeShade="BF"/>
                <w:sz w:val="20"/>
                <w:szCs w:val="20"/>
                <w:lang w:val="es-ES"/>
              </w:rPr>
            </w:pPr>
          </w:p>
          <w:p w14:paraId="1EA8A7A0" w14:textId="0858E48C" w:rsidR="00221B42" w:rsidRDefault="00221B42" w:rsidP="00221B42">
            <w:pPr>
              <w:jc w:val="both"/>
              <w:rPr>
                <w:rFonts w:ascii="Arial" w:hAnsi="Arial" w:cs="Arial"/>
                <w:sz w:val="20"/>
                <w:szCs w:val="20"/>
                <w:lang w:val="es-ES"/>
              </w:rPr>
            </w:pPr>
            <w:r w:rsidRPr="00B273F9">
              <w:rPr>
                <w:rFonts w:ascii="Arial" w:hAnsi="Arial" w:cs="Arial"/>
                <w:color w:val="7030A0"/>
                <w:sz w:val="20"/>
                <w:szCs w:val="20"/>
                <w:lang w:val="es-ES"/>
              </w:rPr>
              <w:t>N/A</w:t>
            </w:r>
          </w:p>
        </w:tc>
      </w:tr>
      <w:tr w:rsidR="00221B42" w:rsidRPr="00014F59" w14:paraId="7A2B6B91" w14:textId="77777777" w:rsidTr="00214D80">
        <w:tc>
          <w:tcPr>
            <w:tcW w:w="6232" w:type="dxa"/>
          </w:tcPr>
          <w:p w14:paraId="1A51FF7B" w14:textId="77777777" w:rsidR="00221B42" w:rsidRDefault="005D7B47" w:rsidP="00221B42">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t xml:space="preserve">El </w:t>
            </w:r>
            <w:r>
              <w:rPr>
                <w:rFonts w:ascii="Arial" w:hAnsi="Arial" w:cs="Arial"/>
                <w:b/>
                <w:bCs/>
                <w:sz w:val="20"/>
                <w:szCs w:val="20"/>
                <w:lang w:val="es-ES"/>
              </w:rPr>
              <w:t>27 de octubre de 2021</w:t>
            </w:r>
            <w:r>
              <w:rPr>
                <w:rFonts w:ascii="Arial" w:hAnsi="Arial" w:cs="Arial"/>
                <w:sz w:val="20"/>
                <w:szCs w:val="20"/>
                <w:lang w:val="es-ES"/>
              </w:rPr>
              <w:t xml:space="preserve">, Axa Colpatria pagó a órdenes del juzgado la suma de $2.138.810.547. </w:t>
            </w:r>
          </w:p>
          <w:p w14:paraId="26CDBC7E" w14:textId="684225EB" w:rsidR="00A371F6" w:rsidRPr="00221B42" w:rsidRDefault="00A371F6" w:rsidP="00A371F6">
            <w:pPr>
              <w:pStyle w:val="Prrafodelista"/>
              <w:ind w:left="360"/>
              <w:jc w:val="both"/>
              <w:rPr>
                <w:rFonts w:ascii="Arial" w:hAnsi="Arial" w:cs="Arial"/>
                <w:sz w:val="20"/>
                <w:szCs w:val="20"/>
                <w:lang w:val="es-ES"/>
              </w:rPr>
            </w:pPr>
          </w:p>
        </w:tc>
        <w:tc>
          <w:tcPr>
            <w:tcW w:w="6521" w:type="dxa"/>
          </w:tcPr>
          <w:p w14:paraId="3DC4EF56" w14:textId="36A547B3" w:rsidR="00221B42" w:rsidRDefault="007A41E4" w:rsidP="00221B42">
            <w:pPr>
              <w:jc w:val="both"/>
              <w:rPr>
                <w:rFonts w:ascii="Arial" w:hAnsi="Arial" w:cs="Arial"/>
                <w:sz w:val="20"/>
                <w:szCs w:val="20"/>
                <w:lang w:val="es-ES"/>
              </w:rPr>
            </w:pPr>
            <w:r w:rsidRPr="00A462C9">
              <w:rPr>
                <w:rFonts w:ascii="Arial" w:hAnsi="Arial" w:cs="Arial"/>
                <w:color w:val="2F5496" w:themeColor="accent1" w:themeShade="BF"/>
                <w:sz w:val="20"/>
                <w:szCs w:val="20"/>
                <w:lang w:val="es-ES"/>
              </w:rPr>
              <w:t>Es decir, el pago se hizo antes de que se resolviera en segunda instancia la nulidad que había sido presentada y apelada.</w:t>
            </w:r>
            <w:r>
              <w:rPr>
                <w:rFonts w:ascii="Arial" w:hAnsi="Arial" w:cs="Arial"/>
                <w:sz w:val="20"/>
                <w:szCs w:val="20"/>
                <w:lang w:val="es-ES"/>
              </w:rPr>
              <w:t xml:space="preserve"> </w:t>
            </w:r>
          </w:p>
        </w:tc>
        <w:tc>
          <w:tcPr>
            <w:tcW w:w="5103" w:type="dxa"/>
          </w:tcPr>
          <w:p w14:paraId="2EF53D17" w14:textId="77777777" w:rsidR="00A371F6" w:rsidRDefault="00A371F6" w:rsidP="00221B42">
            <w:pPr>
              <w:jc w:val="both"/>
              <w:rPr>
                <w:rFonts w:ascii="Arial" w:hAnsi="Arial" w:cs="Arial"/>
                <w:color w:val="7030A0"/>
                <w:sz w:val="20"/>
                <w:szCs w:val="20"/>
                <w:lang w:val="es-ES"/>
              </w:rPr>
            </w:pPr>
          </w:p>
          <w:p w14:paraId="471E8D9C" w14:textId="71002E18" w:rsidR="00221B42" w:rsidRDefault="001C3E6B" w:rsidP="00221B42">
            <w:pPr>
              <w:jc w:val="both"/>
              <w:rPr>
                <w:rFonts w:ascii="Arial" w:hAnsi="Arial" w:cs="Arial"/>
                <w:sz w:val="20"/>
                <w:szCs w:val="20"/>
                <w:lang w:val="es-ES"/>
              </w:rPr>
            </w:pPr>
            <w:r w:rsidRPr="00B273F9">
              <w:rPr>
                <w:rFonts w:ascii="Arial" w:hAnsi="Arial" w:cs="Arial"/>
                <w:color w:val="7030A0"/>
                <w:sz w:val="20"/>
                <w:szCs w:val="20"/>
                <w:lang w:val="es-ES"/>
              </w:rPr>
              <w:t>N/A</w:t>
            </w:r>
          </w:p>
        </w:tc>
      </w:tr>
      <w:tr w:rsidR="00221B42" w:rsidRPr="00014F59" w14:paraId="1491047B" w14:textId="77777777" w:rsidTr="00214D80">
        <w:tc>
          <w:tcPr>
            <w:tcW w:w="6232" w:type="dxa"/>
          </w:tcPr>
          <w:p w14:paraId="0D7C34BF" w14:textId="77777777" w:rsidR="00221B42" w:rsidRPr="00A371F6" w:rsidRDefault="001C3E6B" w:rsidP="001C3E6B">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t xml:space="preserve">El </w:t>
            </w:r>
            <w:r>
              <w:rPr>
                <w:rFonts w:ascii="Arial" w:hAnsi="Arial" w:cs="Arial"/>
                <w:b/>
                <w:bCs/>
                <w:sz w:val="20"/>
                <w:szCs w:val="20"/>
                <w:lang w:val="es-ES"/>
              </w:rPr>
              <w:t>2</w:t>
            </w:r>
            <w:r>
              <w:rPr>
                <w:rFonts w:ascii="Arial" w:hAnsi="Arial" w:cs="Arial"/>
                <w:b/>
                <w:bCs/>
                <w:sz w:val="20"/>
                <w:szCs w:val="20"/>
                <w:lang w:val="es-ES"/>
              </w:rPr>
              <w:t>8</w:t>
            </w:r>
            <w:r>
              <w:rPr>
                <w:rFonts w:ascii="Arial" w:hAnsi="Arial" w:cs="Arial"/>
                <w:b/>
                <w:bCs/>
                <w:sz w:val="20"/>
                <w:szCs w:val="20"/>
                <w:lang w:val="es-ES"/>
              </w:rPr>
              <w:t xml:space="preserve"> de octubre de 2021</w:t>
            </w:r>
            <w:r>
              <w:rPr>
                <w:rFonts w:ascii="Arial" w:hAnsi="Arial" w:cs="Arial"/>
                <w:sz w:val="20"/>
                <w:szCs w:val="20"/>
                <w:lang w:val="es-ES"/>
              </w:rPr>
              <w:t>,</w:t>
            </w:r>
            <w:r>
              <w:rPr>
                <w:rFonts w:ascii="Arial" w:hAnsi="Arial" w:cs="Arial"/>
                <w:sz w:val="20"/>
                <w:szCs w:val="20"/>
                <w:lang w:val="es-ES"/>
              </w:rPr>
              <w:t xml:space="preserve"> el </w:t>
            </w:r>
            <w:proofErr w:type="spellStart"/>
            <w:r>
              <w:rPr>
                <w:rFonts w:ascii="Arial" w:hAnsi="Arial" w:cs="Arial"/>
                <w:sz w:val="20"/>
                <w:szCs w:val="20"/>
                <w:lang w:val="es-ES"/>
              </w:rPr>
              <w:t>Dr</w:t>
            </w:r>
            <w:proofErr w:type="spellEnd"/>
            <w:r>
              <w:rPr>
                <w:rFonts w:ascii="Arial" w:hAnsi="Arial" w:cs="Arial"/>
                <w:sz w:val="20"/>
                <w:szCs w:val="20"/>
                <w:lang w:val="es-ES"/>
              </w:rPr>
              <w:t xml:space="preserve"> Gustavo Herrera </w:t>
            </w:r>
            <w:r w:rsidR="00277BB9">
              <w:rPr>
                <w:rFonts w:ascii="Arial" w:hAnsi="Arial" w:cs="Arial"/>
                <w:sz w:val="20"/>
                <w:szCs w:val="20"/>
                <w:lang w:val="es-ES"/>
              </w:rPr>
              <w:t>allegó la constancia del pago ante el juzgado de primera instancia y solicitó expresamente: “</w:t>
            </w:r>
            <w:r w:rsidR="00312EBC" w:rsidRPr="00312EBC">
              <w:rPr>
                <w:i/>
                <w:iCs/>
              </w:rPr>
              <w:t>que de manera inmediata se entregue al ejecutante sin condicionarlo a la expedición de providencia que ordene seguir adelante la ejecución</w:t>
            </w:r>
            <w:r w:rsidR="00312EBC">
              <w:rPr>
                <w:i/>
                <w:iCs/>
              </w:rPr>
              <w:t xml:space="preserve">”. </w:t>
            </w:r>
          </w:p>
          <w:p w14:paraId="6ECA87F8" w14:textId="1777008F" w:rsidR="00A371F6" w:rsidRPr="00D5360E" w:rsidRDefault="00A371F6" w:rsidP="00A371F6">
            <w:pPr>
              <w:pStyle w:val="Prrafodelista"/>
              <w:ind w:left="360"/>
              <w:jc w:val="both"/>
              <w:rPr>
                <w:rFonts w:ascii="Arial" w:hAnsi="Arial" w:cs="Arial"/>
                <w:sz w:val="20"/>
                <w:szCs w:val="20"/>
                <w:lang w:val="es-ES"/>
              </w:rPr>
            </w:pPr>
          </w:p>
        </w:tc>
        <w:tc>
          <w:tcPr>
            <w:tcW w:w="6521" w:type="dxa"/>
          </w:tcPr>
          <w:p w14:paraId="4F22974B" w14:textId="77777777" w:rsidR="00312EBC" w:rsidRDefault="00312EBC" w:rsidP="00221B42">
            <w:pPr>
              <w:jc w:val="both"/>
              <w:rPr>
                <w:rFonts w:ascii="Arial" w:hAnsi="Arial" w:cs="Arial"/>
                <w:color w:val="2F5496" w:themeColor="accent1" w:themeShade="BF"/>
                <w:sz w:val="20"/>
                <w:szCs w:val="20"/>
                <w:lang w:val="es-ES"/>
              </w:rPr>
            </w:pPr>
          </w:p>
          <w:p w14:paraId="6ACF1D51" w14:textId="7D7D0E67" w:rsidR="00B616A7" w:rsidRPr="00B616A7" w:rsidRDefault="00312EBC" w:rsidP="00221B42">
            <w:pPr>
              <w:jc w:val="both"/>
              <w:rPr>
                <w:rFonts w:ascii="Arial" w:hAnsi="Arial" w:cs="Arial"/>
                <w:color w:val="2F5496" w:themeColor="accent1" w:themeShade="BF"/>
                <w:sz w:val="20"/>
                <w:szCs w:val="20"/>
                <w:lang w:val="es-ES"/>
              </w:rPr>
            </w:pPr>
            <w:r w:rsidRPr="00A462C9">
              <w:rPr>
                <w:rFonts w:ascii="Arial" w:hAnsi="Arial" w:cs="Arial"/>
                <w:color w:val="2F5496" w:themeColor="accent1" w:themeShade="BF"/>
                <w:sz w:val="20"/>
                <w:szCs w:val="20"/>
                <w:lang w:val="es-ES"/>
              </w:rPr>
              <w:t>Es decir,</w:t>
            </w:r>
            <w:r>
              <w:rPr>
                <w:rFonts w:ascii="Arial" w:hAnsi="Arial" w:cs="Arial"/>
                <w:color w:val="2F5496" w:themeColor="accent1" w:themeShade="BF"/>
                <w:sz w:val="20"/>
                <w:szCs w:val="20"/>
                <w:lang w:val="es-ES"/>
              </w:rPr>
              <w:t xml:space="preserve"> aun </w:t>
            </w:r>
            <w:r w:rsidR="00377D46">
              <w:rPr>
                <w:rFonts w:ascii="Arial" w:hAnsi="Arial" w:cs="Arial"/>
                <w:color w:val="2F5496" w:themeColor="accent1" w:themeShade="BF"/>
                <w:sz w:val="20"/>
                <w:szCs w:val="20"/>
                <w:lang w:val="es-ES"/>
              </w:rPr>
              <w:t xml:space="preserve">cuando no se había resuelto la nulidad, el </w:t>
            </w:r>
            <w:proofErr w:type="spellStart"/>
            <w:r w:rsidR="00377D46">
              <w:rPr>
                <w:rFonts w:ascii="Arial" w:hAnsi="Arial" w:cs="Arial"/>
                <w:color w:val="2F5496" w:themeColor="accent1" w:themeShade="BF"/>
                <w:sz w:val="20"/>
                <w:szCs w:val="20"/>
                <w:lang w:val="es-ES"/>
              </w:rPr>
              <w:t>Dr</w:t>
            </w:r>
            <w:proofErr w:type="spellEnd"/>
            <w:r w:rsidR="00377D46">
              <w:rPr>
                <w:rFonts w:ascii="Arial" w:hAnsi="Arial" w:cs="Arial"/>
                <w:color w:val="2F5496" w:themeColor="accent1" w:themeShade="BF"/>
                <w:sz w:val="20"/>
                <w:szCs w:val="20"/>
                <w:lang w:val="es-ES"/>
              </w:rPr>
              <w:t xml:space="preserve"> Gustavo Herrera solicitó que se le entregara el dinero al extremo demandante. </w:t>
            </w:r>
          </w:p>
        </w:tc>
        <w:tc>
          <w:tcPr>
            <w:tcW w:w="5103" w:type="dxa"/>
          </w:tcPr>
          <w:p w14:paraId="583CCC49" w14:textId="77777777" w:rsidR="00221B42" w:rsidRDefault="00221B42" w:rsidP="00221B42">
            <w:pPr>
              <w:jc w:val="both"/>
              <w:rPr>
                <w:rFonts w:ascii="Arial" w:hAnsi="Arial" w:cs="Arial"/>
                <w:sz w:val="20"/>
                <w:szCs w:val="20"/>
                <w:lang w:val="es-ES"/>
              </w:rPr>
            </w:pPr>
          </w:p>
          <w:p w14:paraId="26A49FBE" w14:textId="2F75FD37" w:rsidR="007A69A4" w:rsidRDefault="007A69A4" w:rsidP="00221B42">
            <w:pPr>
              <w:jc w:val="both"/>
              <w:rPr>
                <w:rFonts w:ascii="Arial" w:hAnsi="Arial" w:cs="Arial"/>
                <w:sz w:val="20"/>
                <w:szCs w:val="20"/>
                <w:lang w:val="es-ES"/>
              </w:rPr>
            </w:pPr>
            <w:r w:rsidRPr="00B273F9">
              <w:rPr>
                <w:rFonts w:ascii="Arial" w:hAnsi="Arial" w:cs="Arial"/>
                <w:color w:val="7030A0"/>
                <w:sz w:val="20"/>
                <w:szCs w:val="20"/>
                <w:lang w:val="es-ES"/>
              </w:rPr>
              <w:t>N/A</w:t>
            </w:r>
          </w:p>
        </w:tc>
      </w:tr>
      <w:tr w:rsidR="00F93C03" w:rsidRPr="00014F59" w14:paraId="4771121E" w14:textId="77777777" w:rsidTr="00214D80">
        <w:tc>
          <w:tcPr>
            <w:tcW w:w="6232" w:type="dxa"/>
          </w:tcPr>
          <w:p w14:paraId="52DD4669" w14:textId="2DC612D4" w:rsidR="00F93C03" w:rsidRDefault="00F93C03" w:rsidP="001C3E6B">
            <w:pPr>
              <w:pStyle w:val="Prrafodelista"/>
              <w:numPr>
                <w:ilvl w:val="0"/>
                <w:numId w:val="2"/>
              </w:numPr>
              <w:ind w:left="360"/>
              <w:jc w:val="both"/>
              <w:rPr>
                <w:rFonts w:ascii="Arial" w:hAnsi="Arial" w:cs="Arial"/>
                <w:sz w:val="20"/>
                <w:szCs w:val="20"/>
                <w:lang w:val="es-ES"/>
              </w:rPr>
            </w:pPr>
            <w:r>
              <w:rPr>
                <w:rFonts w:ascii="Arial" w:hAnsi="Arial" w:cs="Arial"/>
                <w:sz w:val="20"/>
                <w:szCs w:val="20"/>
                <w:lang w:val="es-ES"/>
              </w:rPr>
              <w:t xml:space="preserve">El </w:t>
            </w:r>
            <w:r>
              <w:rPr>
                <w:rFonts w:ascii="Arial" w:hAnsi="Arial" w:cs="Arial"/>
                <w:b/>
                <w:bCs/>
                <w:sz w:val="20"/>
                <w:szCs w:val="20"/>
                <w:lang w:val="es-ES"/>
              </w:rPr>
              <w:t>01 de febrero de 2022</w:t>
            </w:r>
            <w:r>
              <w:rPr>
                <w:rFonts w:ascii="Arial" w:hAnsi="Arial" w:cs="Arial"/>
                <w:sz w:val="20"/>
                <w:szCs w:val="20"/>
                <w:lang w:val="es-ES"/>
              </w:rPr>
              <w:t xml:space="preserve">, </w:t>
            </w:r>
            <w:r w:rsidR="00C04AD9">
              <w:rPr>
                <w:rFonts w:ascii="Arial" w:hAnsi="Arial" w:cs="Arial"/>
                <w:sz w:val="20"/>
                <w:szCs w:val="20"/>
                <w:lang w:val="es-ES"/>
              </w:rPr>
              <w:t>el Tribunal Superior de Villavicencio negó en segunda instancia la nulidad</w:t>
            </w:r>
            <w:r w:rsidR="002D06CB">
              <w:rPr>
                <w:rFonts w:ascii="Arial" w:hAnsi="Arial" w:cs="Arial"/>
                <w:sz w:val="20"/>
                <w:szCs w:val="20"/>
                <w:lang w:val="es-ES"/>
              </w:rPr>
              <w:t xml:space="preserve"> por una diferencia de criterio, aduciendo principalmente que la misma habría sido </w:t>
            </w:r>
            <w:r w:rsidR="002D06CB">
              <w:rPr>
                <w:rFonts w:ascii="Arial" w:hAnsi="Arial" w:cs="Arial"/>
                <w:sz w:val="20"/>
                <w:szCs w:val="20"/>
                <w:lang w:val="es-ES"/>
              </w:rPr>
              <w:lastRenderedPageBreak/>
              <w:t xml:space="preserve">saneada toda vez que </w:t>
            </w:r>
            <w:r w:rsidR="00D13854">
              <w:rPr>
                <w:rFonts w:ascii="Arial" w:hAnsi="Arial" w:cs="Arial"/>
                <w:sz w:val="20"/>
                <w:szCs w:val="20"/>
                <w:lang w:val="es-ES"/>
              </w:rPr>
              <w:t xml:space="preserve">debió proponerse desde que se declaró desierto el recurso de apelación. </w:t>
            </w:r>
          </w:p>
        </w:tc>
        <w:tc>
          <w:tcPr>
            <w:tcW w:w="6521" w:type="dxa"/>
          </w:tcPr>
          <w:p w14:paraId="7AECB589" w14:textId="77777777" w:rsidR="00F93C03" w:rsidRDefault="00F93C03" w:rsidP="00221B42">
            <w:pPr>
              <w:jc w:val="both"/>
              <w:rPr>
                <w:rFonts w:ascii="Arial" w:hAnsi="Arial" w:cs="Arial"/>
                <w:color w:val="2F5496" w:themeColor="accent1" w:themeShade="BF"/>
                <w:sz w:val="20"/>
                <w:szCs w:val="20"/>
                <w:lang w:val="es-ES"/>
              </w:rPr>
            </w:pPr>
          </w:p>
          <w:p w14:paraId="434A368D" w14:textId="5DA7B329" w:rsidR="003F7810" w:rsidRDefault="00F9262C" w:rsidP="00221B42">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Si bien e</w:t>
            </w:r>
            <w:r w:rsidR="003F7810">
              <w:rPr>
                <w:rFonts w:ascii="Arial" w:hAnsi="Arial" w:cs="Arial"/>
                <w:color w:val="2F5496" w:themeColor="accent1" w:themeShade="BF"/>
                <w:sz w:val="20"/>
                <w:szCs w:val="20"/>
                <w:lang w:val="es-ES"/>
              </w:rPr>
              <w:t xml:space="preserve">l Tribunal </w:t>
            </w:r>
            <w:r>
              <w:rPr>
                <w:rFonts w:ascii="Arial" w:hAnsi="Arial" w:cs="Arial"/>
                <w:color w:val="2F5496" w:themeColor="accent1" w:themeShade="BF"/>
                <w:sz w:val="20"/>
                <w:szCs w:val="20"/>
                <w:lang w:val="es-ES"/>
              </w:rPr>
              <w:t xml:space="preserve">negó la nulidad, a la final cayó en cuenta del error procesal </w:t>
            </w:r>
            <w:r w:rsidR="0020304F">
              <w:rPr>
                <w:rFonts w:ascii="Arial" w:hAnsi="Arial" w:cs="Arial"/>
                <w:color w:val="2F5496" w:themeColor="accent1" w:themeShade="BF"/>
                <w:sz w:val="20"/>
                <w:szCs w:val="20"/>
                <w:lang w:val="es-ES"/>
              </w:rPr>
              <w:t xml:space="preserve">y entre </w:t>
            </w:r>
            <w:r w:rsidR="003F7810">
              <w:rPr>
                <w:rFonts w:ascii="Arial" w:hAnsi="Arial" w:cs="Arial"/>
                <w:color w:val="2F5496" w:themeColor="accent1" w:themeShade="BF"/>
                <w:sz w:val="20"/>
                <w:szCs w:val="20"/>
                <w:lang w:val="es-ES"/>
              </w:rPr>
              <w:t xml:space="preserve">líneas nos dio la razón, toda vez que afirmó: </w:t>
            </w:r>
          </w:p>
          <w:p w14:paraId="688CE659" w14:textId="77777777" w:rsidR="003F7810" w:rsidRDefault="003F7810" w:rsidP="00221B42">
            <w:pPr>
              <w:jc w:val="both"/>
              <w:rPr>
                <w:rFonts w:ascii="Arial" w:hAnsi="Arial" w:cs="Arial"/>
                <w:color w:val="2F5496" w:themeColor="accent1" w:themeShade="BF"/>
                <w:sz w:val="20"/>
                <w:szCs w:val="20"/>
                <w:lang w:val="es-ES"/>
              </w:rPr>
            </w:pPr>
          </w:p>
          <w:p w14:paraId="0FDD105D" w14:textId="02CF754A" w:rsidR="003F7810" w:rsidRPr="003F7810" w:rsidRDefault="003F7810" w:rsidP="00221B42">
            <w:pPr>
              <w:jc w:val="both"/>
              <w:rPr>
                <w:rFonts w:ascii="Arial" w:hAnsi="Arial" w:cs="Arial"/>
                <w:i/>
                <w:iCs/>
                <w:color w:val="2F5496" w:themeColor="accent1" w:themeShade="BF"/>
                <w:sz w:val="20"/>
                <w:szCs w:val="20"/>
                <w:lang w:val="es-ES"/>
              </w:rPr>
            </w:pPr>
            <w:r>
              <w:rPr>
                <w:rFonts w:ascii="Arial" w:hAnsi="Arial" w:cs="Arial"/>
                <w:color w:val="2F5496" w:themeColor="accent1" w:themeShade="BF"/>
                <w:sz w:val="20"/>
                <w:szCs w:val="20"/>
                <w:lang w:val="es-ES"/>
              </w:rPr>
              <w:t>“</w:t>
            </w:r>
            <w:r>
              <w:rPr>
                <w:rFonts w:ascii="Arial" w:hAnsi="Arial" w:cs="Arial"/>
                <w:i/>
                <w:iCs/>
                <w:color w:val="2F5496" w:themeColor="accent1" w:themeShade="BF"/>
                <w:sz w:val="20"/>
                <w:szCs w:val="20"/>
                <w:lang w:val="es-ES"/>
              </w:rPr>
              <w:t xml:space="preserve">Si la accionada consideró que con lo actuado por parte de este Tribunal se configuró un vicio de nulidad, tenía que alegarlo en la primera oportunidad que obró dentro del proceso luego de ocurrida la irregularidad, lo cual no hizo, de modo que, </w:t>
            </w:r>
            <w:r>
              <w:rPr>
                <w:rFonts w:ascii="Arial" w:hAnsi="Arial" w:cs="Arial"/>
                <w:b/>
                <w:bCs/>
                <w:i/>
                <w:iCs/>
                <w:color w:val="2F5496" w:themeColor="accent1" w:themeShade="BF"/>
                <w:sz w:val="20"/>
                <w:szCs w:val="20"/>
                <w:u w:val="single"/>
                <w:lang w:val="es-ES"/>
              </w:rPr>
              <w:t xml:space="preserve">de haberse cometido alguna falla en el procedimiento, </w:t>
            </w:r>
            <w:r>
              <w:rPr>
                <w:rFonts w:ascii="Arial" w:hAnsi="Arial" w:cs="Arial"/>
                <w:i/>
                <w:iCs/>
                <w:color w:val="2F5496" w:themeColor="accent1" w:themeShade="BF"/>
                <w:sz w:val="20"/>
                <w:szCs w:val="20"/>
                <w:lang w:val="es-ES"/>
              </w:rPr>
              <w:t xml:space="preserve">la misma se vio saneada. </w:t>
            </w:r>
          </w:p>
          <w:p w14:paraId="014C2F09" w14:textId="77777777" w:rsidR="003F7810" w:rsidRDefault="003F7810" w:rsidP="00221B42">
            <w:pPr>
              <w:jc w:val="both"/>
              <w:rPr>
                <w:rFonts w:ascii="Arial" w:hAnsi="Arial" w:cs="Arial"/>
                <w:color w:val="2F5496" w:themeColor="accent1" w:themeShade="BF"/>
                <w:sz w:val="20"/>
                <w:szCs w:val="20"/>
                <w:lang w:val="es-ES"/>
              </w:rPr>
            </w:pPr>
          </w:p>
          <w:p w14:paraId="0DE3142C" w14:textId="221AD0FD" w:rsidR="003F7810" w:rsidRPr="003F7810" w:rsidRDefault="003F7810" w:rsidP="00221B42">
            <w:pPr>
              <w:jc w:val="both"/>
              <w:rPr>
                <w:rFonts w:ascii="Arial" w:hAnsi="Arial" w:cs="Arial"/>
                <w:color w:val="2F5496" w:themeColor="accent1" w:themeShade="BF"/>
                <w:sz w:val="20"/>
                <w:szCs w:val="20"/>
                <w:lang w:val="es-ES"/>
              </w:rPr>
            </w:pPr>
          </w:p>
        </w:tc>
        <w:tc>
          <w:tcPr>
            <w:tcW w:w="5103" w:type="dxa"/>
          </w:tcPr>
          <w:p w14:paraId="6FBB56FF" w14:textId="77777777" w:rsidR="00793A8B" w:rsidRDefault="00793A8B" w:rsidP="008514DE">
            <w:pPr>
              <w:jc w:val="both"/>
              <w:rPr>
                <w:rFonts w:ascii="Arial" w:hAnsi="Arial" w:cs="Arial"/>
                <w:sz w:val="20"/>
                <w:szCs w:val="20"/>
                <w:lang w:val="es-ES"/>
              </w:rPr>
            </w:pPr>
          </w:p>
          <w:p w14:paraId="5B899048" w14:textId="010554C6" w:rsidR="0044516C" w:rsidRDefault="0044516C" w:rsidP="008514DE">
            <w:pPr>
              <w:jc w:val="both"/>
              <w:rPr>
                <w:rFonts w:ascii="Arial" w:hAnsi="Arial" w:cs="Arial"/>
                <w:sz w:val="20"/>
                <w:szCs w:val="20"/>
                <w:lang w:val="es-ES"/>
              </w:rPr>
            </w:pPr>
            <w:r w:rsidRPr="00B273F9">
              <w:rPr>
                <w:rFonts w:ascii="Arial" w:hAnsi="Arial" w:cs="Arial"/>
                <w:color w:val="7030A0"/>
                <w:sz w:val="20"/>
                <w:szCs w:val="20"/>
                <w:lang w:val="es-ES"/>
              </w:rPr>
              <w:t>N/A</w:t>
            </w:r>
          </w:p>
        </w:tc>
      </w:tr>
    </w:tbl>
    <w:p w14:paraId="5DEB37CC" w14:textId="77777777" w:rsidR="004814FB" w:rsidRDefault="004814FB" w:rsidP="00061B89">
      <w:pPr>
        <w:spacing w:after="0"/>
        <w:jc w:val="both"/>
        <w:rPr>
          <w:rFonts w:ascii="Arial" w:hAnsi="Arial" w:cs="Arial"/>
          <w:sz w:val="20"/>
          <w:szCs w:val="20"/>
          <w:lang w:val="es-ES"/>
        </w:rPr>
      </w:pPr>
    </w:p>
    <w:p w14:paraId="154693D8" w14:textId="0E41CF71" w:rsidR="00B754BA" w:rsidRPr="00B754BA" w:rsidRDefault="00B754BA" w:rsidP="00061B89">
      <w:pPr>
        <w:spacing w:after="0"/>
        <w:jc w:val="both"/>
        <w:rPr>
          <w:rFonts w:ascii="Arial" w:hAnsi="Arial" w:cs="Arial"/>
          <w:sz w:val="24"/>
          <w:szCs w:val="24"/>
          <w:lang w:val="es-ES"/>
        </w:rPr>
      </w:pPr>
      <w:r w:rsidRPr="00B754BA">
        <w:rPr>
          <w:rFonts w:ascii="Arial" w:hAnsi="Arial" w:cs="Arial"/>
          <w:sz w:val="24"/>
          <w:szCs w:val="24"/>
          <w:lang w:val="es-ES"/>
        </w:rPr>
        <w:t xml:space="preserve">Muchas gracias por su atención </w:t>
      </w:r>
    </w:p>
    <w:p w14:paraId="168E89C4" w14:textId="77777777" w:rsidR="00B754BA" w:rsidRPr="00B754BA" w:rsidRDefault="00B754BA" w:rsidP="00061B89">
      <w:pPr>
        <w:spacing w:after="0"/>
        <w:jc w:val="both"/>
        <w:rPr>
          <w:rFonts w:ascii="Arial" w:hAnsi="Arial" w:cs="Arial"/>
          <w:sz w:val="24"/>
          <w:szCs w:val="24"/>
          <w:lang w:val="es-ES"/>
        </w:rPr>
      </w:pPr>
    </w:p>
    <w:p w14:paraId="60E1F79B" w14:textId="24348F17" w:rsidR="00B754BA" w:rsidRPr="00B754BA" w:rsidRDefault="00B754BA" w:rsidP="00061B89">
      <w:pPr>
        <w:spacing w:after="0"/>
        <w:jc w:val="both"/>
        <w:rPr>
          <w:rFonts w:ascii="Arial" w:hAnsi="Arial" w:cs="Arial"/>
          <w:sz w:val="24"/>
          <w:szCs w:val="24"/>
          <w:lang w:val="es-ES"/>
        </w:rPr>
      </w:pPr>
      <w:r w:rsidRPr="00B754BA">
        <w:rPr>
          <w:rFonts w:ascii="Arial" w:hAnsi="Arial" w:cs="Arial"/>
          <w:sz w:val="24"/>
          <w:szCs w:val="24"/>
          <w:lang w:val="es-ES"/>
        </w:rPr>
        <w:t xml:space="preserve">Cordial saludo. </w:t>
      </w:r>
    </w:p>
    <w:sectPr w:rsidR="00B754BA" w:rsidRPr="00B754BA" w:rsidSect="00214D80">
      <w:pgSz w:w="20160" w:h="12240" w:orient="landscape"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91A"/>
    <w:multiLevelType w:val="hybridMultilevel"/>
    <w:tmpl w:val="A2AE7AB6"/>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DD61E6"/>
    <w:multiLevelType w:val="hybridMultilevel"/>
    <w:tmpl w:val="7592F974"/>
    <w:lvl w:ilvl="0" w:tplc="925C79AC">
      <w:start w:val="1"/>
      <w:numFmt w:val="decimal"/>
      <w:lvlText w:val="%1."/>
      <w:lvlJc w:val="left"/>
      <w:pPr>
        <w:ind w:left="720" w:hanging="360"/>
      </w:pPr>
      <w:rPr>
        <w:rFonts w:hint="default"/>
        <w:b/>
        <w:bCs/>
      </w:rPr>
    </w:lvl>
    <w:lvl w:ilvl="1" w:tplc="62061C8A">
      <w:start w:val="1"/>
      <w:numFmt w:val="lowerLetter"/>
      <w:lvlText w:val="%2."/>
      <w:lvlJc w:val="left"/>
      <w:pPr>
        <w:ind w:left="1440" w:hanging="360"/>
      </w:pPr>
      <w:rPr>
        <w:color w:val="2F5496" w:themeColor="accent1" w:themeShade="BF"/>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D95558"/>
    <w:multiLevelType w:val="hybridMultilevel"/>
    <w:tmpl w:val="6EA62DDC"/>
    <w:lvl w:ilvl="0" w:tplc="163C57FA">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87295"/>
    <w:multiLevelType w:val="hybridMultilevel"/>
    <w:tmpl w:val="C8CA8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002F2F"/>
    <w:multiLevelType w:val="multilevel"/>
    <w:tmpl w:val="95CAD7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6A7976"/>
    <w:multiLevelType w:val="hybridMultilevel"/>
    <w:tmpl w:val="A4DC0F14"/>
    <w:lvl w:ilvl="0" w:tplc="F69A034A">
      <w:start w:val="9"/>
      <w:numFmt w:val="lowerLetter"/>
      <w:lvlText w:val="%1."/>
      <w:lvlJc w:val="left"/>
      <w:pPr>
        <w:ind w:left="720" w:hanging="360"/>
      </w:pPr>
      <w:rPr>
        <w:rFonts w:hint="default"/>
        <w:color w:val="4472C4" w:themeColor="accen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9553111">
    <w:abstractNumId w:val="4"/>
  </w:num>
  <w:num w:numId="2" w16cid:durableId="176580011">
    <w:abstractNumId w:val="1"/>
  </w:num>
  <w:num w:numId="3" w16cid:durableId="2058504403">
    <w:abstractNumId w:val="2"/>
  </w:num>
  <w:num w:numId="4" w16cid:durableId="64694366">
    <w:abstractNumId w:val="3"/>
  </w:num>
  <w:num w:numId="5" w16cid:durableId="1346249625">
    <w:abstractNumId w:val="0"/>
  </w:num>
  <w:num w:numId="6" w16cid:durableId="1161001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5A"/>
    <w:rsid w:val="00012400"/>
    <w:rsid w:val="00014F59"/>
    <w:rsid w:val="00061B89"/>
    <w:rsid w:val="0006270E"/>
    <w:rsid w:val="00064EEE"/>
    <w:rsid w:val="000816B7"/>
    <w:rsid w:val="000C0F45"/>
    <w:rsid w:val="000D6D9E"/>
    <w:rsid w:val="000E7C33"/>
    <w:rsid w:val="000F0A89"/>
    <w:rsid w:val="000F0E6A"/>
    <w:rsid w:val="001253B8"/>
    <w:rsid w:val="00135742"/>
    <w:rsid w:val="001A4CBB"/>
    <w:rsid w:val="001A5A01"/>
    <w:rsid w:val="001B0351"/>
    <w:rsid w:val="001C3E6B"/>
    <w:rsid w:val="001D2969"/>
    <w:rsid w:val="001D4C21"/>
    <w:rsid w:val="001E275F"/>
    <w:rsid w:val="001F25C8"/>
    <w:rsid w:val="0020304F"/>
    <w:rsid w:val="00214D80"/>
    <w:rsid w:val="00216A90"/>
    <w:rsid w:val="00220D6E"/>
    <w:rsid w:val="00221B42"/>
    <w:rsid w:val="00263843"/>
    <w:rsid w:val="00277548"/>
    <w:rsid w:val="00277BB9"/>
    <w:rsid w:val="002878C3"/>
    <w:rsid w:val="002A29AB"/>
    <w:rsid w:val="002B5618"/>
    <w:rsid w:val="002B5707"/>
    <w:rsid w:val="002D06CB"/>
    <w:rsid w:val="00312EBC"/>
    <w:rsid w:val="003266E4"/>
    <w:rsid w:val="00330388"/>
    <w:rsid w:val="003445A5"/>
    <w:rsid w:val="00377D46"/>
    <w:rsid w:val="00391B73"/>
    <w:rsid w:val="00396124"/>
    <w:rsid w:val="003B2E31"/>
    <w:rsid w:val="003F095C"/>
    <w:rsid w:val="003F0FC1"/>
    <w:rsid w:val="003F55EC"/>
    <w:rsid w:val="003F7810"/>
    <w:rsid w:val="0044516C"/>
    <w:rsid w:val="00446C74"/>
    <w:rsid w:val="004814FB"/>
    <w:rsid w:val="004A0960"/>
    <w:rsid w:val="004A2513"/>
    <w:rsid w:val="004B06E4"/>
    <w:rsid w:val="004B66A8"/>
    <w:rsid w:val="004E41E0"/>
    <w:rsid w:val="005028AF"/>
    <w:rsid w:val="00512C2D"/>
    <w:rsid w:val="00542E11"/>
    <w:rsid w:val="00561EA7"/>
    <w:rsid w:val="00561F41"/>
    <w:rsid w:val="005729E7"/>
    <w:rsid w:val="005A6D30"/>
    <w:rsid w:val="005B236E"/>
    <w:rsid w:val="005B3AE8"/>
    <w:rsid w:val="005C32D9"/>
    <w:rsid w:val="005C6111"/>
    <w:rsid w:val="005D1CF9"/>
    <w:rsid w:val="005D2DAC"/>
    <w:rsid w:val="005D7B47"/>
    <w:rsid w:val="006463A2"/>
    <w:rsid w:val="00652677"/>
    <w:rsid w:val="00666441"/>
    <w:rsid w:val="006852FF"/>
    <w:rsid w:val="006B15FC"/>
    <w:rsid w:val="006B3D5E"/>
    <w:rsid w:val="006F4460"/>
    <w:rsid w:val="0071713A"/>
    <w:rsid w:val="00763256"/>
    <w:rsid w:val="00793A8B"/>
    <w:rsid w:val="007A41E4"/>
    <w:rsid w:val="007A69A0"/>
    <w:rsid w:val="007A69A4"/>
    <w:rsid w:val="007B4D9E"/>
    <w:rsid w:val="007B55E4"/>
    <w:rsid w:val="007D1135"/>
    <w:rsid w:val="007E1353"/>
    <w:rsid w:val="007E7C4D"/>
    <w:rsid w:val="008266C5"/>
    <w:rsid w:val="008514DE"/>
    <w:rsid w:val="008923BD"/>
    <w:rsid w:val="00910C4F"/>
    <w:rsid w:val="00931A48"/>
    <w:rsid w:val="009710A3"/>
    <w:rsid w:val="00972D5A"/>
    <w:rsid w:val="0099336B"/>
    <w:rsid w:val="009C0F65"/>
    <w:rsid w:val="009C7201"/>
    <w:rsid w:val="009E20B1"/>
    <w:rsid w:val="00A12F6D"/>
    <w:rsid w:val="00A371F6"/>
    <w:rsid w:val="00A462C9"/>
    <w:rsid w:val="00A54CF9"/>
    <w:rsid w:val="00A96C53"/>
    <w:rsid w:val="00AD6EA2"/>
    <w:rsid w:val="00AE5395"/>
    <w:rsid w:val="00AE63F7"/>
    <w:rsid w:val="00B100BF"/>
    <w:rsid w:val="00B273F9"/>
    <w:rsid w:val="00B36D35"/>
    <w:rsid w:val="00B616A7"/>
    <w:rsid w:val="00B70E55"/>
    <w:rsid w:val="00B754BA"/>
    <w:rsid w:val="00BB05B4"/>
    <w:rsid w:val="00BB5C22"/>
    <w:rsid w:val="00BE45D6"/>
    <w:rsid w:val="00BF248B"/>
    <w:rsid w:val="00C04AD9"/>
    <w:rsid w:val="00C21F5C"/>
    <w:rsid w:val="00C3332D"/>
    <w:rsid w:val="00C3745A"/>
    <w:rsid w:val="00C40B2B"/>
    <w:rsid w:val="00C47C6D"/>
    <w:rsid w:val="00C56097"/>
    <w:rsid w:val="00C96908"/>
    <w:rsid w:val="00CA67C8"/>
    <w:rsid w:val="00CC1095"/>
    <w:rsid w:val="00CC11E0"/>
    <w:rsid w:val="00CD2BD1"/>
    <w:rsid w:val="00CD77F5"/>
    <w:rsid w:val="00CE4100"/>
    <w:rsid w:val="00D13854"/>
    <w:rsid w:val="00D4340E"/>
    <w:rsid w:val="00D50E54"/>
    <w:rsid w:val="00D51A49"/>
    <w:rsid w:val="00D5360E"/>
    <w:rsid w:val="00D738ED"/>
    <w:rsid w:val="00DB4BF1"/>
    <w:rsid w:val="00DD414F"/>
    <w:rsid w:val="00DF3BB0"/>
    <w:rsid w:val="00DF7851"/>
    <w:rsid w:val="00E026D3"/>
    <w:rsid w:val="00E1294D"/>
    <w:rsid w:val="00E405CC"/>
    <w:rsid w:val="00E46F32"/>
    <w:rsid w:val="00E50073"/>
    <w:rsid w:val="00E55E75"/>
    <w:rsid w:val="00E7561D"/>
    <w:rsid w:val="00E95378"/>
    <w:rsid w:val="00EB36CE"/>
    <w:rsid w:val="00EE6698"/>
    <w:rsid w:val="00EE67FA"/>
    <w:rsid w:val="00F1270B"/>
    <w:rsid w:val="00F15651"/>
    <w:rsid w:val="00F308DA"/>
    <w:rsid w:val="00F36277"/>
    <w:rsid w:val="00F829D8"/>
    <w:rsid w:val="00F9262C"/>
    <w:rsid w:val="00F93C03"/>
    <w:rsid w:val="00FA19CF"/>
    <w:rsid w:val="00FB6A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EFF7"/>
  <w15:chartTrackingRefBased/>
  <w15:docId w15:val="{7C733141-6289-4BCE-AC46-45423F93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1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4F59"/>
    <w:pPr>
      <w:ind w:left="720"/>
      <w:contextualSpacing/>
    </w:pPr>
    <w:rPr>
      <w:kern w:val="0"/>
      <w14:ligatures w14:val="none"/>
    </w:rPr>
  </w:style>
  <w:style w:type="paragraph" w:styleId="NormalWeb">
    <w:name w:val="Normal (Web)"/>
    <w:basedOn w:val="Normal"/>
    <w:uiPriority w:val="99"/>
    <w:semiHidden/>
    <w:unhideWhenUsed/>
    <w:rsid w:val="00061B8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727">
      <w:bodyDiv w:val="1"/>
      <w:marLeft w:val="0"/>
      <w:marRight w:val="0"/>
      <w:marTop w:val="0"/>
      <w:marBottom w:val="0"/>
      <w:divBdr>
        <w:top w:val="none" w:sz="0" w:space="0" w:color="auto"/>
        <w:left w:val="none" w:sz="0" w:space="0" w:color="auto"/>
        <w:bottom w:val="none" w:sz="0" w:space="0" w:color="auto"/>
        <w:right w:val="none" w:sz="0" w:space="0" w:color="auto"/>
      </w:divBdr>
    </w:div>
    <w:div w:id="107818874">
      <w:bodyDiv w:val="1"/>
      <w:marLeft w:val="0"/>
      <w:marRight w:val="0"/>
      <w:marTop w:val="0"/>
      <w:marBottom w:val="0"/>
      <w:divBdr>
        <w:top w:val="none" w:sz="0" w:space="0" w:color="auto"/>
        <w:left w:val="none" w:sz="0" w:space="0" w:color="auto"/>
        <w:bottom w:val="none" w:sz="0" w:space="0" w:color="auto"/>
        <w:right w:val="none" w:sz="0" w:space="0" w:color="auto"/>
      </w:divBdr>
    </w:div>
    <w:div w:id="477264186">
      <w:bodyDiv w:val="1"/>
      <w:marLeft w:val="0"/>
      <w:marRight w:val="0"/>
      <w:marTop w:val="0"/>
      <w:marBottom w:val="0"/>
      <w:divBdr>
        <w:top w:val="none" w:sz="0" w:space="0" w:color="auto"/>
        <w:left w:val="none" w:sz="0" w:space="0" w:color="auto"/>
        <w:bottom w:val="none" w:sz="0" w:space="0" w:color="auto"/>
        <w:right w:val="none" w:sz="0" w:space="0" w:color="auto"/>
      </w:divBdr>
    </w:div>
    <w:div w:id="502597144">
      <w:bodyDiv w:val="1"/>
      <w:marLeft w:val="0"/>
      <w:marRight w:val="0"/>
      <w:marTop w:val="0"/>
      <w:marBottom w:val="0"/>
      <w:divBdr>
        <w:top w:val="none" w:sz="0" w:space="0" w:color="auto"/>
        <w:left w:val="none" w:sz="0" w:space="0" w:color="auto"/>
        <w:bottom w:val="none" w:sz="0" w:space="0" w:color="auto"/>
        <w:right w:val="none" w:sz="0" w:space="0" w:color="auto"/>
      </w:divBdr>
    </w:div>
    <w:div w:id="1040518397">
      <w:bodyDiv w:val="1"/>
      <w:marLeft w:val="0"/>
      <w:marRight w:val="0"/>
      <w:marTop w:val="0"/>
      <w:marBottom w:val="0"/>
      <w:divBdr>
        <w:top w:val="none" w:sz="0" w:space="0" w:color="auto"/>
        <w:left w:val="none" w:sz="0" w:space="0" w:color="auto"/>
        <w:bottom w:val="none" w:sz="0" w:space="0" w:color="auto"/>
        <w:right w:val="none" w:sz="0" w:space="0" w:color="auto"/>
      </w:divBdr>
    </w:div>
    <w:div w:id="1115559619">
      <w:bodyDiv w:val="1"/>
      <w:marLeft w:val="0"/>
      <w:marRight w:val="0"/>
      <w:marTop w:val="0"/>
      <w:marBottom w:val="0"/>
      <w:divBdr>
        <w:top w:val="none" w:sz="0" w:space="0" w:color="auto"/>
        <w:left w:val="none" w:sz="0" w:space="0" w:color="auto"/>
        <w:bottom w:val="none" w:sz="0" w:space="0" w:color="auto"/>
        <w:right w:val="none" w:sz="0" w:space="0" w:color="auto"/>
      </w:divBdr>
    </w:div>
    <w:div w:id="1267542275">
      <w:bodyDiv w:val="1"/>
      <w:marLeft w:val="0"/>
      <w:marRight w:val="0"/>
      <w:marTop w:val="0"/>
      <w:marBottom w:val="0"/>
      <w:divBdr>
        <w:top w:val="none" w:sz="0" w:space="0" w:color="auto"/>
        <w:left w:val="none" w:sz="0" w:space="0" w:color="auto"/>
        <w:bottom w:val="none" w:sz="0" w:space="0" w:color="auto"/>
        <w:right w:val="none" w:sz="0" w:space="0" w:color="auto"/>
      </w:divBdr>
    </w:div>
    <w:div w:id="19300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84DF-86DD-42BC-910F-EDA43363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2744</Words>
  <Characters>15094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Rojas Buitrago</dc:creator>
  <cp:keywords/>
  <dc:description/>
  <cp:lastModifiedBy>Santiago Rojas Buitrago</cp:lastModifiedBy>
  <cp:revision>173</cp:revision>
  <dcterms:created xsi:type="dcterms:W3CDTF">2023-12-03T14:24:00Z</dcterms:created>
  <dcterms:modified xsi:type="dcterms:W3CDTF">2023-12-03T18:58:00Z</dcterms:modified>
</cp:coreProperties>
</file>