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E7EA" w14:textId="14EF8C56" w:rsidR="00A9491E" w:rsidRDefault="00A9491E" w:rsidP="00593C4E">
      <w:pPr>
        <w:pStyle w:val="Default"/>
        <w:jc w:val="center"/>
        <w:rPr>
          <w:sz w:val="26"/>
          <w:szCs w:val="26"/>
        </w:rPr>
      </w:pPr>
      <w:r>
        <w:rPr>
          <w:b/>
          <w:bCs/>
          <w:sz w:val="26"/>
          <w:szCs w:val="26"/>
        </w:rPr>
        <w:t>JUZGADO ONCE CIVIL DEL CIRCUITO</w:t>
      </w:r>
    </w:p>
    <w:p w14:paraId="15F7D361" w14:textId="44E76DD9" w:rsidR="00A9491E" w:rsidRDefault="00A9491E" w:rsidP="00593C4E">
      <w:pPr>
        <w:pStyle w:val="Default"/>
        <w:jc w:val="center"/>
        <w:rPr>
          <w:sz w:val="26"/>
          <w:szCs w:val="26"/>
        </w:rPr>
      </w:pPr>
      <w:r>
        <w:rPr>
          <w:sz w:val="26"/>
          <w:szCs w:val="26"/>
        </w:rPr>
        <w:t>Bogotá D.C., veinte (20) de marzo de dos mil veinticuatro (2024)</w:t>
      </w:r>
    </w:p>
    <w:p w14:paraId="35A4C6C7" w14:textId="77777777" w:rsidR="00593C4E" w:rsidRDefault="00593C4E" w:rsidP="00593C4E">
      <w:pPr>
        <w:pStyle w:val="Default"/>
        <w:jc w:val="center"/>
        <w:rPr>
          <w:b/>
          <w:bCs/>
          <w:sz w:val="26"/>
          <w:szCs w:val="26"/>
        </w:rPr>
      </w:pPr>
    </w:p>
    <w:p w14:paraId="5F74DBC5" w14:textId="5B3C5C10" w:rsidR="00A9491E" w:rsidRDefault="00A9491E" w:rsidP="00593C4E">
      <w:pPr>
        <w:pStyle w:val="Default"/>
        <w:jc w:val="center"/>
        <w:rPr>
          <w:sz w:val="26"/>
          <w:szCs w:val="26"/>
        </w:rPr>
      </w:pPr>
      <w:proofErr w:type="spellStart"/>
      <w:r>
        <w:rPr>
          <w:b/>
          <w:bCs/>
          <w:sz w:val="26"/>
          <w:szCs w:val="26"/>
        </w:rPr>
        <w:t>Exp</w:t>
      </w:r>
      <w:proofErr w:type="spellEnd"/>
      <w:r>
        <w:rPr>
          <w:b/>
          <w:bCs/>
          <w:sz w:val="26"/>
          <w:szCs w:val="26"/>
        </w:rPr>
        <w:t>. Nº.</w:t>
      </w:r>
      <w:r>
        <w:rPr>
          <w:sz w:val="26"/>
          <w:szCs w:val="26"/>
        </w:rPr>
        <w:t>110013103011</w:t>
      </w:r>
      <w:r>
        <w:rPr>
          <w:b/>
          <w:bCs/>
          <w:sz w:val="26"/>
          <w:szCs w:val="26"/>
        </w:rPr>
        <w:t>2021</w:t>
      </w:r>
      <w:r>
        <w:rPr>
          <w:sz w:val="26"/>
          <w:szCs w:val="26"/>
        </w:rPr>
        <w:t>00</w:t>
      </w:r>
      <w:r>
        <w:rPr>
          <w:b/>
          <w:bCs/>
          <w:sz w:val="26"/>
          <w:szCs w:val="26"/>
        </w:rPr>
        <w:t>226</w:t>
      </w:r>
      <w:r>
        <w:rPr>
          <w:sz w:val="26"/>
          <w:szCs w:val="26"/>
        </w:rPr>
        <w:t>00</w:t>
      </w:r>
    </w:p>
    <w:p w14:paraId="1FFF01AA" w14:textId="77777777" w:rsidR="00593C4E" w:rsidRDefault="00593C4E" w:rsidP="00A9491E">
      <w:pPr>
        <w:pStyle w:val="Default"/>
        <w:rPr>
          <w:sz w:val="26"/>
          <w:szCs w:val="26"/>
        </w:rPr>
      </w:pPr>
    </w:p>
    <w:p w14:paraId="6EFC2C4C" w14:textId="77777777" w:rsidR="00593C4E" w:rsidRDefault="00593C4E" w:rsidP="00593C4E">
      <w:pPr>
        <w:pStyle w:val="Default"/>
        <w:jc w:val="both"/>
        <w:rPr>
          <w:sz w:val="26"/>
          <w:szCs w:val="26"/>
        </w:rPr>
      </w:pPr>
    </w:p>
    <w:p w14:paraId="212002DD" w14:textId="449A5002" w:rsidR="00A9491E" w:rsidRDefault="00A9491E" w:rsidP="00593C4E">
      <w:pPr>
        <w:pStyle w:val="Default"/>
        <w:jc w:val="both"/>
        <w:rPr>
          <w:sz w:val="26"/>
          <w:szCs w:val="26"/>
        </w:rPr>
      </w:pPr>
      <w:r>
        <w:rPr>
          <w:sz w:val="26"/>
          <w:szCs w:val="26"/>
        </w:rPr>
        <w:t xml:space="preserve">De conformidad con el informe secretarial que antecede, procede el Despacho a pronunciarse sobre la sucesión procesal en relación con la demandante Herminda Cortés de Ruiz [q.e.p.d.]. Sobre el particular, establece el artículo 68 del Código General del Proceso que: </w:t>
      </w:r>
    </w:p>
    <w:p w14:paraId="5799DC03" w14:textId="77777777" w:rsidR="00593C4E" w:rsidRDefault="00593C4E" w:rsidP="00593C4E">
      <w:pPr>
        <w:pStyle w:val="Default"/>
        <w:jc w:val="both"/>
        <w:rPr>
          <w:i/>
          <w:iCs/>
          <w:sz w:val="23"/>
          <w:szCs w:val="23"/>
        </w:rPr>
      </w:pPr>
    </w:p>
    <w:p w14:paraId="641A9A25" w14:textId="7EA69472" w:rsidR="00A9491E" w:rsidRDefault="00A9491E" w:rsidP="00593C4E">
      <w:pPr>
        <w:pStyle w:val="Default"/>
        <w:jc w:val="both"/>
        <w:rPr>
          <w:sz w:val="23"/>
          <w:szCs w:val="23"/>
        </w:rPr>
      </w:pPr>
      <w:r>
        <w:rPr>
          <w:i/>
          <w:iCs/>
          <w:sz w:val="23"/>
          <w:szCs w:val="23"/>
        </w:rPr>
        <w:t xml:space="preserve">“Fallecido un litigante o declarado ausente, el proceso continuará con el cónyuge, el albacea con tenencia de bienes, los herederos o el correspondiente curador. </w:t>
      </w:r>
    </w:p>
    <w:p w14:paraId="6B9870AE" w14:textId="77777777" w:rsidR="00A9491E" w:rsidRDefault="00A9491E" w:rsidP="00593C4E">
      <w:pPr>
        <w:pStyle w:val="Default"/>
        <w:jc w:val="both"/>
        <w:rPr>
          <w:sz w:val="23"/>
          <w:szCs w:val="23"/>
        </w:rPr>
      </w:pPr>
      <w:r>
        <w:rPr>
          <w:i/>
          <w:iCs/>
          <w:sz w:val="23"/>
          <w:szCs w:val="23"/>
        </w:rPr>
        <w:t xml:space="preserve">Si en el curso del proceso sobreviene la extinción, fusión o escisión de alguna persona jurídica que figure como parte, los sucesores en el derecho debatido podrán comparecer para que se les reconozca tal carácter. En todo caso la sentencia producirá efectos respecto de </w:t>
      </w:r>
      <w:proofErr w:type="gramStart"/>
      <w:r>
        <w:rPr>
          <w:i/>
          <w:iCs/>
          <w:sz w:val="23"/>
          <w:szCs w:val="23"/>
        </w:rPr>
        <w:t>ellos</w:t>
      </w:r>
      <w:proofErr w:type="gramEnd"/>
      <w:r>
        <w:rPr>
          <w:i/>
          <w:iCs/>
          <w:sz w:val="23"/>
          <w:szCs w:val="23"/>
        </w:rPr>
        <w:t xml:space="preserve"> aunque no concurran. </w:t>
      </w:r>
    </w:p>
    <w:p w14:paraId="4B045A6A" w14:textId="77777777" w:rsidR="00593C4E" w:rsidRDefault="00593C4E" w:rsidP="00593C4E">
      <w:pPr>
        <w:pStyle w:val="Default"/>
        <w:jc w:val="both"/>
        <w:rPr>
          <w:i/>
          <w:iCs/>
          <w:sz w:val="23"/>
          <w:szCs w:val="23"/>
        </w:rPr>
      </w:pPr>
    </w:p>
    <w:p w14:paraId="5227AAFC" w14:textId="0D6A8887" w:rsidR="00A9491E" w:rsidRDefault="00A9491E" w:rsidP="00593C4E">
      <w:pPr>
        <w:pStyle w:val="Default"/>
        <w:jc w:val="both"/>
        <w:rPr>
          <w:sz w:val="23"/>
          <w:szCs w:val="23"/>
        </w:rPr>
      </w:pPr>
      <w:r>
        <w:rPr>
          <w:i/>
          <w:iCs/>
          <w:sz w:val="23"/>
          <w:szCs w:val="23"/>
        </w:rPr>
        <w:t xml:space="preserve">El adquirente a cualquier título de la cosa o del derecho litigioso podrá intervenir como litisconsorte del anterior titular. También podrá sustituirlo en el proceso, siempre que la parte contraria lo acepte expresamente. </w:t>
      </w:r>
    </w:p>
    <w:p w14:paraId="7CA52E9C" w14:textId="77777777" w:rsidR="00593C4E" w:rsidRDefault="00593C4E" w:rsidP="00593C4E">
      <w:pPr>
        <w:pStyle w:val="Default"/>
        <w:jc w:val="both"/>
        <w:rPr>
          <w:i/>
          <w:iCs/>
          <w:sz w:val="23"/>
          <w:szCs w:val="23"/>
        </w:rPr>
      </w:pPr>
    </w:p>
    <w:p w14:paraId="56D7756A" w14:textId="010D7744" w:rsidR="00A9491E" w:rsidRDefault="00A9491E" w:rsidP="00593C4E">
      <w:pPr>
        <w:pStyle w:val="Default"/>
        <w:jc w:val="both"/>
        <w:rPr>
          <w:sz w:val="23"/>
          <w:szCs w:val="23"/>
        </w:rPr>
      </w:pPr>
      <w:r>
        <w:rPr>
          <w:i/>
          <w:iCs/>
          <w:sz w:val="23"/>
          <w:szCs w:val="23"/>
        </w:rPr>
        <w:t xml:space="preserve">Las controversias que se susciten con ocasión del ejercicio del derecho consagrado en el artículo 1971 del Código Civil se decidirán como incidente” </w:t>
      </w:r>
    </w:p>
    <w:p w14:paraId="017A3F03" w14:textId="77777777" w:rsidR="00593C4E" w:rsidRDefault="00593C4E" w:rsidP="00593C4E">
      <w:pPr>
        <w:pStyle w:val="Default"/>
        <w:jc w:val="both"/>
        <w:rPr>
          <w:sz w:val="26"/>
          <w:szCs w:val="26"/>
        </w:rPr>
      </w:pPr>
    </w:p>
    <w:p w14:paraId="22C0449E" w14:textId="67FA1EBE" w:rsidR="00A9491E" w:rsidRDefault="00A9491E" w:rsidP="00593C4E">
      <w:pPr>
        <w:pStyle w:val="Default"/>
        <w:jc w:val="both"/>
        <w:rPr>
          <w:sz w:val="26"/>
          <w:szCs w:val="26"/>
        </w:rPr>
      </w:pPr>
      <w:r>
        <w:rPr>
          <w:sz w:val="26"/>
          <w:szCs w:val="26"/>
        </w:rPr>
        <w:t xml:space="preserve">A su turno, el artículo 70 </w:t>
      </w:r>
      <w:proofErr w:type="spellStart"/>
      <w:r>
        <w:rPr>
          <w:i/>
          <w:iCs/>
          <w:sz w:val="26"/>
          <w:szCs w:val="26"/>
        </w:rPr>
        <w:t>ejusdem</w:t>
      </w:r>
      <w:proofErr w:type="spellEnd"/>
      <w:r>
        <w:rPr>
          <w:i/>
          <w:iCs/>
          <w:sz w:val="26"/>
          <w:szCs w:val="26"/>
        </w:rPr>
        <w:t xml:space="preserve"> </w:t>
      </w:r>
      <w:r>
        <w:rPr>
          <w:sz w:val="26"/>
          <w:szCs w:val="26"/>
        </w:rPr>
        <w:t xml:space="preserve">dispone: </w:t>
      </w:r>
      <w:r>
        <w:rPr>
          <w:i/>
          <w:iCs/>
          <w:sz w:val="26"/>
          <w:szCs w:val="26"/>
        </w:rPr>
        <w:t xml:space="preserve">“Irreversibilidad del proceso. Los </w:t>
      </w:r>
    </w:p>
    <w:p w14:paraId="45152476" w14:textId="77777777" w:rsidR="00A9491E" w:rsidRDefault="00A9491E" w:rsidP="00593C4E">
      <w:pPr>
        <w:pStyle w:val="Default"/>
        <w:jc w:val="both"/>
        <w:rPr>
          <w:sz w:val="26"/>
          <w:szCs w:val="26"/>
        </w:rPr>
      </w:pPr>
      <w:r>
        <w:rPr>
          <w:i/>
          <w:iCs/>
          <w:sz w:val="26"/>
          <w:szCs w:val="26"/>
        </w:rPr>
        <w:t xml:space="preserve">intervinientes y sucesores de que trata este código tomarán el proceso en el </w:t>
      </w:r>
    </w:p>
    <w:p w14:paraId="57248C25" w14:textId="77777777" w:rsidR="00A9491E" w:rsidRDefault="00A9491E" w:rsidP="00593C4E">
      <w:pPr>
        <w:pStyle w:val="Default"/>
        <w:jc w:val="both"/>
        <w:rPr>
          <w:sz w:val="26"/>
          <w:szCs w:val="26"/>
        </w:rPr>
      </w:pPr>
      <w:r>
        <w:rPr>
          <w:i/>
          <w:iCs/>
          <w:sz w:val="26"/>
          <w:szCs w:val="26"/>
        </w:rPr>
        <w:t xml:space="preserve">estado en que se halle en el momento de su intervención”. </w:t>
      </w:r>
    </w:p>
    <w:p w14:paraId="4B37466E" w14:textId="77777777" w:rsidR="00593C4E" w:rsidRDefault="00593C4E" w:rsidP="00593C4E">
      <w:pPr>
        <w:pStyle w:val="Default"/>
        <w:jc w:val="both"/>
        <w:rPr>
          <w:sz w:val="26"/>
          <w:szCs w:val="26"/>
        </w:rPr>
      </w:pPr>
    </w:p>
    <w:p w14:paraId="30215A02" w14:textId="49CFFD5A" w:rsidR="00A9491E" w:rsidRDefault="00A9491E" w:rsidP="00593C4E">
      <w:pPr>
        <w:pStyle w:val="Default"/>
        <w:jc w:val="both"/>
        <w:rPr>
          <w:sz w:val="26"/>
          <w:szCs w:val="26"/>
        </w:rPr>
      </w:pPr>
      <w:r>
        <w:rPr>
          <w:sz w:val="26"/>
          <w:szCs w:val="26"/>
        </w:rPr>
        <w:t xml:space="preserve">En el caso </w:t>
      </w:r>
      <w:r>
        <w:rPr>
          <w:i/>
          <w:iCs/>
          <w:sz w:val="26"/>
          <w:szCs w:val="26"/>
        </w:rPr>
        <w:t xml:space="preserve">sub examine </w:t>
      </w:r>
      <w:r>
        <w:rPr>
          <w:sz w:val="26"/>
          <w:szCs w:val="26"/>
        </w:rPr>
        <w:t xml:space="preserve">se encuentra acreditado el fallecimiento de la demandante Herminda Cortés de Ruiz, así como también el vínculo existente de ésta con Eneida Ruiz Cortés, como consta en el registro civil de nacimiento allegado al plenario, razón por la cual, en su calidad de heredera, es procedente reconocerle como sucesora procesal de la demandante, quien asumirá el proceso en el estado en que se encuentra. </w:t>
      </w:r>
    </w:p>
    <w:p w14:paraId="655A6E98" w14:textId="77777777" w:rsidR="00593C4E" w:rsidRDefault="00593C4E" w:rsidP="00593C4E">
      <w:pPr>
        <w:pStyle w:val="Default"/>
        <w:jc w:val="both"/>
        <w:rPr>
          <w:sz w:val="26"/>
          <w:szCs w:val="26"/>
        </w:rPr>
      </w:pPr>
    </w:p>
    <w:p w14:paraId="0A86CE27" w14:textId="2295BC02" w:rsidR="00A9491E" w:rsidRDefault="00A9491E" w:rsidP="00593C4E">
      <w:pPr>
        <w:pStyle w:val="Default"/>
        <w:jc w:val="both"/>
        <w:rPr>
          <w:sz w:val="26"/>
          <w:szCs w:val="26"/>
        </w:rPr>
      </w:pPr>
      <w:r>
        <w:rPr>
          <w:sz w:val="26"/>
          <w:szCs w:val="26"/>
        </w:rPr>
        <w:t xml:space="preserve">Por lo brevemente expuesto, el Juzgado Once Civil del Circuito de Bogotá D.C., </w:t>
      </w:r>
    </w:p>
    <w:p w14:paraId="2B08A185" w14:textId="77777777" w:rsidR="00593C4E" w:rsidRDefault="00593C4E" w:rsidP="00593C4E">
      <w:pPr>
        <w:pStyle w:val="Default"/>
        <w:jc w:val="both"/>
        <w:rPr>
          <w:b/>
          <w:bCs/>
          <w:sz w:val="26"/>
          <w:szCs w:val="26"/>
        </w:rPr>
      </w:pPr>
    </w:p>
    <w:p w14:paraId="709F7652" w14:textId="59519D33" w:rsidR="00A9491E" w:rsidRDefault="00A9491E" w:rsidP="00593C4E">
      <w:pPr>
        <w:pStyle w:val="Default"/>
        <w:jc w:val="both"/>
        <w:rPr>
          <w:sz w:val="26"/>
          <w:szCs w:val="26"/>
        </w:rPr>
      </w:pPr>
      <w:r>
        <w:rPr>
          <w:b/>
          <w:bCs/>
          <w:sz w:val="26"/>
          <w:szCs w:val="26"/>
        </w:rPr>
        <w:t xml:space="preserve">RESUELVE: </w:t>
      </w:r>
    </w:p>
    <w:p w14:paraId="308B24EC" w14:textId="77777777" w:rsidR="00A9491E" w:rsidRDefault="00A9491E" w:rsidP="00593C4E">
      <w:pPr>
        <w:pStyle w:val="Default"/>
        <w:pageBreakBefore/>
        <w:jc w:val="both"/>
        <w:rPr>
          <w:sz w:val="26"/>
          <w:szCs w:val="26"/>
        </w:rPr>
      </w:pPr>
      <w:r>
        <w:rPr>
          <w:b/>
          <w:bCs/>
          <w:sz w:val="26"/>
          <w:szCs w:val="26"/>
        </w:rPr>
        <w:lastRenderedPageBreak/>
        <w:t xml:space="preserve">PRIMERO: TENER </w:t>
      </w:r>
      <w:r>
        <w:rPr>
          <w:sz w:val="26"/>
          <w:szCs w:val="26"/>
        </w:rPr>
        <w:t xml:space="preserve">como sucesora procesal, en calidad de heredera de la demandante Herminda Cortés de Ruiz [q.e.p.d.], a Eneida Ruiz Cortés, quien asumirá el proceso en el estado en que se encuentra. </w:t>
      </w:r>
    </w:p>
    <w:p w14:paraId="16979786" w14:textId="77777777" w:rsidR="00593C4E" w:rsidRDefault="00593C4E" w:rsidP="00593C4E">
      <w:pPr>
        <w:pStyle w:val="Default"/>
        <w:jc w:val="both"/>
        <w:rPr>
          <w:b/>
          <w:bCs/>
          <w:sz w:val="26"/>
          <w:szCs w:val="26"/>
        </w:rPr>
      </w:pPr>
    </w:p>
    <w:p w14:paraId="65143265" w14:textId="052925B1" w:rsidR="00A9491E" w:rsidRDefault="00A9491E" w:rsidP="00593C4E">
      <w:pPr>
        <w:pStyle w:val="Default"/>
        <w:jc w:val="both"/>
        <w:rPr>
          <w:sz w:val="26"/>
          <w:szCs w:val="26"/>
        </w:rPr>
      </w:pPr>
      <w:r>
        <w:rPr>
          <w:b/>
          <w:bCs/>
          <w:sz w:val="26"/>
          <w:szCs w:val="26"/>
        </w:rPr>
        <w:t xml:space="preserve">SEGUNDO. RECONOCER </w:t>
      </w:r>
      <w:r>
        <w:rPr>
          <w:sz w:val="26"/>
          <w:szCs w:val="26"/>
        </w:rPr>
        <w:t xml:space="preserve">personería al abogado Jorge Enrique Cely León como apoderado de Eneida Ruiz Cortés en los términos y para los efectos del poder conferido. </w:t>
      </w:r>
    </w:p>
    <w:p w14:paraId="24C74039" w14:textId="77777777" w:rsidR="00593C4E" w:rsidRDefault="00593C4E" w:rsidP="00593C4E">
      <w:pPr>
        <w:pStyle w:val="Default"/>
        <w:jc w:val="both"/>
        <w:rPr>
          <w:b/>
          <w:bCs/>
          <w:sz w:val="26"/>
          <w:szCs w:val="26"/>
        </w:rPr>
      </w:pPr>
    </w:p>
    <w:p w14:paraId="52DE4387" w14:textId="509CA733" w:rsidR="00A9491E" w:rsidRDefault="00A9491E" w:rsidP="00593C4E">
      <w:pPr>
        <w:pStyle w:val="Default"/>
        <w:jc w:val="both"/>
        <w:rPr>
          <w:sz w:val="26"/>
          <w:szCs w:val="26"/>
        </w:rPr>
      </w:pPr>
      <w:r>
        <w:rPr>
          <w:b/>
          <w:bCs/>
          <w:sz w:val="26"/>
          <w:szCs w:val="26"/>
        </w:rPr>
        <w:t xml:space="preserve">NOTIFÍQUESE Y CÚMPLASE, </w:t>
      </w:r>
    </w:p>
    <w:p w14:paraId="54C49654" w14:textId="77777777" w:rsidR="00593C4E" w:rsidRDefault="00593C4E" w:rsidP="00593C4E">
      <w:pPr>
        <w:pStyle w:val="Default"/>
        <w:jc w:val="both"/>
        <w:rPr>
          <w:b/>
          <w:bCs/>
          <w:sz w:val="26"/>
          <w:szCs w:val="26"/>
        </w:rPr>
      </w:pPr>
    </w:p>
    <w:p w14:paraId="33D16F08" w14:textId="0AF78561" w:rsidR="00A9491E" w:rsidRDefault="00A9491E" w:rsidP="00593C4E">
      <w:pPr>
        <w:pStyle w:val="Default"/>
        <w:jc w:val="both"/>
        <w:rPr>
          <w:sz w:val="26"/>
          <w:szCs w:val="26"/>
        </w:rPr>
      </w:pPr>
      <w:r>
        <w:rPr>
          <w:b/>
          <w:bCs/>
          <w:sz w:val="26"/>
          <w:szCs w:val="26"/>
        </w:rPr>
        <w:t xml:space="preserve">MARÍA EUGENIA SANTA GARCÍA </w:t>
      </w:r>
    </w:p>
    <w:p w14:paraId="049D4958" w14:textId="77777777" w:rsidR="00A9491E" w:rsidRDefault="00A9491E" w:rsidP="00593C4E">
      <w:pPr>
        <w:pStyle w:val="Default"/>
        <w:jc w:val="both"/>
        <w:rPr>
          <w:sz w:val="26"/>
          <w:szCs w:val="26"/>
        </w:rPr>
      </w:pPr>
      <w:r>
        <w:rPr>
          <w:b/>
          <w:bCs/>
          <w:sz w:val="26"/>
          <w:szCs w:val="26"/>
        </w:rPr>
        <w:t xml:space="preserve">Jueza </w:t>
      </w:r>
    </w:p>
    <w:p w14:paraId="21137ABB" w14:textId="77777777" w:rsidR="00A9491E" w:rsidRDefault="00A9491E" w:rsidP="00593C4E">
      <w:pPr>
        <w:pStyle w:val="Default"/>
        <w:jc w:val="both"/>
        <w:rPr>
          <w:sz w:val="26"/>
          <w:szCs w:val="26"/>
        </w:rPr>
      </w:pPr>
      <w:r>
        <w:rPr>
          <w:b/>
          <w:bCs/>
          <w:sz w:val="26"/>
          <w:szCs w:val="26"/>
        </w:rPr>
        <w:t xml:space="preserve">(2) </w:t>
      </w:r>
    </w:p>
    <w:p w14:paraId="58F27DFC" w14:textId="77777777" w:rsidR="00593C4E" w:rsidRDefault="00593C4E" w:rsidP="00593C4E">
      <w:pPr>
        <w:pStyle w:val="Default"/>
        <w:jc w:val="both"/>
        <w:rPr>
          <w:i/>
          <w:iCs/>
          <w:sz w:val="14"/>
          <w:szCs w:val="14"/>
        </w:rPr>
      </w:pPr>
    </w:p>
    <w:p w14:paraId="1E716189" w14:textId="77777777" w:rsidR="00593C4E" w:rsidRDefault="00593C4E" w:rsidP="00593C4E">
      <w:pPr>
        <w:pStyle w:val="Default"/>
        <w:jc w:val="both"/>
        <w:rPr>
          <w:i/>
          <w:iCs/>
          <w:sz w:val="14"/>
          <w:szCs w:val="14"/>
        </w:rPr>
      </w:pPr>
    </w:p>
    <w:p w14:paraId="648EE0E1" w14:textId="77777777" w:rsidR="00593C4E" w:rsidRDefault="00593C4E" w:rsidP="00593C4E">
      <w:pPr>
        <w:pStyle w:val="Default"/>
        <w:jc w:val="both"/>
        <w:rPr>
          <w:i/>
          <w:iCs/>
          <w:sz w:val="14"/>
          <w:szCs w:val="14"/>
        </w:rPr>
      </w:pPr>
    </w:p>
    <w:p w14:paraId="03580F89" w14:textId="7EB799A9" w:rsidR="00A9491E" w:rsidRDefault="00A9491E" w:rsidP="00593C4E">
      <w:pPr>
        <w:pStyle w:val="Default"/>
        <w:jc w:val="both"/>
        <w:rPr>
          <w:sz w:val="14"/>
          <w:szCs w:val="14"/>
        </w:rPr>
      </w:pPr>
      <w:r>
        <w:rPr>
          <w:i/>
          <w:iCs/>
          <w:sz w:val="14"/>
          <w:szCs w:val="14"/>
        </w:rPr>
        <w:t xml:space="preserve">KG </w:t>
      </w:r>
    </w:p>
    <w:p w14:paraId="6458A5B4" w14:textId="77777777" w:rsidR="00A9491E" w:rsidRDefault="00A9491E" w:rsidP="00593C4E">
      <w:pPr>
        <w:pStyle w:val="Default"/>
        <w:jc w:val="both"/>
        <w:rPr>
          <w:color w:val="auto"/>
          <w:sz w:val="16"/>
          <w:szCs w:val="16"/>
        </w:rPr>
      </w:pPr>
      <w:r>
        <w:rPr>
          <w:color w:val="auto"/>
          <w:sz w:val="16"/>
          <w:szCs w:val="16"/>
        </w:rPr>
        <w:t xml:space="preserve">Firmado Por: </w:t>
      </w:r>
    </w:p>
    <w:p w14:paraId="37D9C74D" w14:textId="77777777" w:rsidR="00A9491E" w:rsidRDefault="00A9491E" w:rsidP="00593C4E">
      <w:pPr>
        <w:pStyle w:val="Default"/>
        <w:jc w:val="both"/>
        <w:rPr>
          <w:color w:val="auto"/>
          <w:sz w:val="16"/>
          <w:szCs w:val="16"/>
        </w:rPr>
      </w:pPr>
      <w:r>
        <w:rPr>
          <w:color w:val="auto"/>
          <w:sz w:val="16"/>
          <w:szCs w:val="16"/>
        </w:rPr>
        <w:t xml:space="preserve">Maria Eugenia Santa </w:t>
      </w:r>
      <w:proofErr w:type="spellStart"/>
      <w:r>
        <w:rPr>
          <w:color w:val="auto"/>
          <w:sz w:val="16"/>
          <w:szCs w:val="16"/>
        </w:rPr>
        <w:t>Garcia</w:t>
      </w:r>
      <w:proofErr w:type="spellEnd"/>
      <w:r>
        <w:rPr>
          <w:color w:val="auto"/>
          <w:sz w:val="16"/>
          <w:szCs w:val="16"/>
        </w:rPr>
        <w:t xml:space="preserve"> </w:t>
      </w:r>
    </w:p>
    <w:p w14:paraId="38BFB7CE" w14:textId="77777777" w:rsidR="00A9491E" w:rsidRDefault="00A9491E" w:rsidP="00593C4E">
      <w:pPr>
        <w:pStyle w:val="Default"/>
        <w:jc w:val="both"/>
        <w:rPr>
          <w:color w:val="auto"/>
          <w:sz w:val="16"/>
          <w:szCs w:val="16"/>
        </w:rPr>
      </w:pPr>
      <w:r>
        <w:rPr>
          <w:color w:val="auto"/>
          <w:sz w:val="16"/>
          <w:szCs w:val="16"/>
        </w:rPr>
        <w:t xml:space="preserve">Juez </w:t>
      </w:r>
    </w:p>
    <w:p w14:paraId="2DFB23B7" w14:textId="77777777" w:rsidR="00A9491E" w:rsidRDefault="00A9491E" w:rsidP="00593C4E">
      <w:pPr>
        <w:pStyle w:val="Default"/>
        <w:jc w:val="both"/>
        <w:rPr>
          <w:color w:val="auto"/>
          <w:sz w:val="16"/>
          <w:szCs w:val="16"/>
        </w:rPr>
      </w:pPr>
      <w:r>
        <w:rPr>
          <w:color w:val="auto"/>
          <w:sz w:val="16"/>
          <w:szCs w:val="16"/>
        </w:rPr>
        <w:t xml:space="preserve">Juzgado De Circuito </w:t>
      </w:r>
    </w:p>
    <w:p w14:paraId="16960112" w14:textId="77777777" w:rsidR="00A9491E" w:rsidRDefault="00A9491E" w:rsidP="00593C4E">
      <w:pPr>
        <w:pStyle w:val="Default"/>
        <w:jc w:val="both"/>
        <w:rPr>
          <w:color w:val="auto"/>
          <w:sz w:val="16"/>
          <w:szCs w:val="16"/>
        </w:rPr>
      </w:pPr>
      <w:r>
        <w:rPr>
          <w:color w:val="auto"/>
          <w:sz w:val="16"/>
          <w:szCs w:val="16"/>
        </w:rPr>
        <w:t xml:space="preserve">Civil 11 </w:t>
      </w:r>
    </w:p>
    <w:p w14:paraId="13B3BDFF" w14:textId="77777777" w:rsidR="00A9491E" w:rsidRDefault="00A9491E" w:rsidP="00593C4E">
      <w:pPr>
        <w:pStyle w:val="Default"/>
        <w:jc w:val="both"/>
        <w:rPr>
          <w:color w:val="auto"/>
          <w:sz w:val="16"/>
          <w:szCs w:val="16"/>
        </w:rPr>
      </w:pPr>
      <w:r>
        <w:rPr>
          <w:color w:val="auto"/>
          <w:sz w:val="16"/>
          <w:szCs w:val="16"/>
        </w:rPr>
        <w:t xml:space="preserve">Bogotá, D.C. - Bogotá D.C., </w:t>
      </w:r>
    </w:p>
    <w:p w14:paraId="718CAAC9" w14:textId="77777777" w:rsidR="00A9491E" w:rsidRDefault="00A9491E" w:rsidP="00593C4E">
      <w:pPr>
        <w:pStyle w:val="Default"/>
        <w:jc w:val="both"/>
        <w:rPr>
          <w:color w:val="auto"/>
          <w:sz w:val="16"/>
          <w:szCs w:val="16"/>
        </w:rPr>
      </w:pPr>
      <w:r>
        <w:rPr>
          <w:color w:val="auto"/>
          <w:sz w:val="16"/>
          <w:szCs w:val="16"/>
        </w:rPr>
        <w:t xml:space="preserve">Este documento fue generado con firma electrónica y cuenta con plena validez jurídica, </w:t>
      </w:r>
    </w:p>
    <w:p w14:paraId="3C80E857" w14:textId="77777777" w:rsidR="00A9491E" w:rsidRDefault="00A9491E" w:rsidP="00593C4E">
      <w:pPr>
        <w:pStyle w:val="Default"/>
        <w:jc w:val="both"/>
        <w:rPr>
          <w:color w:val="auto"/>
          <w:sz w:val="16"/>
          <w:szCs w:val="16"/>
        </w:rPr>
      </w:pPr>
      <w:r>
        <w:rPr>
          <w:color w:val="auto"/>
          <w:sz w:val="16"/>
          <w:szCs w:val="16"/>
        </w:rPr>
        <w:t xml:space="preserve">conforme a lo dispuesto en la Ley 527/99 y el decreto reglamentario 2364/12 </w:t>
      </w:r>
    </w:p>
    <w:p w14:paraId="385E2D3E" w14:textId="77777777" w:rsidR="00A9491E" w:rsidRDefault="00A9491E" w:rsidP="00593C4E">
      <w:pPr>
        <w:pStyle w:val="Default"/>
        <w:jc w:val="both"/>
        <w:rPr>
          <w:color w:val="auto"/>
          <w:sz w:val="16"/>
          <w:szCs w:val="16"/>
        </w:rPr>
      </w:pPr>
      <w:r>
        <w:rPr>
          <w:color w:val="auto"/>
          <w:sz w:val="16"/>
          <w:szCs w:val="16"/>
        </w:rPr>
        <w:t xml:space="preserve">Código de verificación: </w:t>
      </w:r>
    </w:p>
    <w:p w14:paraId="0FFA82FC" w14:textId="77777777" w:rsidR="00A9491E" w:rsidRDefault="00A9491E" w:rsidP="00593C4E">
      <w:pPr>
        <w:pStyle w:val="Default"/>
        <w:jc w:val="both"/>
        <w:rPr>
          <w:color w:val="auto"/>
          <w:sz w:val="16"/>
          <w:szCs w:val="16"/>
        </w:rPr>
      </w:pPr>
      <w:r>
        <w:rPr>
          <w:color w:val="auto"/>
          <w:sz w:val="16"/>
          <w:szCs w:val="16"/>
        </w:rPr>
        <w:t xml:space="preserve">2010c6daa15cd66759117731846d1c7fd9db816942519c9e3fcc7facf4646dcf </w:t>
      </w:r>
    </w:p>
    <w:p w14:paraId="187FC0C3" w14:textId="77777777" w:rsidR="00A9491E" w:rsidRDefault="00A9491E" w:rsidP="00593C4E">
      <w:pPr>
        <w:pStyle w:val="Default"/>
        <w:jc w:val="both"/>
        <w:rPr>
          <w:color w:val="auto"/>
          <w:sz w:val="16"/>
          <w:szCs w:val="16"/>
        </w:rPr>
      </w:pPr>
      <w:r>
        <w:rPr>
          <w:color w:val="auto"/>
          <w:sz w:val="16"/>
          <w:szCs w:val="16"/>
        </w:rPr>
        <w:t xml:space="preserve">Documento generado en 20/03/2024 07:15:10 p. m. </w:t>
      </w:r>
    </w:p>
    <w:p w14:paraId="7812A9B1" w14:textId="77777777" w:rsidR="00A9491E" w:rsidRDefault="00A9491E" w:rsidP="00593C4E">
      <w:pPr>
        <w:pStyle w:val="Default"/>
        <w:jc w:val="both"/>
        <w:rPr>
          <w:color w:val="auto"/>
          <w:sz w:val="20"/>
          <w:szCs w:val="20"/>
        </w:rPr>
      </w:pPr>
      <w:r>
        <w:rPr>
          <w:color w:val="auto"/>
          <w:sz w:val="20"/>
          <w:szCs w:val="20"/>
        </w:rPr>
        <w:t xml:space="preserve">Descargue el archivo y valide </w:t>
      </w:r>
      <w:proofErr w:type="gramStart"/>
      <w:r>
        <w:rPr>
          <w:color w:val="auto"/>
          <w:sz w:val="20"/>
          <w:szCs w:val="20"/>
        </w:rPr>
        <w:t>éste</w:t>
      </w:r>
      <w:proofErr w:type="gramEnd"/>
      <w:r>
        <w:rPr>
          <w:color w:val="auto"/>
          <w:sz w:val="20"/>
          <w:szCs w:val="20"/>
        </w:rPr>
        <w:t xml:space="preserve"> documento electrónico en la siguiente URL: </w:t>
      </w:r>
    </w:p>
    <w:p w14:paraId="56C49824" w14:textId="7F04D59F" w:rsidR="00B9243D" w:rsidRDefault="00A9491E" w:rsidP="00593C4E">
      <w:pPr>
        <w:jc w:val="both"/>
      </w:pPr>
      <w:r>
        <w:rPr>
          <w:sz w:val="20"/>
          <w:szCs w:val="20"/>
        </w:rPr>
        <w:t>https://procesojudicial.ramajudicial.gov.co/FirmaElectro</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1E"/>
    <w:rsid w:val="00593C4E"/>
    <w:rsid w:val="00737460"/>
    <w:rsid w:val="00A9491E"/>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4AFD"/>
  <w15:chartTrackingRefBased/>
  <w15:docId w15:val="{5818E47D-EE38-47FA-90C3-5233F51E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491E"/>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2494</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2024-03-21T21:03:00Z</dcterms:created>
  <dcterms:modified xsi:type="dcterms:W3CDTF">2024-03-21T21:04:00Z</dcterms:modified>
</cp:coreProperties>
</file>