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974C" w14:textId="426E7E15" w:rsidR="00122D37" w:rsidRPr="00122D37" w:rsidRDefault="00122D37" w:rsidP="00122D37">
      <w:pPr>
        <w:spacing w:line="276" w:lineRule="auto"/>
        <w:jc w:val="center"/>
        <w:rPr>
          <w:rFonts w:ascii="Garamond" w:eastAsia="Times New Roman" w:hAnsi="Garamond" w:cs="Times New Roman"/>
          <w:b/>
          <w:bCs/>
          <w:sz w:val="22"/>
          <w:szCs w:val="22"/>
          <w:lang w:val="es-CO" w:eastAsia="es-ES_tradnl"/>
        </w:rPr>
      </w:pPr>
      <w:r w:rsidRPr="00122D37">
        <w:rPr>
          <w:rFonts w:ascii="Garamond" w:eastAsia="Times New Roman" w:hAnsi="Garamond" w:cs="Segoe UI"/>
          <w:b/>
          <w:bCs/>
          <w:sz w:val="22"/>
          <w:szCs w:val="22"/>
          <w:bdr w:val="none" w:sz="0" w:space="0" w:color="auto" w:frame="1"/>
          <w:shd w:val="clear" w:color="auto" w:fill="FFFFFF"/>
          <w:lang w:val="es-CO" w:eastAsia="es-ES_tradnl"/>
        </w:rPr>
        <w:t>J</w:t>
      </w:r>
      <w:r w:rsidRPr="00122D37">
        <w:rPr>
          <w:rFonts w:ascii="Garamond" w:eastAsia="Times New Roman" w:hAnsi="Garamond" w:cs="Segoe UI"/>
          <w:b/>
          <w:bCs/>
          <w:sz w:val="22"/>
          <w:szCs w:val="22"/>
          <w:bdr w:val="none" w:sz="0" w:space="0" w:color="auto" w:frame="1"/>
          <w:shd w:val="clear" w:color="auto" w:fill="FFFFFF"/>
          <w:lang w:val="es-CO" w:eastAsia="es-ES_tradnl"/>
        </w:rPr>
        <w:t>U</w:t>
      </w:r>
      <w:r w:rsidRPr="00122D37">
        <w:rPr>
          <w:rFonts w:ascii="Garamond" w:eastAsia="Times New Roman" w:hAnsi="Garamond" w:cs="Segoe UI"/>
          <w:b/>
          <w:bCs/>
          <w:sz w:val="22"/>
          <w:szCs w:val="22"/>
          <w:bdr w:val="none" w:sz="0" w:space="0" w:color="auto" w:frame="1"/>
          <w:shd w:val="clear" w:color="auto" w:fill="FFFFFF"/>
          <w:lang w:val="es-CO" w:eastAsia="es-ES_tradnl"/>
        </w:rPr>
        <w:t>ZGADO QUINCE ADMINISTRATIVO DEL CIRCUITO DE CALI</w:t>
      </w:r>
    </w:p>
    <w:p w14:paraId="5A59A746"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p>
    <w:p w14:paraId="26FF16A4"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p>
    <w:p w14:paraId="7E271ECF" w14:textId="3C731BD2"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122D37">
        <w:rPr>
          <w:rFonts w:ascii="Garamond" w:eastAsia="Times New Roman" w:hAnsi="Garamond" w:cs="Times New Roman"/>
          <w:color w:val="000000"/>
          <w:sz w:val="22"/>
          <w:szCs w:val="22"/>
          <w:lang w:val="es-CO" w:eastAsia="es-ES_tradnl"/>
        </w:rPr>
        <w:t>DEMANDANTE: ROBINSON LEON RENGIFO Y OTROS </w:t>
      </w:r>
    </w:p>
    <w:p w14:paraId="3DD5E2EF"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122D37">
        <w:rPr>
          <w:rFonts w:ascii="Garamond" w:eastAsia="Times New Roman" w:hAnsi="Garamond" w:cs="Times New Roman"/>
          <w:color w:val="000000"/>
          <w:sz w:val="22"/>
          <w:szCs w:val="22"/>
          <w:lang w:val="es-CO" w:eastAsia="es-ES_tradnl"/>
        </w:rPr>
        <w:t>DEMANDADO:MUNICIPIO DE SANTIAGO DE CALI Y OTROS.</w:t>
      </w:r>
    </w:p>
    <w:p w14:paraId="516FCEDA"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122D37">
        <w:rPr>
          <w:rFonts w:ascii="Garamond" w:eastAsia="Times New Roman" w:hAnsi="Garamond" w:cs="Times New Roman"/>
          <w:color w:val="000000"/>
          <w:sz w:val="22"/>
          <w:szCs w:val="22"/>
          <w:lang w:val="es-CO" w:eastAsia="es-ES_tradnl"/>
        </w:rPr>
        <w:t>RAD:2023-00144</w:t>
      </w:r>
    </w:p>
    <w:p w14:paraId="495F6DD7"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122D37">
        <w:rPr>
          <w:rFonts w:ascii="Garamond" w:eastAsia="Times New Roman" w:hAnsi="Garamond" w:cs="Times New Roman"/>
          <w:color w:val="000000"/>
          <w:sz w:val="22"/>
          <w:szCs w:val="22"/>
          <w:lang w:val="es-CO" w:eastAsia="es-ES_tradnl"/>
        </w:rPr>
        <w:t>CASE: 21364 - 13807 - 12755 </w:t>
      </w:r>
    </w:p>
    <w:p w14:paraId="6D05B97A"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122D37">
        <w:rPr>
          <w:rFonts w:ascii="Garamond" w:eastAsia="Times New Roman" w:hAnsi="Garamond" w:cs="Times New Roman"/>
          <w:color w:val="000000"/>
          <w:sz w:val="22"/>
          <w:szCs w:val="22"/>
          <w:lang w:val="es-CO" w:eastAsia="es-ES_tradnl"/>
        </w:rPr>
        <w:t>COMPAÑIA: SOLIDARIA - CHUBB - HDI</w:t>
      </w:r>
    </w:p>
    <w:p w14:paraId="0FA97E80"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p>
    <w:p w14:paraId="7466ADAB"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122D37">
        <w:rPr>
          <w:rFonts w:ascii="Garamond" w:eastAsia="Times New Roman" w:hAnsi="Garamond" w:cs="Times New Roman"/>
          <w:color w:val="000000"/>
          <w:sz w:val="22"/>
          <w:szCs w:val="22"/>
          <w:lang w:val="es-CO" w:eastAsia="es-ES_tradnl"/>
        </w:rPr>
        <w:t>CHUBB: REMOTA</w:t>
      </w:r>
    </w:p>
    <w:p w14:paraId="222169AA" w14:textId="46BEC40D"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r w:rsidRPr="00122D37">
        <w:rPr>
          <w:rFonts w:ascii="Garamond" w:eastAsia="Times New Roman" w:hAnsi="Garamond" w:cs="Times New Roman"/>
          <w:color w:val="000000"/>
          <w:sz w:val="22"/>
          <w:szCs w:val="22"/>
          <w:lang w:val="es-CO" w:eastAsia="es-ES_tradnl"/>
        </w:rPr>
        <w:t>CALIFICACIÓN HDI: REMOTA </w:t>
      </w:r>
      <w:r w:rsidRPr="00122D37">
        <w:rPr>
          <w:rFonts w:ascii="Garamond" w:eastAsia="Times New Roman" w:hAnsi="Garamond" w:cs="Times New Roman"/>
          <w:color w:val="000000"/>
          <w:sz w:val="22"/>
          <w:szCs w:val="22"/>
          <w:lang w:val="es-CO" w:eastAsia="es-ES_tradnl"/>
        </w:rPr>
        <w:t>(CASE 21364)</w:t>
      </w:r>
    </w:p>
    <w:p w14:paraId="1844E5F9" w14:textId="68D2E53E" w:rsidR="00122D37" w:rsidRPr="00122D37" w:rsidRDefault="00122D37" w:rsidP="00122D37">
      <w:pPr>
        <w:shd w:val="clear" w:color="auto" w:fill="FFFFFF"/>
        <w:spacing w:line="276" w:lineRule="auto"/>
        <w:textAlignment w:val="baseline"/>
        <w:rPr>
          <w:rFonts w:ascii="Garamond" w:eastAsia="Times New Roman" w:hAnsi="Garamond" w:cs="Times New Roman"/>
          <w:b/>
          <w:bCs/>
          <w:color w:val="ED5C57"/>
          <w:sz w:val="22"/>
          <w:szCs w:val="22"/>
          <w:u w:val="single"/>
          <w:bdr w:val="none" w:sz="0" w:space="0" w:color="auto" w:frame="1"/>
          <w:shd w:val="clear" w:color="auto" w:fill="FFFF00"/>
          <w:lang w:val="es-CO" w:eastAsia="es-ES_tradnl"/>
        </w:rPr>
      </w:pPr>
      <w:r w:rsidRPr="00122D37">
        <w:rPr>
          <w:rFonts w:ascii="Garamond" w:eastAsia="Times New Roman" w:hAnsi="Garamond" w:cs="Times New Roman"/>
          <w:b/>
          <w:bCs/>
          <w:color w:val="ED5C57"/>
          <w:sz w:val="22"/>
          <w:szCs w:val="22"/>
          <w:u w:val="single"/>
          <w:bdr w:val="none" w:sz="0" w:space="0" w:color="auto" w:frame="1"/>
          <w:shd w:val="clear" w:color="auto" w:fill="FFFF00"/>
          <w:lang w:val="es-CO" w:eastAsia="es-ES_tradnl"/>
        </w:rPr>
        <w:t>SOLIDARIA: REMOTO</w:t>
      </w:r>
    </w:p>
    <w:p w14:paraId="752562A2" w14:textId="1F73FE8A"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p>
    <w:p w14:paraId="3FF8C97A" w14:textId="465622E3"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p>
    <w:p w14:paraId="173D6123" w14:textId="470DBCCF" w:rsidR="00122D37" w:rsidRPr="00122D37" w:rsidRDefault="00122D37" w:rsidP="00122D37">
      <w:pPr>
        <w:shd w:val="clear" w:color="auto" w:fill="FFFFFF"/>
        <w:spacing w:line="276" w:lineRule="auto"/>
        <w:jc w:val="center"/>
        <w:textAlignment w:val="baseline"/>
        <w:rPr>
          <w:rFonts w:ascii="Garamond" w:eastAsia="Times New Roman" w:hAnsi="Garamond" w:cs="Times New Roman"/>
          <w:b/>
          <w:bCs/>
          <w:color w:val="000000"/>
          <w:sz w:val="22"/>
          <w:szCs w:val="22"/>
          <w:lang w:val="es-CO" w:eastAsia="es-ES_tradnl"/>
        </w:rPr>
      </w:pPr>
      <w:r w:rsidRPr="00122D37">
        <w:rPr>
          <w:rFonts w:ascii="Garamond" w:eastAsia="Times New Roman" w:hAnsi="Garamond" w:cs="Times New Roman"/>
          <w:b/>
          <w:bCs/>
          <w:color w:val="000000"/>
          <w:sz w:val="22"/>
          <w:szCs w:val="22"/>
          <w:lang w:val="es-CO" w:eastAsia="es-ES_tradnl"/>
        </w:rPr>
        <w:t>RESUMEN CASO</w:t>
      </w:r>
    </w:p>
    <w:p w14:paraId="7511347A" w14:textId="30172003" w:rsidR="00122D37" w:rsidRPr="00122D37" w:rsidRDefault="00122D37" w:rsidP="00122D37">
      <w:pPr>
        <w:shd w:val="clear" w:color="auto" w:fill="FFFFFF"/>
        <w:spacing w:line="276" w:lineRule="auto"/>
        <w:jc w:val="center"/>
        <w:textAlignment w:val="baseline"/>
        <w:rPr>
          <w:rFonts w:ascii="Garamond" w:eastAsia="Times New Roman" w:hAnsi="Garamond" w:cs="Times New Roman"/>
          <w:b/>
          <w:bCs/>
          <w:color w:val="000000"/>
          <w:sz w:val="22"/>
          <w:szCs w:val="22"/>
          <w:lang w:val="es-CO" w:eastAsia="es-ES_tradnl"/>
        </w:rPr>
      </w:pPr>
    </w:p>
    <w:p w14:paraId="0233D7F4" w14:textId="19F05C59" w:rsidR="00122D37" w:rsidRPr="003C7578" w:rsidRDefault="00122D37" w:rsidP="00122D37">
      <w:pPr>
        <w:shd w:val="clear" w:color="auto" w:fill="FFFFFF"/>
        <w:spacing w:line="276" w:lineRule="auto"/>
        <w:jc w:val="center"/>
        <w:textAlignment w:val="baseline"/>
        <w:rPr>
          <w:rFonts w:ascii="Garamond" w:eastAsia="Times New Roman" w:hAnsi="Garamond" w:cs="Times New Roman"/>
          <w:b/>
          <w:bCs/>
          <w:color w:val="000000"/>
          <w:sz w:val="22"/>
          <w:szCs w:val="22"/>
          <w:lang w:val="es-CO" w:eastAsia="es-ES_tradnl"/>
        </w:rPr>
      </w:pPr>
    </w:p>
    <w:p w14:paraId="1D59CD8A" w14:textId="77777777" w:rsidR="003C7578" w:rsidRPr="003C7578" w:rsidRDefault="003C7578" w:rsidP="003C7578">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r w:rsidRPr="003C7578">
        <w:rPr>
          <w:rFonts w:ascii="Garamond" w:eastAsia="Times New Roman" w:hAnsi="Garamond" w:cs="Times New Roman"/>
          <w:b/>
          <w:bCs/>
          <w:color w:val="000000"/>
          <w:sz w:val="22"/>
          <w:szCs w:val="22"/>
          <w:lang w:val="es-CO" w:eastAsia="es-ES_tradnl"/>
        </w:rPr>
        <w:t>Hechos:</w:t>
      </w:r>
    </w:p>
    <w:p w14:paraId="3A71DBA3" w14:textId="77777777" w:rsidR="003C7578" w:rsidRDefault="003C7578" w:rsidP="00122D37">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13F7AE8A" w14:textId="77777777" w:rsidR="003C7578"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7654A6">
        <w:rPr>
          <w:rFonts w:ascii="Garamond" w:eastAsia="Times New Roman" w:hAnsi="Garamond" w:cs="Times New Roman"/>
          <w:b/>
          <w:bCs/>
          <w:color w:val="000000"/>
          <w:sz w:val="22"/>
          <w:szCs w:val="22"/>
          <w:u w:val="single"/>
          <w:lang w:val="es-CO" w:eastAsia="es-ES_tradnl"/>
        </w:rPr>
        <w:t xml:space="preserve">El </w:t>
      </w:r>
      <w:r w:rsidR="00122D37" w:rsidRPr="007654A6">
        <w:rPr>
          <w:rFonts w:ascii="Garamond" w:eastAsia="Times New Roman" w:hAnsi="Garamond" w:cs="Times New Roman"/>
          <w:b/>
          <w:bCs/>
          <w:color w:val="000000"/>
          <w:sz w:val="22"/>
          <w:szCs w:val="22"/>
          <w:u w:val="single"/>
          <w:lang w:val="es-CO" w:eastAsia="es-ES_tradnl"/>
        </w:rPr>
        <w:t>7 de marzo de 2021</w:t>
      </w:r>
      <w:r w:rsidR="00122D37" w:rsidRPr="003C7578">
        <w:rPr>
          <w:rFonts w:ascii="Garamond" w:eastAsia="Times New Roman" w:hAnsi="Garamond" w:cs="Times New Roman"/>
          <w:color w:val="000000"/>
          <w:sz w:val="22"/>
          <w:szCs w:val="22"/>
          <w:lang w:val="es-CO" w:eastAsia="es-ES_tradnl"/>
        </w:rPr>
        <w:t xml:space="preserve"> el señor ROBINSON LEON RENGIFO se moviliz</w:t>
      </w:r>
      <w:r>
        <w:rPr>
          <w:rFonts w:ascii="Garamond" w:eastAsia="Times New Roman" w:hAnsi="Garamond" w:cs="Times New Roman"/>
          <w:color w:val="000000"/>
          <w:sz w:val="22"/>
          <w:szCs w:val="22"/>
          <w:lang w:val="es-CO" w:eastAsia="es-ES_tradnl"/>
        </w:rPr>
        <w:t xml:space="preserve">aba </w:t>
      </w:r>
      <w:r w:rsidR="00122D37" w:rsidRPr="003C7578">
        <w:rPr>
          <w:rFonts w:ascii="Garamond" w:eastAsia="Times New Roman" w:hAnsi="Garamond" w:cs="Times New Roman"/>
          <w:color w:val="000000"/>
          <w:sz w:val="22"/>
          <w:szCs w:val="22"/>
          <w:lang w:val="es-CO" w:eastAsia="es-ES_tradnl"/>
        </w:rPr>
        <w:t>a bordo de la motocicleta de placas HOC-53E, a la altura de la Calle 23 #32 Bis de la ciudad de Cali</w:t>
      </w:r>
      <w:r>
        <w:rPr>
          <w:rFonts w:ascii="Garamond" w:eastAsia="Times New Roman" w:hAnsi="Garamond" w:cs="Times New Roman"/>
          <w:color w:val="000000"/>
          <w:sz w:val="22"/>
          <w:szCs w:val="22"/>
          <w:lang w:val="es-CO" w:eastAsia="es-ES_tradnl"/>
        </w:rPr>
        <w:t>.</w:t>
      </w:r>
    </w:p>
    <w:p w14:paraId="424BBFCC" w14:textId="77777777" w:rsidR="003C7578"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P</w:t>
      </w:r>
      <w:r w:rsidR="00122D37" w:rsidRPr="003C7578">
        <w:rPr>
          <w:rFonts w:ascii="Garamond" w:eastAsia="Times New Roman" w:hAnsi="Garamond" w:cs="Times New Roman"/>
          <w:color w:val="000000"/>
          <w:sz w:val="22"/>
          <w:szCs w:val="22"/>
          <w:lang w:val="es-CO" w:eastAsia="es-ES_tradnl"/>
        </w:rPr>
        <w:t>erdió el control de la motocicleta debido a un hueco que se encontraba en la vía, por lo que fue trasladado en ambulancia a la Clínica Colombia</w:t>
      </w:r>
    </w:p>
    <w:p w14:paraId="7ABC412D" w14:textId="77777777" w:rsidR="003C7578"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T</w:t>
      </w:r>
      <w:r w:rsidR="00122D37" w:rsidRPr="003C7578">
        <w:rPr>
          <w:rFonts w:ascii="Garamond" w:eastAsia="Times New Roman" w:hAnsi="Garamond" w:cs="Times New Roman"/>
          <w:color w:val="000000"/>
          <w:sz w:val="22"/>
          <w:szCs w:val="22"/>
          <w:lang w:val="es-CO" w:eastAsia="es-ES_tradnl"/>
        </w:rPr>
        <w:t>rasladado a la clínica Valle Salud</w:t>
      </w:r>
    </w:p>
    <w:p w14:paraId="343228D7" w14:textId="77777777" w:rsidR="003C7578"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D</w:t>
      </w:r>
      <w:r w:rsidR="00122D37" w:rsidRPr="003C7578">
        <w:rPr>
          <w:rFonts w:ascii="Garamond" w:eastAsia="Times New Roman" w:hAnsi="Garamond" w:cs="Times New Roman"/>
          <w:color w:val="000000"/>
          <w:sz w:val="22"/>
          <w:szCs w:val="22"/>
          <w:lang w:val="es-CO" w:eastAsia="es-ES_tradnl"/>
        </w:rPr>
        <w:t xml:space="preserve">iagnosticado con fractura de platillos tibiales </w:t>
      </w:r>
      <w:proofErr w:type="spellStart"/>
      <w:r w:rsidR="00122D37" w:rsidRPr="003C7578">
        <w:rPr>
          <w:rFonts w:ascii="Garamond" w:eastAsia="Times New Roman" w:hAnsi="Garamond" w:cs="Times New Roman"/>
          <w:color w:val="000000"/>
          <w:sz w:val="22"/>
          <w:szCs w:val="22"/>
          <w:lang w:val="es-CO" w:eastAsia="es-ES_tradnl"/>
        </w:rPr>
        <w:t>shatzker</w:t>
      </w:r>
      <w:proofErr w:type="spellEnd"/>
      <w:r w:rsidR="00122D37" w:rsidRPr="003C7578">
        <w:rPr>
          <w:rFonts w:ascii="Garamond" w:eastAsia="Times New Roman" w:hAnsi="Garamond" w:cs="Times New Roman"/>
          <w:color w:val="000000"/>
          <w:sz w:val="22"/>
          <w:szCs w:val="22"/>
          <w:lang w:val="es-CO" w:eastAsia="es-ES_tradnl"/>
        </w:rPr>
        <w:t xml:space="preserve"> de rodilla derecha, fractura de espina tibial anterior de rodilla derecha, fractura de peroné proximal derecho, lesión en menisco lateral y medial del ligamento cruzado anterior de rodilla derecha y lesión del tendón </w:t>
      </w:r>
      <w:proofErr w:type="spellStart"/>
      <w:r w:rsidR="00122D37" w:rsidRPr="003C7578">
        <w:rPr>
          <w:rFonts w:ascii="Garamond" w:eastAsia="Times New Roman" w:hAnsi="Garamond" w:cs="Times New Roman"/>
          <w:color w:val="000000"/>
          <w:sz w:val="22"/>
          <w:szCs w:val="22"/>
          <w:lang w:val="es-CO" w:eastAsia="es-ES_tradnl"/>
        </w:rPr>
        <w:t>patelar</w:t>
      </w:r>
      <w:proofErr w:type="spellEnd"/>
      <w:r w:rsidR="00122D37" w:rsidRPr="003C7578">
        <w:rPr>
          <w:rFonts w:ascii="Garamond" w:eastAsia="Times New Roman" w:hAnsi="Garamond" w:cs="Times New Roman"/>
          <w:color w:val="000000"/>
          <w:sz w:val="22"/>
          <w:szCs w:val="22"/>
          <w:lang w:val="es-CO" w:eastAsia="es-ES_tradnl"/>
        </w:rPr>
        <w:t xml:space="preserve"> derecho</w:t>
      </w:r>
      <w:r>
        <w:rPr>
          <w:rFonts w:ascii="Garamond" w:eastAsia="Times New Roman" w:hAnsi="Garamond" w:cs="Times New Roman"/>
          <w:color w:val="000000"/>
          <w:sz w:val="22"/>
          <w:szCs w:val="22"/>
          <w:lang w:val="es-CO" w:eastAsia="es-ES_tradnl"/>
        </w:rPr>
        <w:t>.</w:t>
      </w:r>
    </w:p>
    <w:p w14:paraId="3BE4903B" w14:textId="77777777" w:rsidR="003C7578"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S</w:t>
      </w:r>
      <w:r w:rsidR="00122D37" w:rsidRPr="003C7578">
        <w:rPr>
          <w:rFonts w:ascii="Garamond" w:eastAsia="Times New Roman" w:hAnsi="Garamond" w:cs="Times New Roman"/>
          <w:color w:val="000000"/>
          <w:sz w:val="22"/>
          <w:szCs w:val="22"/>
          <w:lang w:val="es-CO" w:eastAsia="es-ES_tradnl"/>
        </w:rPr>
        <w:t>eñal</w:t>
      </w:r>
      <w:r>
        <w:rPr>
          <w:rFonts w:ascii="Garamond" w:eastAsia="Times New Roman" w:hAnsi="Garamond" w:cs="Times New Roman"/>
          <w:color w:val="000000"/>
          <w:sz w:val="22"/>
          <w:szCs w:val="22"/>
          <w:lang w:val="es-CO" w:eastAsia="es-ES_tradnl"/>
        </w:rPr>
        <w:t>ó</w:t>
      </w:r>
      <w:r w:rsidR="00122D37" w:rsidRPr="003C7578">
        <w:rPr>
          <w:rFonts w:ascii="Garamond" w:eastAsia="Times New Roman" w:hAnsi="Garamond" w:cs="Times New Roman"/>
          <w:color w:val="000000"/>
          <w:sz w:val="22"/>
          <w:szCs w:val="22"/>
          <w:lang w:val="es-CO" w:eastAsia="es-ES_tradnl"/>
        </w:rPr>
        <w:t xml:space="preserve"> como responsable a la alcaldía debido a la omisión del deber de mantenimiento y señalización adecuada de las vías. </w:t>
      </w:r>
    </w:p>
    <w:p w14:paraId="3513785C" w14:textId="0923B878" w:rsidR="00122D37"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D</w:t>
      </w:r>
      <w:r w:rsidR="00122D37" w:rsidRPr="003C7578">
        <w:rPr>
          <w:rFonts w:ascii="Garamond" w:eastAsia="Times New Roman" w:hAnsi="Garamond" w:cs="Times New Roman"/>
          <w:color w:val="000000"/>
          <w:sz w:val="22"/>
          <w:szCs w:val="22"/>
          <w:lang w:val="es-CO" w:eastAsia="es-ES_tradnl"/>
        </w:rPr>
        <w:t>ebido a lo anterior el señor ROBINSON LEON le produjeron múltiples perjuicios de orden material e inmaterial, al igual que a su núcleo familiar.</w:t>
      </w:r>
    </w:p>
    <w:p w14:paraId="3A689408" w14:textId="7F26B3CC" w:rsidR="003C7578" w:rsidRDefault="003C7578" w:rsidP="003C7578">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0ACC8B74" w14:textId="56CFB975" w:rsidR="003C7578" w:rsidRPr="003C7578" w:rsidRDefault="003C7578" w:rsidP="003C7578">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r w:rsidRPr="003C7578">
        <w:rPr>
          <w:rFonts w:ascii="Garamond" w:eastAsia="Times New Roman" w:hAnsi="Garamond" w:cs="Times New Roman"/>
          <w:b/>
          <w:bCs/>
          <w:color w:val="000000"/>
          <w:sz w:val="22"/>
          <w:szCs w:val="22"/>
          <w:lang w:val="es-CO" w:eastAsia="es-ES_tradnl"/>
        </w:rPr>
        <w:t>Pretensiones:</w:t>
      </w:r>
    </w:p>
    <w:p w14:paraId="7A0A958B" w14:textId="344BF74E" w:rsidR="003C7578" w:rsidRDefault="003C7578" w:rsidP="003C7578">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7D31EBAE" w14:textId="41D6B290" w:rsidR="003C7578"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7578">
        <w:rPr>
          <w:rFonts w:ascii="Garamond" w:eastAsia="Times New Roman" w:hAnsi="Garamond" w:cs="Times New Roman"/>
          <w:color w:val="000000"/>
          <w:sz w:val="22"/>
          <w:szCs w:val="22"/>
          <w:lang w:val="es-CO" w:eastAsia="es-ES_tradnl"/>
        </w:rPr>
        <w:t xml:space="preserve">600 SMLMV </w:t>
      </w:r>
      <w:r>
        <w:rPr>
          <w:rFonts w:ascii="Garamond" w:eastAsia="Times New Roman" w:hAnsi="Garamond" w:cs="Times New Roman"/>
          <w:color w:val="000000"/>
          <w:sz w:val="22"/>
          <w:szCs w:val="22"/>
          <w:lang w:val="es-CO" w:eastAsia="es-ES_tradnl"/>
        </w:rPr>
        <w:t>-</w:t>
      </w:r>
      <w:r w:rsidRPr="003C7578">
        <w:rPr>
          <w:rFonts w:ascii="Garamond" w:eastAsia="Times New Roman" w:hAnsi="Garamond" w:cs="Times New Roman"/>
          <w:color w:val="000000"/>
          <w:sz w:val="22"/>
          <w:szCs w:val="22"/>
          <w:lang w:val="es-CO" w:eastAsia="es-ES_tradnl"/>
        </w:rPr>
        <w:t xml:space="preserve"> perjuicios morales</w:t>
      </w:r>
    </w:p>
    <w:p w14:paraId="2467E99D" w14:textId="77777777" w:rsidR="003C7578"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7578">
        <w:rPr>
          <w:rFonts w:ascii="Garamond" w:eastAsia="Times New Roman" w:hAnsi="Garamond" w:cs="Times New Roman"/>
          <w:color w:val="000000"/>
          <w:sz w:val="22"/>
          <w:szCs w:val="22"/>
          <w:lang w:val="es-CO" w:eastAsia="es-ES_tradnl"/>
        </w:rPr>
        <w:t>84.797.972</w:t>
      </w:r>
      <w:r>
        <w:rPr>
          <w:rFonts w:ascii="Garamond" w:eastAsia="Times New Roman" w:hAnsi="Garamond" w:cs="Times New Roman"/>
          <w:color w:val="000000"/>
          <w:sz w:val="22"/>
          <w:szCs w:val="22"/>
          <w:lang w:val="es-CO" w:eastAsia="es-ES_tradnl"/>
        </w:rPr>
        <w:t xml:space="preserve"> - </w:t>
      </w:r>
      <w:r w:rsidRPr="003C7578">
        <w:rPr>
          <w:rFonts w:ascii="Garamond" w:eastAsia="Times New Roman" w:hAnsi="Garamond" w:cs="Times New Roman"/>
          <w:color w:val="000000"/>
          <w:sz w:val="22"/>
          <w:szCs w:val="22"/>
          <w:lang w:val="es-CO" w:eastAsia="es-ES_tradnl"/>
        </w:rPr>
        <w:t>lucro cesante</w:t>
      </w:r>
    </w:p>
    <w:p w14:paraId="615B3D88" w14:textId="36CB8414" w:rsidR="003C7578" w:rsidRDefault="003C7578" w:rsidP="003C7578">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7578">
        <w:rPr>
          <w:rFonts w:ascii="Garamond" w:eastAsia="Times New Roman" w:hAnsi="Garamond" w:cs="Times New Roman"/>
          <w:color w:val="000000"/>
          <w:sz w:val="22"/>
          <w:szCs w:val="22"/>
          <w:lang w:val="es-CO" w:eastAsia="es-ES_tradnl"/>
        </w:rPr>
        <w:t xml:space="preserve">100 SMLMV </w:t>
      </w:r>
      <w:r>
        <w:rPr>
          <w:rFonts w:ascii="Garamond" w:eastAsia="Times New Roman" w:hAnsi="Garamond" w:cs="Times New Roman"/>
          <w:color w:val="000000"/>
          <w:sz w:val="22"/>
          <w:szCs w:val="22"/>
          <w:lang w:val="es-CO" w:eastAsia="es-ES_tradnl"/>
        </w:rPr>
        <w:t>-</w:t>
      </w:r>
      <w:r w:rsidRPr="003C7578">
        <w:rPr>
          <w:rFonts w:ascii="Garamond" w:eastAsia="Times New Roman" w:hAnsi="Garamond" w:cs="Times New Roman"/>
          <w:color w:val="000000"/>
          <w:sz w:val="22"/>
          <w:szCs w:val="22"/>
          <w:lang w:val="es-CO" w:eastAsia="es-ES_tradnl"/>
        </w:rPr>
        <w:t xml:space="preserve"> daño a la salud</w:t>
      </w:r>
    </w:p>
    <w:p w14:paraId="3896BA26" w14:textId="28B818CE" w:rsidR="00754574" w:rsidRDefault="00754574" w:rsidP="00754574">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231077D8" w14:textId="49D26C44" w:rsidR="007654A6" w:rsidRPr="007654A6" w:rsidRDefault="007654A6" w:rsidP="00754574">
      <w:pPr>
        <w:pStyle w:val="Prrafodelista"/>
        <w:numPr>
          <w:ilvl w:val="0"/>
          <w:numId w:val="1"/>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b/>
          <w:bCs/>
          <w:color w:val="000000"/>
          <w:sz w:val="22"/>
          <w:szCs w:val="22"/>
          <w:lang w:val="es-CO" w:eastAsia="es-ES_tradnl"/>
        </w:rPr>
        <w:t>Pólizas:</w:t>
      </w:r>
    </w:p>
    <w:p w14:paraId="28903B88" w14:textId="1887851E" w:rsidR="007654A6" w:rsidRDefault="007654A6" w:rsidP="007654A6">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777FC4B2" w14:textId="4243FA1F" w:rsidR="007654A6" w:rsidRPr="00AA5C30" w:rsidRDefault="007654A6" w:rsidP="00AA5C30">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 xml:space="preserve">SOLIDARIA: </w:t>
      </w:r>
      <w:r w:rsidRPr="00A743C3">
        <w:rPr>
          <w:rFonts w:ascii="Garamond" w:eastAsia="Times New Roman" w:hAnsi="Garamond" w:cs="Times New Roman"/>
          <w:color w:val="000000"/>
          <w:sz w:val="22"/>
          <w:szCs w:val="22"/>
          <w:lang w:val="es-CO" w:eastAsia="es-ES_tradnl"/>
        </w:rPr>
        <w:t>RCE No. 420-80-994000000181</w:t>
      </w:r>
      <w:r>
        <w:rPr>
          <w:rFonts w:ascii="Garamond" w:eastAsia="Times New Roman" w:hAnsi="Garamond" w:cs="Times New Roman"/>
          <w:color w:val="000000"/>
          <w:sz w:val="22"/>
          <w:szCs w:val="22"/>
          <w:lang w:val="es-CO" w:eastAsia="es-ES_tradnl"/>
        </w:rPr>
        <w:t xml:space="preserve"> (</w:t>
      </w:r>
      <w:r w:rsidRPr="00A743C3">
        <w:rPr>
          <w:rFonts w:ascii="Garamond" w:eastAsia="Times New Roman" w:hAnsi="Garamond" w:cs="Times New Roman"/>
          <w:color w:val="000000"/>
          <w:sz w:val="22"/>
          <w:szCs w:val="22"/>
          <w:lang w:val="es-CO" w:eastAsia="es-ES_tradnl"/>
        </w:rPr>
        <w:t xml:space="preserve">tomador y asegurado </w:t>
      </w:r>
      <w:r>
        <w:rPr>
          <w:rFonts w:ascii="Garamond" w:eastAsia="Times New Roman" w:hAnsi="Garamond" w:cs="Times New Roman"/>
          <w:color w:val="000000"/>
          <w:sz w:val="22"/>
          <w:szCs w:val="22"/>
          <w:lang w:val="es-CO" w:eastAsia="es-ES_tradnl"/>
        </w:rPr>
        <w:t>-</w:t>
      </w:r>
      <w:r w:rsidRPr="00A743C3">
        <w:rPr>
          <w:rFonts w:ascii="Garamond" w:eastAsia="Times New Roman" w:hAnsi="Garamond" w:cs="Times New Roman"/>
          <w:color w:val="000000"/>
          <w:sz w:val="22"/>
          <w:szCs w:val="22"/>
          <w:lang w:val="es-CO" w:eastAsia="es-ES_tradnl"/>
        </w:rPr>
        <w:t xml:space="preserve"> Distrito de Cali</w:t>
      </w:r>
      <w:r>
        <w:rPr>
          <w:rFonts w:ascii="Garamond" w:eastAsia="Times New Roman" w:hAnsi="Garamond" w:cs="Times New Roman"/>
          <w:color w:val="000000"/>
          <w:sz w:val="22"/>
          <w:szCs w:val="22"/>
          <w:lang w:val="es-CO" w:eastAsia="es-ES_tradnl"/>
        </w:rPr>
        <w:t>)</w:t>
      </w:r>
    </w:p>
    <w:p w14:paraId="749B4948" w14:textId="77777777" w:rsidR="007654A6" w:rsidRPr="007654A6" w:rsidRDefault="007654A6" w:rsidP="007654A6">
      <w:pPr>
        <w:pStyle w:val="Prrafodelista"/>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4748EC01" w14:textId="77777777" w:rsidR="00AA5C30" w:rsidRDefault="00754574" w:rsidP="00754574">
      <w:pPr>
        <w:pStyle w:val="Prrafodelista"/>
        <w:numPr>
          <w:ilvl w:val="0"/>
          <w:numId w:val="1"/>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754574">
        <w:rPr>
          <w:rFonts w:ascii="Garamond" w:eastAsia="Times New Roman" w:hAnsi="Garamond" w:cs="Times New Roman"/>
          <w:b/>
          <w:bCs/>
          <w:color w:val="000000"/>
          <w:sz w:val="22"/>
          <w:szCs w:val="22"/>
          <w:lang w:val="es-CO" w:eastAsia="es-ES_tradnl"/>
        </w:rPr>
        <w:t>Liquidación objetiva:</w:t>
      </w:r>
      <w:r>
        <w:rPr>
          <w:rFonts w:ascii="Garamond" w:eastAsia="Times New Roman" w:hAnsi="Garamond" w:cs="Times New Roman"/>
          <w:color w:val="000000"/>
          <w:sz w:val="22"/>
          <w:szCs w:val="22"/>
          <w:lang w:val="es-CO" w:eastAsia="es-ES_tradnl"/>
        </w:rPr>
        <w:t xml:space="preserve"> </w:t>
      </w:r>
    </w:p>
    <w:p w14:paraId="574C73FB" w14:textId="28795911" w:rsidR="009F65B5" w:rsidRDefault="009F65B5" w:rsidP="009F65B5">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4D75869A" w14:textId="77777777" w:rsidR="009F65B5" w:rsidRDefault="009F65B5" w:rsidP="009F65B5">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lastRenderedPageBreak/>
        <w:t>POR PERJUICIOS MORALES: $429.000.000 M/Cte., o 330 SMMLV., liquidados según el Acta No. 28 de 2014 del Consejo de Estado, mediante la cual se fijan los baremos para la reparación del daño moral en caso de lesiones, y que se discrimina así:</w:t>
      </w:r>
    </w:p>
    <w:p w14:paraId="13962059" w14:textId="77777777" w:rsidR="009F65B5" w:rsidRDefault="009F65B5" w:rsidP="009F65B5">
      <w:pPr>
        <w:pStyle w:val="Prrafodelista"/>
        <w:numPr>
          <w:ilvl w:val="1"/>
          <w:numId w:val="3"/>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 xml:space="preserve">Robinson León </w:t>
      </w:r>
      <w:proofErr w:type="spellStart"/>
      <w:r w:rsidRPr="009F65B5">
        <w:rPr>
          <w:rFonts w:ascii="Garamond" w:eastAsia="Times New Roman" w:hAnsi="Garamond" w:cs="Times New Roman"/>
          <w:color w:val="000000"/>
          <w:sz w:val="22"/>
          <w:szCs w:val="22"/>
          <w:lang w:val="es-CO" w:eastAsia="es-ES_tradnl"/>
        </w:rPr>
        <w:t>Rengífo</w:t>
      </w:r>
      <w:proofErr w:type="spellEnd"/>
      <w:r w:rsidRPr="009F65B5">
        <w:rPr>
          <w:rFonts w:ascii="Garamond" w:eastAsia="Times New Roman" w:hAnsi="Garamond" w:cs="Times New Roman"/>
          <w:color w:val="000000"/>
          <w:sz w:val="22"/>
          <w:szCs w:val="22"/>
          <w:lang w:val="es-CO" w:eastAsia="es-ES_tradnl"/>
        </w:rPr>
        <w:t>-Víctima directa (60 SMMLV)</w:t>
      </w:r>
    </w:p>
    <w:p w14:paraId="345B6B85" w14:textId="77777777" w:rsidR="009F65B5" w:rsidRDefault="009F65B5" w:rsidP="009F65B5">
      <w:pPr>
        <w:pStyle w:val="Prrafodelista"/>
        <w:numPr>
          <w:ilvl w:val="1"/>
          <w:numId w:val="3"/>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roofErr w:type="spellStart"/>
      <w:r w:rsidRPr="009F65B5">
        <w:rPr>
          <w:rFonts w:ascii="Garamond" w:eastAsia="Times New Roman" w:hAnsi="Garamond" w:cs="Times New Roman"/>
          <w:color w:val="000000"/>
          <w:sz w:val="22"/>
          <w:szCs w:val="22"/>
          <w:lang w:val="es-CO" w:eastAsia="es-ES_tradnl"/>
        </w:rPr>
        <w:t>Natali</w:t>
      </w:r>
      <w:proofErr w:type="spellEnd"/>
      <w:r w:rsidRPr="009F65B5">
        <w:rPr>
          <w:rFonts w:ascii="Garamond" w:eastAsia="Times New Roman" w:hAnsi="Garamond" w:cs="Times New Roman"/>
          <w:color w:val="000000"/>
          <w:sz w:val="22"/>
          <w:szCs w:val="22"/>
          <w:lang w:val="es-CO" w:eastAsia="es-ES_tradnl"/>
        </w:rPr>
        <w:t xml:space="preserve"> María Lopera Zapata-Compañera permanente (60 SMMLV);</w:t>
      </w:r>
    </w:p>
    <w:p w14:paraId="19B3003A" w14:textId="77777777" w:rsidR="009F65B5" w:rsidRDefault="009F65B5" w:rsidP="009F65B5">
      <w:pPr>
        <w:pStyle w:val="Prrafodelista"/>
        <w:numPr>
          <w:ilvl w:val="1"/>
          <w:numId w:val="3"/>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roofErr w:type="spellStart"/>
      <w:r w:rsidRPr="009F65B5">
        <w:rPr>
          <w:rFonts w:ascii="Garamond" w:eastAsia="Times New Roman" w:hAnsi="Garamond" w:cs="Times New Roman"/>
          <w:color w:val="000000"/>
          <w:sz w:val="22"/>
          <w:szCs w:val="22"/>
          <w:lang w:val="es-CO" w:eastAsia="es-ES_tradnl"/>
        </w:rPr>
        <w:t>Denys</w:t>
      </w:r>
      <w:proofErr w:type="spellEnd"/>
      <w:r w:rsidRPr="009F65B5">
        <w:rPr>
          <w:rFonts w:ascii="Garamond" w:eastAsia="Times New Roman" w:hAnsi="Garamond" w:cs="Times New Roman"/>
          <w:color w:val="000000"/>
          <w:sz w:val="22"/>
          <w:szCs w:val="22"/>
          <w:lang w:val="es-CO" w:eastAsia="es-ES_tradnl"/>
        </w:rPr>
        <w:t xml:space="preserve"> Adrián León Lopera-Hijo (60 SMMLV);</w:t>
      </w:r>
    </w:p>
    <w:p w14:paraId="4D57F72B" w14:textId="77777777" w:rsidR="009F65B5" w:rsidRDefault="009F65B5" w:rsidP="009F65B5">
      <w:pPr>
        <w:pStyle w:val="Prrafodelista"/>
        <w:numPr>
          <w:ilvl w:val="1"/>
          <w:numId w:val="3"/>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roofErr w:type="spellStart"/>
      <w:r w:rsidRPr="009F65B5">
        <w:rPr>
          <w:rFonts w:ascii="Garamond" w:eastAsia="Times New Roman" w:hAnsi="Garamond" w:cs="Times New Roman"/>
          <w:color w:val="000000"/>
          <w:sz w:val="22"/>
          <w:szCs w:val="22"/>
          <w:lang w:val="es-CO" w:eastAsia="es-ES_tradnl"/>
        </w:rPr>
        <w:t>Brayan</w:t>
      </w:r>
      <w:proofErr w:type="spellEnd"/>
      <w:r w:rsidRPr="009F65B5">
        <w:rPr>
          <w:rFonts w:ascii="Garamond" w:eastAsia="Times New Roman" w:hAnsi="Garamond" w:cs="Times New Roman"/>
          <w:color w:val="000000"/>
          <w:sz w:val="22"/>
          <w:szCs w:val="22"/>
          <w:lang w:val="es-CO" w:eastAsia="es-ES_tradnl"/>
        </w:rPr>
        <w:t xml:space="preserve"> </w:t>
      </w:r>
      <w:proofErr w:type="spellStart"/>
      <w:r w:rsidRPr="009F65B5">
        <w:rPr>
          <w:rFonts w:ascii="Garamond" w:eastAsia="Times New Roman" w:hAnsi="Garamond" w:cs="Times New Roman"/>
          <w:color w:val="000000"/>
          <w:sz w:val="22"/>
          <w:szCs w:val="22"/>
          <w:lang w:val="es-CO" w:eastAsia="es-ES_tradnl"/>
        </w:rPr>
        <w:t>Stiven</w:t>
      </w:r>
      <w:proofErr w:type="spellEnd"/>
      <w:r w:rsidRPr="009F65B5">
        <w:rPr>
          <w:rFonts w:ascii="Garamond" w:eastAsia="Times New Roman" w:hAnsi="Garamond" w:cs="Times New Roman"/>
          <w:color w:val="000000"/>
          <w:sz w:val="22"/>
          <w:szCs w:val="22"/>
          <w:lang w:val="es-CO" w:eastAsia="es-ES_tradnl"/>
        </w:rPr>
        <w:t xml:space="preserve"> León Lopera-Hijo (60 SMMLV);</w:t>
      </w:r>
    </w:p>
    <w:p w14:paraId="59038F00" w14:textId="77777777" w:rsidR="009F65B5" w:rsidRDefault="009F65B5" w:rsidP="009F65B5">
      <w:pPr>
        <w:pStyle w:val="Prrafodelista"/>
        <w:numPr>
          <w:ilvl w:val="1"/>
          <w:numId w:val="3"/>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 xml:space="preserve">Jesús Hernán León </w:t>
      </w:r>
      <w:proofErr w:type="spellStart"/>
      <w:r w:rsidRPr="009F65B5">
        <w:rPr>
          <w:rFonts w:ascii="Garamond" w:eastAsia="Times New Roman" w:hAnsi="Garamond" w:cs="Times New Roman"/>
          <w:color w:val="000000"/>
          <w:sz w:val="22"/>
          <w:szCs w:val="22"/>
          <w:lang w:val="es-CO" w:eastAsia="es-ES_tradnl"/>
        </w:rPr>
        <w:t>Benalcazar</w:t>
      </w:r>
      <w:proofErr w:type="spellEnd"/>
      <w:r w:rsidRPr="009F65B5">
        <w:rPr>
          <w:rFonts w:ascii="Garamond" w:eastAsia="Times New Roman" w:hAnsi="Garamond" w:cs="Times New Roman"/>
          <w:color w:val="000000"/>
          <w:sz w:val="22"/>
          <w:szCs w:val="22"/>
          <w:lang w:val="es-CO" w:eastAsia="es-ES_tradnl"/>
        </w:rPr>
        <w:t>-Padre (60 SMMLV);</w:t>
      </w:r>
    </w:p>
    <w:p w14:paraId="78166CC9" w14:textId="77777777" w:rsidR="009F65B5" w:rsidRDefault="009F65B5" w:rsidP="009F65B5">
      <w:pPr>
        <w:pStyle w:val="Prrafodelista"/>
        <w:numPr>
          <w:ilvl w:val="1"/>
          <w:numId w:val="3"/>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 xml:space="preserve">Alexander León </w:t>
      </w:r>
      <w:proofErr w:type="spellStart"/>
      <w:r w:rsidRPr="009F65B5">
        <w:rPr>
          <w:rFonts w:ascii="Garamond" w:eastAsia="Times New Roman" w:hAnsi="Garamond" w:cs="Times New Roman"/>
          <w:color w:val="000000"/>
          <w:sz w:val="22"/>
          <w:szCs w:val="22"/>
          <w:lang w:val="es-CO" w:eastAsia="es-ES_tradnl"/>
        </w:rPr>
        <w:t>Rengífo</w:t>
      </w:r>
      <w:proofErr w:type="spellEnd"/>
      <w:r w:rsidRPr="009F65B5">
        <w:rPr>
          <w:rFonts w:ascii="Garamond" w:eastAsia="Times New Roman" w:hAnsi="Garamond" w:cs="Times New Roman"/>
          <w:color w:val="000000"/>
          <w:sz w:val="22"/>
          <w:szCs w:val="22"/>
          <w:lang w:val="es-CO" w:eastAsia="es-ES_tradnl"/>
        </w:rPr>
        <w:t>-Hermano (30 SMMLV)</w:t>
      </w:r>
    </w:p>
    <w:p w14:paraId="7AF08454" w14:textId="77777777" w:rsidR="009F65B5" w:rsidRDefault="009F65B5" w:rsidP="009F65B5">
      <w:pPr>
        <w:pStyle w:val="Prrafodelista"/>
        <w:shd w:val="clear" w:color="auto" w:fill="FFFFFF"/>
        <w:spacing w:line="276" w:lineRule="auto"/>
        <w:ind w:left="1440"/>
        <w:jc w:val="both"/>
        <w:textAlignment w:val="baseline"/>
        <w:rPr>
          <w:rFonts w:ascii="Garamond" w:eastAsia="Times New Roman" w:hAnsi="Garamond" w:cs="Times New Roman"/>
          <w:color w:val="000000"/>
          <w:sz w:val="22"/>
          <w:szCs w:val="22"/>
          <w:lang w:val="es-CO" w:eastAsia="es-ES_tradnl"/>
        </w:rPr>
      </w:pPr>
    </w:p>
    <w:p w14:paraId="6B34F81E" w14:textId="77777777" w:rsidR="009F65B5" w:rsidRDefault="009F65B5" w:rsidP="009F65B5">
      <w:pPr>
        <w:pStyle w:val="Prrafodelista"/>
        <w:shd w:val="clear" w:color="auto" w:fill="FFFFFF"/>
        <w:spacing w:line="276" w:lineRule="auto"/>
        <w:ind w:left="1440"/>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Para el caso que nos atañe, se encuentra acreditada la gravedad de la lesión porque se cuenta con dictamen PCL, el que conceptúa la pérdida de capacidad laboral en 37.5%, mismo que por provenir de un particular será objeto de su sustentación, ratificación y contradicción en audiencia de pruebas.</w:t>
      </w:r>
    </w:p>
    <w:p w14:paraId="5545BC9C" w14:textId="77777777" w:rsidR="009F65B5" w:rsidRDefault="009F65B5" w:rsidP="009F65B5">
      <w:pPr>
        <w:pStyle w:val="Prrafodelista"/>
        <w:shd w:val="clear" w:color="auto" w:fill="FFFFFF"/>
        <w:spacing w:line="276" w:lineRule="auto"/>
        <w:ind w:left="1440"/>
        <w:jc w:val="both"/>
        <w:textAlignment w:val="baseline"/>
        <w:rPr>
          <w:rFonts w:ascii="Garamond" w:eastAsia="Times New Roman" w:hAnsi="Garamond" w:cs="Times New Roman"/>
          <w:color w:val="000000"/>
          <w:sz w:val="22"/>
          <w:szCs w:val="22"/>
          <w:lang w:val="es-CO" w:eastAsia="es-ES_tradnl"/>
        </w:rPr>
      </w:pPr>
    </w:p>
    <w:p w14:paraId="56F2EC0B" w14:textId="77777777" w:rsidR="009F65B5" w:rsidRDefault="009F65B5" w:rsidP="009F65B5">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 xml:space="preserve">POR LUCRO CESANTE CONSOLIDADO Y FUTURO: 65.2 SMMLV o $84.797.972 M/Cte., </w:t>
      </w:r>
      <w:r>
        <w:rPr>
          <w:rFonts w:ascii="Garamond" w:eastAsia="Times New Roman" w:hAnsi="Garamond" w:cs="Times New Roman"/>
          <w:color w:val="000000"/>
          <w:sz w:val="22"/>
          <w:szCs w:val="22"/>
          <w:lang w:val="es-CO" w:eastAsia="es-ES_tradnl"/>
        </w:rPr>
        <w:t>porque</w:t>
      </w:r>
      <w:r w:rsidRPr="009F65B5">
        <w:rPr>
          <w:rFonts w:ascii="Garamond" w:eastAsia="Times New Roman" w:hAnsi="Garamond" w:cs="Times New Roman"/>
          <w:color w:val="000000"/>
          <w:sz w:val="22"/>
          <w:szCs w:val="22"/>
          <w:lang w:val="es-CO" w:eastAsia="es-ES_tradnl"/>
        </w:rPr>
        <w:t xml:space="preserve"> el demandante aporta una documental denominada “Certificación de ingresos”, expedida por la profesional en contaduría </w:t>
      </w:r>
      <w:proofErr w:type="spellStart"/>
      <w:r w:rsidRPr="009F65B5">
        <w:rPr>
          <w:rFonts w:ascii="Garamond" w:eastAsia="Times New Roman" w:hAnsi="Garamond" w:cs="Times New Roman"/>
          <w:color w:val="000000"/>
          <w:sz w:val="22"/>
          <w:szCs w:val="22"/>
          <w:lang w:val="es-CO" w:eastAsia="es-ES_tradnl"/>
        </w:rPr>
        <w:t>Laurentina</w:t>
      </w:r>
      <w:proofErr w:type="spellEnd"/>
      <w:r w:rsidRPr="009F65B5">
        <w:rPr>
          <w:rFonts w:ascii="Garamond" w:eastAsia="Times New Roman" w:hAnsi="Garamond" w:cs="Times New Roman"/>
          <w:color w:val="000000"/>
          <w:sz w:val="22"/>
          <w:szCs w:val="22"/>
          <w:lang w:val="es-CO" w:eastAsia="es-ES_tradnl"/>
        </w:rPr>
        <w:t xml:space="preserve"> Arboleda Padilla, la cual acompaña con copia de la tarjeta profesional de la Contadora en mención, que soporta que el actor devengaba $1.500.000 M/Cte., para el año 2019, además de dictamen PCL por 37.5%.</w:t>
      </w:r>
    </w:p>
    <w:p w14:paraId="24CDC8F5" w14:textId="77777777" w:rsidR="009F65B5" w:rsidRDefault="009F65B5" w:rsidP="009F65B5">
      <w:pPr>
        <w:pStyle w:val="Prrafodelista"/>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48A7E1B8" w14:textId="77777777" w:rsidR="009F65B5" w:rsidRDefault="009F65B5" w:rsidP="009F65B5">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POR DAÑO A LA SALUD: 60 SMMLV., o $78.000.000 M/Cte. Se reconoce únicamente para la víctima directa, pues de conformidad al PCL de 37.5%, la gravedad de la lesión es moderada, lo que permite tasar el perjuicio por 60 SMMLV.</w:t>
      </w:r>
    </w:p>
    <w:p w14:paraId="6B8B22C9" w14:textId="77777777" w:rsidR="009F65B5" w:rsidRPr="009F65B5" w:rsidRDefault="009F65B5" w:rsidP="009F65B5">
      <w:pPr>
        <w:pStyle w:val="Prrafodelista"/>
        <w:rPr>
          <w:rFonts w:ascii="Garamond" w:eastAsia="Times New Roman" w:hAnsi="Garamond" w:cs="Times New Roman"/>
          <w:color w:val="000000"/>
          <w:sz w:val="22"/>
          <w:szCs w:val="22"/>
          <w:lang w:val="es-CO" w:eastAsia="es-ES_tradnl"/>
        </w:rPr>
      </w:pPr>
    </w:p>
    <w:p w14:paraId="084FB675" w14:textId="77777777" w:rsidR="009F65B5" w:rsidRDefault="009F65B5" w:rsidP="009F65B5">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DEDUCIBLE: No pactado.</w:t>
      </w:r>
    </w:p>
    <w:p w14:paraId="75174C7D" w14:textId="77777777" w:rsidR="009F65B5" w:rsidRPr="009F65B5" w:rsidRDefault="009F65B5" w:rsidP="009F65B5">
      <w:pPr>
        <w:pStyle w:val="Prrafodelista"/>
        <w:rPr>
          <w:rFonts w:ascii="Garamond" w:eastAsia="Times New Roman" w:hAnsi="Garamond" w:cs="Times New Roman"/>
          <w:color w:val="000000"/>
          <w:sz w:val="22"/>
          <w:szCs w:val="22"/>
          <w:lang w:val="es-CO" w:eastAsia="es-ES_tradnl"/>
        </w:rPr>
      </w:pPr>
    </w:p>
    <w:p w14:paraId="67804FA0" w14:textId="77777777" w:rsidR="009F65B5" w:rsidRDefault="009F65B5" w:rsidP="009F65B5">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COASEGURO: Se pactó en los siguientes porcentajes:</w:t>
      </w:r>
    </w:p>
    <w:p w14:paraId="407B992C" w14:textId="77777777" w:rsidR="009F65B5" w:rsidRPr="009F65B5" w:rsidRDefault="009F65B5" w:rsidP="009F65B5">
      <w:pPr>
        <w:pStyle w:val="Prrafodelista"/>
        <w:rPr>
          <w:rFonts w:ascii="Garamond" w:eastAsia="Times New Roman" w:hAnsi="Garamond" w:cs="Times New Roman"/>
          <w:color w:val="000000"/>
          <w:sz w:val="22"/>
          <w:szCs w:val="22"/>
          <w:lang w:val="es-CO" w:eastAsia="es-ES_tradnl"/>
        </w:rPr>
      </w:pPr>
    </w:p>
    <w:p w14:paraId="2B53EA42" w14:textId="49D28A82" w:rsidR="009F65B5" w:rsidRPr="00AA5C30" w:rsidRDefault="009F65B5" w:rsidP="009F65B5">
      <w:pPr>
        <w:pStyle w:val="Prrafodelista"/>
        <w:numPr>
          <w:ilvl w:val="0"/>
          <w:numId w:val="4"/>
        </w:numPr>
        <w:shd w:val="clear" w:color="auto" w:fill="FFFFFF"/>
        <w:spacing w:line="276" w:lineRule="auto"/>
        <w:jc w:val="both"/>
        <w:textAlignment w:val="baseline"/>
        <w:rPr>
          <w:rFonts w:ascii="Garamond" w:eastAsia="Times New Roman" w:hAnsi="Garamond" w:cs="Times New Roman"/>
          <w:color w:val="000000"/>
          <w:sz w:val="22"/>
          <w:szCs w:val="22"/>
          <w:u w:val="single"/>
          <w:lang w:val="es-CO" w:eastAsia="es-ES_tradnl"/>
        </w:rPr>
      </w:pPr>
      <w:r w:rsidRPr="00AA5C30">
        <w:rPr>
          <w:rFonts w:ascii="Garamond" w:eastAsia="Times New Roman" w:hAnsi="Garamond" w:cs="Times New Roman"/>
          <w:color w:val="000000"/>
          <w:sz w:val="22"/>
          <w:szCs w:val="22"/>
          <w:u w:val="single"/>
          <w:lang w:val="es-CO" w:eastAsia="es-ES_tradnl"/>
        </w:rPr>
        <w:t>Solidaria-Líder: 32%</w:t>
      </w:r>
      <w:r w:rsidR="00AA5C30" w:rsidRPr="00AA5C30">
        <w:rPr>
          <w:rFonts w:ascii="Garamond" w:eastAsia="Times New Roman" w:hAnsi="Garamond" w:cs="Times New Roman"/>
          <w:color w:val="000000"/>
          <w:sz w:val="22"/>
          <w:szCs w:val="22"/>
          <w:u w:val="single"/>
          <w:lang w:val="es-CO" w:eastAsia="es-ES_tradnl"/>
        </w:rPr>
        <w:t xml:space="preserve"> es decir </w:t>
      </w:r>
      <w:r w:rsidR="00AA5C30" w:rsidRPr="00AA5C30">
        <w:rPr>
          <w:rFonts w:ascii="Garamond" w:eastAsia="Times New Roman" w:hAnsi="Garamond" w:cs="Times New Roman"/>
          <w:color w:val="000000"/>
          <w:sz w:val="22"/>
          <w:szCs w:val="22"/>
          <w:u w:val="single"/>
          <w:lang w:val="es-CO" w:eastAsia="es-ES_tradnl"/>
        </w:rPr>
        <w:t>$189.375.351 M/Cte., y una reserva sugerida del 30% o $56.812.605 M/</w:t>
      </w:r>
      <w:proofErr w:type="spellStart"/>
      <w:r w:rsidR="00AA5C30" w:rsidRPr="00AA5C30">
        <w:rPr>
          <w:rFonts w:ascii="Garamond" w:eastAsia="Times New Roman" w:hAnsi="Garamond" w:cs="Times New Roman"/>
          <w:color w:val="000000"/>
          <w:sz w:val="22"/>
          <w:szCs w:val="22"/>
          <w:u w:val="single"/>
          <w:lang w:val="es-CO" w:eastAsia="es-ES_tradnl"/>
        </w:rPr>
        <w:t>Cte</w:t>
      </w:r>
      <w:proofErr w:type="spellEnd"/>
    </w:p>
    <w:p w14:paraId="440FA5DF" w14:textId="28413B54" w:rsidR="009F65B5" w:rsidRPr="00AA5C30" w:rsidRDefault="009F65B5" w:rsidP="009F65B5">
      <w:pPr>
        <w:pStyle w:val="Prrafodelista"/>
        <w:numPr>
          <w:ilvl w:val="0"/>
          <w:numId w:val="4"/>
        </w:numPr>
        <w:shd w:val="clear" w:color="auto" w:fill="FFFFFF"/>
        <w:spacing w:line="276" w:lineRule="auto"/>
        <w:jc w:val="both"/>
        <w:textAlignment w:val="baseline"/>
        <w:rPr>
          <w:rFonts w:ascii="Garamond" w:eastAsia="Times New Roman" w:hAnsi="Garamond" w:cs="Times New Roman"/>
          <w:color w:val="000000"/>
          <w:sz w:val="22"/>
          <w:szCs w:val="22"/>
          <w:u w:val="single"/>
          <w:lang w:val="es-CO" w:eastAsia="es-ES_tradnl"/>
        </w:rPr>
      </w:pPr>
      <w:proofErr w:type="spellStart"/>
      <w:r w:rsidRPr="00AA5C30">
        <w:rPr>
          <w:rFonts w:ascii="Garamond" w:eastAsia="Times New Roman" w:hAnsi="Garamond" w:cs="Times New Roman"/>
          <w:color w:val="000000"/>
          <w:sz w:val="22"/>
          <w:szCs w:val="22"/>
          <w:u w:val="single"/>
          <w:lang w:val="es-CO" w:eastAsia="es-ES_tradnl"/>
        </w:rPr>
        <w:t>Chubb</w:t>
      </w:r>
      <w:proofErr w:type="spellEnd"/>
      <w:r w:rsidRPr="00AA5C30">
        <w:rPr>
          <w:rFonts w:ascii="Garamond" w:eastAsia="Times New Roman" w:hAnsi="Garamond" w:cs="Times New Roman"/>
          <w:color w:val="000000"/>
          <w:sz w:val="22"/>
          <w:szCs w:val="22"/>
          <w:u w:val="single"/>
          <w:lang w:val="es-CO" w:eastAsia="es-ES_tradnl"/>
        </w:rPr>
        <w:t xml:space="preserve"> Seguros S.A.: 28%</w:t>
      </w:r>
      <w:r w:rsidR="00AA5C30" w:rsidRPr="00AA5C30">
        <w:rPr>
          <w:rFonts w:ascii="Garamond" w:eastAsia="Times New Roman" w:hAnsi="Garamond" w:cs="Times New Roman"/>
          <w:color w:val="000000"/>
          <w:sz w:val="22"/>
          <w:szCs w:val="22"/>
          <w:u w:val="single"/>
          <w:lang w:val="es-CO" w:eastAsia="es-ES_tradnl"/>
        </w:rPr>
        <w:t xml:space="preserve"> - </w:t>
      </w:r>
      <w:r w:rsidR="00AA5C30" w:rsidRPr="00AA5C30">
        <w:rPr>
          <w:rFonts w:ascii="Garamond" w:eastAsia="Times New Roman" w:hAnsi="Garamond" w:cs="Times New Roman"/>
          <w:color w:val="000000"/>
          <w:sz w:val="22"/>
          <w:szCs w:val="22"/>
          <w:u w:val="single"/>
          <w:lang w:val="es-CO" w:eastAsia="es-ES_tradnl"/>
        </w:rPr>
        <w:t>$165.703.432 M/Cte., y una reserva sugerida del 30% o $49.711.029 M/Cte.</w:t>
      </w:r>
    </w:p>
    <w:p w14:paraId="5DA9D330" w14:textId="77777777" w:rsidR="009F65B5" w:rsidRDefault="009F65B5" w:rsidP="009F65B5">
      <w:pPr>
        <w:pStyle w:val="Prrafodelista"/>
        <w:numPr>
          <w:ilvl w:val="0"/>
          <w:numId w:val="4"/>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SBS Seguro S.A.: 20%</w:t>
      </w:r>
    </w:p>
    <w:p w14:paraId="2A431EE3" w14:textId="77777777" w:rsidR="009F65B5" w:rsidRDefault="009F65B5" w:rsidP="009F65B5">
      <w:pPr>
        <w:pStyle w:val="Prrafodelista"/>
        <w:numPr>
          <w:ilvl w:val="0"/>
          <w:numId w:val="4"/>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9F65B5">
        <w:rPr>
          <w:rFonts w:ascii="Garamond" w:eastAsia="Times New Roman" w:hAnsi="Garamond" w:cs="Times New Roman"/>
          <w:color w:val="000000"/>
          <w:sz w:val="22"/>
          <w:szCs w:val="22"/>
          <w:lang w:val="es-CO" w:eastAsia="es-ES_tradnl"/>
        </w:rPr>
        <w:t xml:space="preserve">Axa Colpatria S.A.: 10% </w:t>
      </w:r>
    </w:p>
    <w:p w14:paraId="47125700" w14:textId="39774BE2" w:rsidR="009F65B5" w:rsidRPr="00AA5C30" w:rsidRDefault="009F65B5" w:rsidP="009F65B5">
      <w:pPr>
        <w:pStyle w:val="Prrafodelista"/>
        <w:numPr>
          <w:ilvl w:val="0"/>
          <w:numId w:val="4"/>
        </w:numPr>
        <w:shd w:val="clear" w:color="auto" w:fill="FFFFFF"/>
        <w:spacing w:line="276" w:lineRule="auto"/>
        <w:jc w:val="both"/>
        <w:textAlignment w:val="baseline"/>
        <w:rPr>
          <w:rFonts w:ascii="Garamond" w:eastAsia="Times New Roman" w:hAnsi="Garamond" w:cs="Times New Roman"/>
          <w:color w:val="000000"/>
          <w:sz w:val="22"/>
          <w:szCs w:val="22"/>
          <w:u w:val="single"/>
          <w:lang w:val="es-CO" w:eastAsia="es-ES_tradnl"/>
        </w:rPr>
      </w:pPr>
      <w:r w:rsidRPr="00AA5C30">
        <w:rPr>
          <w:rFonts w:ascii="Garamond" w:eastAsia="Times New Roman" w:hAnsi="Garamond" w:cs="Times New Roman"/>
          <w:color w:val="000000"/>
          <w:sz w:val="22"/>
          <w:szCs w:val="22"/>
          <w:u w:val="single"/>
          <w:lang w:val="es-CO" w:eastAsia="es-ES_tradnl"/>
        </w:rPr>
        <w:t>HDI Seguros S.A.: 10%</w:t>
      </w:r>
      <w:r w:rsidRPr="00AA5C30">
        <w:rPr>
          <w:rFonts w:ascii="Garamond" w:eastAsia="Times New Roman" w:hAnsi="Garamond" w:cs="Times New Roman"/>
          <w:color w:val="000000"/>
          <w:sz w:val="22"/>
          <w:szCs w:val="22"/>
          <w:u w:val="single"/>
          <w:lang w:val="es-CO" w:eastAsia="es-ES_tradnl"/>
        </w:rPr>
        <w:t xml:space="preserve"> es decir </w:t>
      </w:r>
      <w:r w:rsidRPr="00AA5C30">
        <w:rPr>
          <w:rFonts w:ascii="Garamond" w:eastAsia="Times New Roman" w:hAnsi="Garamond" w:cs="Times New Roman"/>
          <w:color w:val="000000"/>
          <w:sz w:val="22"/>
          <w:szCs w:val="22"/>
          <w:u w:val="single"/>
          <w:lang w:val="es-CO" w:eastAsia="es-ES_tradnl"/>
        </w:rPr>
        <w:t>$59.179.797 M/Cte.</w:t>
      </w:r>
    </w:p>
    <w:p w14:paraId="30A6DEE4" w14:textId="053E4DF7" w:rsidR="003C0730" w:rsidRDefault="003C0730" w:rsidP="003C0730">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4241B3F4" w14:textId="6DA16C75" w:rsidR="003C0730" w:rsidRDefault="003C0730" w:rsidP="003C0730">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64CAB605" w14:textId="5965EECE" w:rsidR="003C0730" w:rsidRPr="003C0730" w:rsidRDefault="003C0730" w:rsidP="003C0730">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lastRenderedPageBreak/>
        <w:drawing>
          <wp:inline distT="0" distB="0" distL="0" distR="0" wp14:anchorId="368731AC" wp14:editId="2F5E7D99">
            <wp:extent cx="5612130" cy="3175000"/>
            <wp:effectExtent l="0" t="0" r="127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5"/>
                    <a:stretch>
                      <a:fillRect/>
                    </a:stretch>
                  </pic:blipFill>
                  <pic:spPr>
                    <a:xfrm>
                      <a:off x="0" y="0"/>
                      <a:ext cx="5612130" cy="3175000"/>
                    </a:xfrm>
                    <a:prstGeom prst="rect">
                      <a:avLst/>
                    </a:prstGeom>
                  </pic:spPr>
                </pic:pic>
              </a:graphicData>
            </a:graphic>
          </wp:inline>
        </w:drawing>
      </w:r>
    </w:p>
    <w:p w14:paraId="24E3BA80" w14:textId="41E11FA6" w:rsidR="00A743C3" w:rsidRDefault="00A743C3" w:rsidP="00A743C3">
      <w:p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095C76D5" w14:textId="289E6196" w:rsidR="00A743C3" w:rsidRPr="00A743C3" w:rsidRDefault="00A743C3" w:rsidP="00A743C3">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r w:rsidRPr="00A743C3">
        <w:rPr>
          <w:rFonts w:ascii="Garamond" w:eastAsia="Times New Roman" w:hAnsi="Garamond" w:cs="Times New Roman"/>
          <w:b/>
          <w:bCs/>
          <w:color w:val="000000"/>
          <w:sz w:val="22"/>
          <w:szCs w:val="22"/>
          <w:lang w:val="es-CO" w:eastAsia="es-ES_tradnl"/>
        </w:rPr>
        <w:t>Calificación contingencia: REMOTA</w:t>
      </w:r>
    </w:p>
    <w:p w14:paraId="786CAFE7" w14:textId="77777777" w:rsidR="007654A6" w:rsidRDefault="007654A6" w:rsidP="00A743C3">
      <w:pPr>
        <w:pStyle w:val="Prrafodelista"/>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196CCC4F" w14:textId="77777777" w:rsidR="007654A6" w:rsidRDefault="007654A6" w:rsidP="007654A6">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 xml:space="preserve">Pese </w:t>
      </w:r>
      <w:r w:rsidR="00A743C3" w:rsidRPr="00A743C3">
        <w:rPr>
          <w:rFonts w:ascii="Garamond" w:eastAsia="Times New Roman" w:hAnsi="Garamond" w:cs="Times New Roman"/>
          <w:color w:val="000000"/>
          <w:sz w:val="22"/>
          <w:szCs w:val="22"/>
          <w:lang w:val="es-CO" w:eastAsia="es-ES_tradnl"/>
        </w:rPr>
        <w:t>a que la póliza presta cobertura temporal y material, no se demuestra el daño antijurídico ni la falla en el servicio, y mucho menos el nexo causal.</w:t>
      </w:r>
    </w:p>
    <w:p w14:paraId="16759DEA" w14:textId="77777777" w:rsidR="007654A6" w:rsidRDefault="007654A6" w:rsidP="007654A6">
      <w:pPr>
        <w:pStyle w:val="Prrafodelista"/>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5B74ACC6" w14:textId="77777777" w:rsidR="007654A6" w:rsidRDefault="007654A6" w:rsidP="007654A6">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Pr>
          <w:rFonts w:ascii="Garamond" w:eastAsia="Times New Roman" w:hAnsi="Garamond" w:cs="Times New Roman"/>
          <w:color w:val="000000"/>
          <w:sz w:val="22"/>
          <w:szCs w:val="22"/>
          <w:lang w:val="es-CO" w:eastAsia="es-ES_tradnl"/>
        </w:rPr>
        <w:t>L</w:t>
      </w:r>
      <w:r w:rsidR="00A743C3" w:rsidRPr="007654A6">
        <w:rPr>
          <w:rFonts w:ascii="Garamond" w:eastAsia="Times New Roman" w:hAnsi="Garamond" w:cs="Times New Roman"/>
          <w:color w:val="000000"/>
          <w:sz w:val="22"/>
          <w:szCs w:val="22"/>
          <w:lang w:val="es-CO" w:eastAsia="es-ES_tradnl"/>
        </w:rPr>
        <w:t>a responsabilidad del asegurado no se encuentra comprometida, pues la demandante no logra probar la injerencia del Distrito de Cali en la producción del hecho dañoso, el cual se circunscribe a un accidente de tránsito en vía pública por un hueco en la misma sin señalización que provocó el volcamiento del actor desde su vehículo tipo motocicleta, pues este no acredita las circunstancias de tiempo, modo y lugar preciso de los hechos, ya que no existe un IPAT, un informe por cuerpo de bomberos o de la Cruz Roja, ni similar que permita inferir lo aseverado por el demandante, quien pretende valerse de la historia clínica y un concepto técnico por perito en accidentes de tránsito elaborado a más de 5 meses del supuesto hecho, que a la postre no resultan determinantes para probar la responsabilidad de la pasiva.</w:t>
      </w:r>
    </w:p>
    <w:p w14:paraId="26150598" w14:textId="77777777" w:rsidR="007654A6" w:rsidRPr="007654A6" w:rsidRDefault="007654A6" w:rsidP="007654A6">
      <w:pPr>
        <w:pStyle w:val="Prrafodelista"/>
        <w:rPr>
          <w:rFonts w:ascii="Garamond" w:eastAsia="Times New Roman" w:hAnsi="Garamond" w:cs="Times New Roman"/>
          <w:color w:val="000000"/>
          <w:sz w:val="22"/>
          <w:szCs w:val="22"/>
          <w:lang w:val="es-CO" w:eastAsia="es-ES_tradnl"/>
        </w:rPr>
      </w:pPr>
    </w:p>
    <w:p w14:paraId="6DBDE101" w14:textId="77777777" w:rsidR="007654A6" w:rsidRDefault="00A743C3" w:rsidP="007654A6">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7654A6">
        <w:rPr>
          <w:rFonts w:ascii="Garamond" w:eastAsia="Times New Roman" w:hAnsi="Garamond" w:cs="Times New Roman"/>
          <w:color w:val="000000"/>
          <w:sz w:val="22"/>
          <w:szCs w:val="22"/>
          <w:lang w:val="es-CO" w:eastAsia="es-ES_tradnl"/>
        </w:rPr>
        <w:t>Aunado a lo mencionado, en favor de los intereses de la demandada, se hace posible la configuración de la culpa exclusiva de la víctima por desatender el deber objetivo de cuidado al desplegar una actividad peligrosa como la conducción de motocicleta sin las debidas precauciones, sin respetar la normas de tránsito, conduciendo cerca al centro de la vía a más de un (1) metro de la berma (lugar donde supuestamente se encontraba el hueco), incidiendo directamente en la causación del accidente.</w:t>
      </w:r>
    </w:p>
    <w:p w14:paraId="286DE61D" w14:textId="77777777" w:rsidR="007654A6" w:rsidRPr="007654A6" w:rsidRDefault="007654A6" w:rsidP="007654A6">
      <w:pPr>
        <w:pStyle w:val="Prrafodelista"/>
        <w:rPr>
          <w:rFonts w:ascii="Garamond" w:eastAsia="Times New Roman" w:hAnsi="Garamond" w:cs="Times New Roman"/>
          <w:color w:val="000000"/>
          <w:sz w:val="22"/>
          <w:szCs w:val="22"/>
          <w:lang w:val="es-CO" w:eastAsia="es-ES_tradnl"/>
        </w:rPr>
      </w:pPr>
    </w:p>
    <w:p w14:paraId="3C3B1815" w14:textId="68177EF2" w:rsidR="00A743C3" w:rsidRDefault="00A743C3" w:rsidP="007654A6">
      <w:pPr>
        <w:pStyle w:val="Prrafodelista"/>
        <w:numPr>
          <w:ilvl w:val="0"/>
          <w:numId w:val="2"/>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7654A6">
        <w:rPr>
          <w:rFonts w:ascii="Garamond" w:eastAsia="Times New Roman" w:hAnsi="Garamond" w:cs="Times New Roman"/>
          <w:color w:val="000000"/>
          <w:sz w:val="22"/>
          <w:szCs w:val="22"/>
          <w:lang w:val="es-CO" w:eastAsia="es-ES_tradnl"/>
        </w:rPr>
        <w:t>Es decir, no se acreditan los elementos mínimos estructurales de la falla del servicio. Lo anterior sin perjuicio del carácter contingente del proceso.</w:t>
      </w:r>
    </w:p>
    <w:p w14:paraId="5B3FEF5A" w14:textId="77777777" w:rsidR="003C0730" w:rsidRPr="003C0730" w:rsidRDefault="003C0730" w:rsidP="003C0730">
      <w:pPr>
        <w:pStyle w:val="Prrafodelista"/>
        <w:rPr>
          <w:rFonts w:ascii="Garamond" w:eastAsia="Times New Roman" w:hAnsi="Garamond" w:cs="Times New Roman"/>
          <w:color w:val="000000"/>
          <w:sz w:val="22"/>
          <w:szCs w:val="22"/>
          <w:lang w:val="es-CO" w:eastAsia="es-ES_tradnl"/>
        </w:rPr>
      </w:pPr>
    </w:p>
    <w:p w14:paraId="3EE1988F" w14:textId="6852F231" w:rsidR="00BE5ED1" w:rsidRDefault="003C0730" w:rsidP="00BE5ED1">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r w:rsidRPr="003C0730">
        <w:rPr>
          <w:rFonts w:ascii="Garamond" w:eastAsia="Times New Roman" w:hAnsi="Garamond" w:cs="Times New Roman"/>
          <w:b/>
          <w:bCs/>
          <w:color w:val="000000"/>
          <w:sz w:val="22"/>
          <w:szCs w:val="22"/>
          <w:lang w:val="es-CO" w:eastAsia="es-ES_tradnl"/>
        </w:rPr>
        <w:t>Prueba</w:t>
      </w:r>
      <w:r w:rsidR="00BE5ED1">
        <w:rPr>
          <w:rFonts w:ascii="Garamond" w:eastAsia="Times New Roman" w:hAnsi="Garamond" w:cs="Times New Roman"/>
          <w:b/>
          <w:bCs/>
          <w:color w:val="000000"/>
          <w:sz w:val="22"/>
          <w:szCs w:val="22"/>
          <w:lang w:val="es-CO" w:eastAsia="es-ES_tradnl"/>
        </w:rPr>
        <w:t>s a las que debemos oponernos:</w:t>
      </w:r>
    </w:p>
    <w:p w14:paraId="5122247B" w14:textId="16618D7D" w:rsidR="00BE5ED1" w:rsidRDefault="00BE5ED1" w:rsidP="00BE5ED1">
      <w:p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p>
    <w:p w14:paraId="377DC2C9" w14:textId="034C8ED3" w:rsidR="00BE5ED1" w:rsidRDefault="00BE5ED1" w:rsidP="00BE5ED1">
      <w:p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r w:rsidRPr="00BE5ED1">
        <w:rPr>
          <w:rFonts w:ascii="Garamond" w:eastAsia="Times New Roman" w:hAnsi="Garamond" w:cs="Times New Roman"/>
          <w:b/>
          <w:bCs/>
          <w:color w:val="000000"/>
          <w:sz w:val="22"/>
          <w:szCs w:val="22"/>
          <w:lang w:val="es-CO" w:eastAsia="es-ES_tradnl"/>
        </w:rPr>
        <w:lastRenderedPageBreak/>
        <w:drawing>
          <wp:inline distT="0" distB="0" distL="0" distR="0" wp14:anchorId="24F88D4C" wp14:editId="33392D3F">
            <wp:extent cx="5612130" cy="6614795"/>
            <wp:effectExtent l="0" t="0" r="1270" b="190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6"/>
                    <a:stretch>
                      <a:fillRect/>
                    </a:stretch>
                  </pic:blipFill>
                  <pic:spPr>
                    <a:xfrm>
                      <a:off x="0" y="0"/>
                      <a:ext cx="5612130" cy="6614795"/>
                    </a:xfrm>
                    <a:prstGeom prst="rect">
                      <a:avLst/>
                    </a:prstGeom>
                  </pic:spPr>
                </pic:pic>
              </a:graphicData>
            </a:graphic>
          </wp:inline>
        </w:drawing>
      </w:r>
    </w:p>
    <w:p w14:paraId="2B0FE043" w14:textId="61CEBF7A" w:rsidR="00BE5ED1" w:rsidRDefault="00BE5ED1" w:rsidP="00BE5ED1">
      <w:p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p>
    <w:p w14:paraId="5394945E" w14:textId="57CE2668" w:rsidR="00BE5ED1" w:rsidRPr="00BE5ED1" w:rsidRDefault="00BE5ED1" w:rsidP="00BE5ED1">
      <w:p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r w:rsidRPr="00BE5ED1">
        <w:rPr>
          <w:rFonts w:ascii="Garamond" w:eastAsia="Times New Roman" w:hAnsi="Garamond" w:cs="Times New Roman"/>
          <w:b/>
          <w:bCs/>
          <w:color w:val="000000"/>
          <w:sz w:val="22"/>
          <w:szCs w:val="22"/>
          <w:lang w:val="es-CO" w:eastAsia="es-ES_tradnl"/>
        </w:rPr>
        <w:lastRenderedPageBreak/>
        <w:drawing>
          <wp:inline distT="0" distB="0" distL="0" distR="0" wp14:anchorId="1AA43F45" wp14:editId="0E3D6BF3">
            <wp:extent cx="5090198" cy="2014654"/>
            <wp:effectExtent l="0" t="0" r="2540" b="5080"/>
            <wp:docPr id="3" name="Imagen 3" descr="Imagen que contiene interior, tabla, pap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ior, tabla, papel&#10;&#10;Descripción generada automáticamente"/>
                    <pic:cNvPicPr/>
                  </pic:nvPicPr>
                  <pic:blipFill>
                    <a:blip r:embed="rId7"/>
                    <a:stretch>
                      <a:fillRect/>
                    </a:stretch>
                  </pic:blipFill>
                  <pic:spPr>
                    <a:xfrm>
                      <a:off x="0" y="0"/>
                      <a:ext cx="5092912" cy="2015728"/>
                    </a:xfrm>
                    <a:prstGeom prst="rect">
                      <a:avLst/>
                    </a:prstGeom>
                  </pic:spPr>
                </pic:pic>
              </a:graphicData>
            </a:graphic>
          </wp:inline>
        </w:drawing>
      </w:r>
    </w:p>
    <w:p w14:paraId="310FDFF2" w14:textId="197C3508" w:rsidR="00BE5ED1" w:rsidRDefault="00BE5ED1" w:rsidP="003C0730">
      <w:pPr>
        <w:pStyle w:val="Prrafodelista"/>
        <w:numPr>
          <w:ilvl w:val="0"/>
          <w:numId w:val="1"/>
        </w:num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r>
        <w:rPr>
          <w:rFonts w:ascii="Garamond" w:eastAsia="Times New Roman" w:hAnsi="Garamond" w:cs="Times New Roman"/>
          <w:b/>
          <w:bCs/>
          <w:color w:val="000000"/>
          <w:sz w:val="22"/>
          <w:szCs w:val="22"/>
          <w:lang w:val="es-CO" w:eastAsia="es-ES_tradnl"/>
        </w:rPr>
        <w:t>Pruebas nuestras:</w:t>
      </w:r>
    </w:p>
    <w:p w14:paraId="429A166A" w14:textId="77777777" w:rsidR="003C0730" w:rsidRDefault="003C0730" w:rsidP="003C0730">
      <w:pPr>
        <w:pStyle w:val="Prrafodelista"/>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p>
    <w:p w14:paraId="2BE3B9D7" w14:textId="7D56123B" w:rsidR="003C0730" w:rsidRPr="003C0730" w:rsidRDefault="003C0730" w:rsidP="003C0730">
      <w:pPr>
        <w:pStyle w:val="Prrafodelista"/>
        <w:numPr>
          <w:ilvl w:val="0"/>
          <w:numId w:val="5"/>
        </w:numPr>
        <w:shd w:val="clear" w:color="auto" w:fill="FFFFFF"/>
        <w:spacing w:line="276" w:lineRule="auto"/>
        <w:jc w:val="both"/>
        <w:textAlignment w:val="baseline"/>
        <w:rPr>
          <w:rFonts w:ascii="Garamond" w:eastAsia="Times New Roman" w:hAnsi="Garamond" w:cs="Times New Roman"/>
          <w:b/>
          <w:bCs/>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t>DOCUMENTALES.</w:t>
      </w:r>
    </w:p>
    <w:p w14:paraId="21ACF306" w14:textId="2DBD1852" w:rsidR="003C0730" w:rsidRPr="003C0730" w:rsidRDefault="003C0730" w:rsidP="003C0730">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t>Carátula de la póliza de responsabilidad civil extracontractual No. 420-80-994000000181;</w:t>
      </w:r>
    </w:p>
    <w:p w14:paraId="02F401C7" w14:textId="73D773C4" w:rsidR="003C0730" w:rsidRPr="003C0730" w:rsidRDefault="003C0730" w:rsidP="003C0730">
      <w:pPr>
        <w:pStyle w:val="Prrafodelista"/>
        <w:numPr>
          <w:ilvl w:val="0"/>
          <w:numId w:val="7"/>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t>Condicionado general de la póliza de responsabilidad civil extracontractual No. 420-80-</w:t>
      </w:r>
    </w:p>
    <w:p w14:paraId="65F4E58A" w14:textId="77777777" w:rsidR="003C0730" w:rsidRPr="003C0730" w:rsidRDefault="003C0730" w:rsidP="003C0730">
      <w:pPr>
        <w:pStyle w:val="Prrafodelista"/>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t>994000000181.</w:t>
      </w:r>
    </w:p>
    <w:p w14:paraId="14189C0D" w14:textId="77777777" w:rsidR="003C0730" w:rsidRDefault="003C0730" w:rsidP="003C0730">
      <w:pPr>
        <w:pStyle w:val="Prrafodelista"/>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p>
    <w:p w14:paraId="7F16CC74" w14:textId="0A2D99CA" w:rsidR="003C0730" w:rsidRPr="003C0730" w:rsidRDefault="003C0730" w:rsidP="003C0730">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t>INTERROGATORIO DE PARTE.</w:t>
      </w:r>
    </w:p>
    <w:p w14:paraId="300CF66D" w14:textId="77777777" w:rsidR="003C0730" w:rsidRDefault="003C0730" w:rsidP="003C0730">
      <w:pPr>
        <w:pStyle w:val="Prrafodelista"/>
        <w:numPr>
          <w:ilvl w:val="0"/>
          <w:numId w:val="8"/>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t>ROBINSON LEÓN RENGIFO</w:t>
      </w:r>
    </w:p>
    <w:p w14:paraId="1AD6C8E7" w14:textId="77777777" w:rsidR="003C0730" w:rsidRDefault="003C0730" w:rsidP="003C0730">
      <w:pPr>
        <w:pStyle w:val="Prrafodelista"/>
        <w:shd w:val="clear" w:color="auto" w:fill="FFFFFF"/>
        <w:spacing w:line="276" w:lineRule="auto"/>
        <w:ind w:left="1080"/>
        <w:jc w:val="both"/>
        <w:textAlignment w:val="baseline"/>
        <w:rPr>
          <w:rFonts w:ascii="Garamond" w:eastAsia="Times New Roman" w:hAnsi="Garamond" w:cs="Times New Roman"/>
          <w:color w:val="000000"/>
          <w:sz w:val="22"/>
          <w:szCs w:val="22"/>
          <w:lang w:val="es-CO" w:eastAsia="es-ES_tradnl"/>
        </w:rPr>
      </w:pPr>
    </w:p>
    <w:p w14:paraId="1812D511" w14:textId="23C98C60" w:rsidR="003C0730" w:rsidRPr="003C0730" w:rsidRDefault="003C0730" w:rsidP="003C0730">
      <w:pPr>
        <w:pStyle w:val="Prrafodelista"/>
        <w:numPr>
          <w:ilvl w:val="0"/>
          <w:numId w:val="5"/>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t>TESTIMONIAL</w:t>
      </w:r>
    </w:p>
    <w:p w14:paraId="5D31580B" w14:textId="1311F796" w:rsidR="003C0730" w:rsidRPr="003C0730" w:rsidRDefault="003C0730" w:rsidP="003C0730">
      <w:pPr>
        <w:pStyle w:val="Prrafodelista"/>
        <w:numPr>
          <w:ilvl w:val="0"/>
          <w:numId w:val="10"/>
        </w:numPr>
        <w:shd w:val="clear" w:color="auto" w:fill="FFFFFF"/>
        <w:spacing w:line="276" w:lineRule="auto"/>
        <w:jc w:val="both"/>
        <w:textAlignment w:val="baseline"/>
        <w:rPr>
          <w:rFonts w:ascii="Garamond" w:eastAsia="Times New Roman" w:hAnsi="Garamond" w:cs="Times New Roman"/>
          <w:color w:val="000000"/>
          <w:sz w:val="22"/>
          <w:szCs w:val="22"/>
          <w:lang w:val="es-CO" w:eastAsia="es-ES_tradnl"/>
        </w:rPr>
      </w:pPr>
      <w:r w:rsidRPr="003C0730">
        <w:rPr>
          <w:rFonts w:ascii="Garamond" w:eastAsia="Times New Roman" w:hAnsi="Garamond" w:cs="Times New Roman"/>
          <w:color w:val="000000"/>
          <w:sz w:val="22"/>
          <w:szCs w:val="22"/>
          <w:lang w:val="es-CO" w:eastAsia="es-ES_tradnl"/>
        </w:rPr>
        <w:t xml:space="preserve"> </w:t>
      </w:r>
      <w:r>
        <w:rPr>
          <w:rFonts w:ascii="Garamond" w:eastAsia="Times New Roman" w:hAnsi="Garamond" w:cs="Times New Roman"/>
          <w:color w:val="000000"/>
          <w:sz w:val="22"/>
          <w:szCs w:val="22"/>
          <w:lang w:val="es-CO" w:eastAsia="es-ES_tradnl"/>
        </w:rPr>
        <w:t>A</w:t>
      </w:r>
      <w:r w:rsidRPr="003C0730">
        <w:rPr>
          <w:rFonts w:ascii="Garamond" w:eastAsia="Times New Roman" w:hAnsi="Garamond" w:cs="Times New Roman"/>
          <w:color w:val="000000"/>
          <w:sz w:val="22"/>
          <w:szCs w:val="22"/>
          <w:lang w:val="es-CO" w:eastAsia="es-ES_tradnl"/>
        </w:rPr>
        <w:t>bogado Nicolás Loaiza Segura, aseso</w:t>
      </w:r>
      <w:r>
        <w:rPr>
          <w:rFonts w:ascii="Garamond" w:eastAsia="Times New Roman" w:hAnsi="Garamond" w:cs="Times New Roman"/>
          <w:color w:val="000000"/>
          <w:sz w:val="22"/>
          <w:szCs w:val="22"/>
          <w:lang w:val="es-CO" w:eastAsia="es-ES_tradnl"/>
        </w:rPr>
        <w:t xml:space="preserve"> </w:t>
      </w:r>
      <w:r w:rsidRPr="003C0730">
        <w:rPr>
          <w:rFonts w:ascii="Garamond" w:eastAsia="Times New Roman" w:hAnsi="Garamond" w:cs="Times New Roman"/>
          <w:color w:val="000000"/>
          <w:sz w:val="22"/>
          <w:szCs w:val="22"/>
          <w:lang w:val="es-CO" w:eastAsia="es-ES_tradnl"/>
        </w:rPr>
        <w:t>jurídico externo de HDI Seguros S.A., para que se pronuncie y explique el alcance de la cobertura</w:t>
      </w:r>
      <w:r>
        <w:rPr>
          <w:rFonts w:ascii="Garamond" w:eastAsia="Times New Roman" w:hAnsi="Garamond" w:cs="Times New Roman"/>
          <w:color w:val="000000"/>
          <w:sz w:val="22"/>
          <w:szCs w:val="22"/>
          <w:lang w:val="es-CO" w:eastAsia="es-ES_tradnl"/>
        </w:rPr>
        <w:t xml:space="preserve"> </w:t>
      </w:r>
      <w:r w:rsidRPr="003C0730">
        <w:rPr>
          <w:rFonts w:ascii="Garamond" w:eastAsia="Times New Roman" w:hAnsi="Garamond" w:cs="Times New Roman"/>
          <w:color w:val="000000"/>
          <w:sz w:val="22"/>
          <w:szCs w:val="22"/>
          <w:lang w:val="es-CO" w:eastAsia="es-ES_tradnl"/>
        </w:rPr>
        <w:t xml:space="preserve">de la Póliza No. 420-80-994000000181 y de cómo funciona el coaseguro allí pactado. </w:t>
      </w:r>
    </w:p>
    <w:p w14:paraId="14FA6CF3" w14:textId="77777777" w:rsidR="009F65B5" w:rsidRDefault="009F65B5" w:rsidP="009F65B5">
      <w:pPr>
        <w:pStyle w:val="Prrafodelista"/>
        <w:shd w:val="clear" w:color="auto" w:fill="FFFFFF"/>
        <w:spacing w:line="276" w:lineRule="auto"/>
        <w:ind w:left="1440"/>
        <w:jc w:val="both"/>
        <w:textAlignment w:val="baseline"/>
        <w:rPr>
          <w:rFonts w:ascii="Garamond" w:eastAsia="Times New Roman" w:hAnsi="Garamond" w:cs="Times New Roman"/>
          <w:color w:val="000000"/>
          <w:sz w:val="22"/>
          <w:szCs w:val="22"/>
          <w:lang w:val="es-CO" w:eastAsia="es-ES_tradnl"/>
        </w:rPr>
      </w:pPr>
    </w:p>
    <w:p w14:paraId="0C417AB9" w14:textId="77777777" w:rsidR="00122D37" w:rsidRPr="00122D37" w:rsidRDefault="00122D37" w:rsidP="00122D37">
      <w:pPr>
        <w:shd w:val="clear" w:color="auto" w:fill="FFFFFF"/>
        <w:spacing w:line="276" w:lineRule="auto"/>
        <w:jc w:val="center"/>
        <w:textAlignment w:val="baseline"/>
        <w:rPr>
          <w:rFonts w:ascii="Garamond" w:eastAsia="Times New Roman" w:hAnsi="Garamond" w:cs="Times New Roman"/>
          <w:b/>
          <w:bCs/>
          <w:color w:val="000000"/>
          <w:sz w:val="22"/>
          <w:szCs w:val="22"/>
          <w:lang w:val="es-CO" w:eastAsia="es-ES_tradnl"/>
        </w:rPr>
      </w:pPr>
    </w:p>
    <w:p w14:paraId="66377867" w14:textId="77777777" w:rsidR="00C35367" w:rsidRDefault="007654A6" w:rsidP="00C35367">
      <w:pPr>
        <w:shd w:val="clear" w:color="auto" w:fill="FFFFFF"/>
        <w:spacing w:line="276" w:lineRule="auto"/>
        <w:jc w:val="center"/>
        <w:textAlignment w:val="baseline"/>
        <w:rPr>
          <w:rFonts w:ascii="Garamond" w:eastAsia="Times New Roman" w:hAnsi="Garamond" w:cs="Times New Roman"/>
          <w:b/>
          <w:bCs/>
          <w:color w:val="000000"/>
          <w:sz w:val="22"/>
          <w:szCs w:val="22"/>
          <w:lang w:val="es-CO" w:eastAsia="es-ES_tradnl"/>
        </w:rPr>
      </w:pPr>
      <w:r>
        <w:rPr>
          <w:rFonts w:ascii="Garamond" w:eastAsia="Times New Roman" w:hAnsi="Garamond" w:cs="Times New Roman"/>
          <w:b/>
          <w:bCs/>
          <w:color w:val="000000"/>
          <w:sz w:val="22"/>
          <w:szCs w:val="22"/>
          <w:lang w:val="es-CO" w:eastAsia="es-ES_tradnl"/>
        </w:rPr>
        <w:t xml:space="preserve">DESARROLLO DE LA </w:t>
      </w:r>
      <w:r w:rsidR="00122D37" w:rsidRPr="00122D37">
        <w:rPr>
          <w:rFonts w:ascii="Garamond" w:eastAsia="Times New Roman" w:hAnsi="Garamond" w:cs="Times New Roman"/>
          <w:b/>
          <w:bCs/>
          <w:color w:val="000000"/>
          <w:sz w:val="22"/>
          <w:szCs w:val="22"/>
          <w:lang w:val="es-CO" w:eastAsia="es-ES_tradnl"/>
        </w:rPr>
        <w:t>AUDIENCIA</w:t>
      </w:r>
    </w:p>
    <w:p w14:paraId="3645CBC6" w14:textId="01B35B3D" w:rsidR="00122D37" w:rsidRPr="00122D37" w:rsidRDefault="00C35367" w:rsidP="00C35367">
      <w:pPr>
        <w:shd w:val="clear" w:color="auto" w:fill="FFFFFF"/>
        <w:spacing w:line="276" w:lineRule="auto"/>
        <w:jc w:val="center"/>
        <w:textAlignment w:val="baseline"/>
        <w:rPr>
          <w:rFonts w:ascii="Garamond" w:eastAsia="Times New Roman" w:hAnsi="Garamond" w:cs="Times New Roman"/>
          <w:b/>
          <w:bCs/>
          <w:color w:val="000000"/>
          <w:sz w:val="22"/>
          <w:szCs w:val="22"/>
          <w:lang w:val="es-CO" w:eastAsia="es-ES_tradnl"/>
        </w:rPr>
      </w:pPr>
      <w:r w:rsidRPr="00122D37">
        <w:rPr>
          <w:rFonts w:ascii="Garamond" w:eastAsia="Times New Roman" w:hAnsi="Garamond" w:cs="Times New Roman"/>
          <w:b/>
          <w:bCs/>
          <w:i/>
          <w:iCs/>
          <w:color w:val="000000"/>
          <w:sz w:val="22"/>
          <w:szCs w:val="22"/>
          <w:u w:val="single"/>
          <w:lang w:val="es-CO" w:eastAsia="es-ES_tradnl"/>
        </w:rPr>
        <w:t xml:space="preserve"> </w:t>
      </w:r>
      <w:r w:rsidR="00122D37" w:rsidRPr="00122D37">
        <w:rPr>
          <w:rFonts w:ascii="Garamond" w:eastAsia="Times New Roman" w:hAnsi="Garamond" w:cs="Times New Roman"/>
          <w:b/>
          <w:bCs/>
          <w:i/>
          <w:iCs/>
          <w:color w:val="000000"/>
          <w:sz w:val="22"/>
          <w:szCs w:val="22"/>
          <w:u w:val="single"/>
          <w:lang w:val="es-CO" w:eastAsia="es-ES_tradnl"/>
        </w:rPr>
        <w:t xml:space="preserve">(10) de octubre </w:t>
      </w:r>
      <w:r>
        <w:rPr>
          <w:rFonts w:ascii="Garamond" w:eastAsia="Times New Roman" w:hAnsi="Garamond" w:cs="Times New Roman"/>
          <w:b/>
          <w:bCs/>
          <w:i/>
          <w:iCs/>
          <w:color w:val="000000"/>
          <w:sz w:val="22"/>
          <w:szCs w:val="22"/>
          <w:u w:val="single"/>
          <w:lang w:val="es-CO" w:eastAsia="es-ES_tradnl"/>
        </w:rPr>
        <w:t xml:space="preserve">de 2024 </w:t>
      </w:r>
      <w:r>
        <w:rPr>
          <w:rFonts w:ascii="Garamond" w:eastAsia="Times New Roman" w:hAnsi="Garamond" w:cs="Times New Roman"/>
          <w:color w:val="000000"/>
          <w:sz w:val="22"/>
          <w:szCs w:val="22"/>
          <w:lang w:val="es-CO" w:eastAsia="es-ES_tradnl"/>
        </w:rPr>
        <w:t xml:space="preserve"> - </w:t>
      </w:r>
      <w:r w:rsidR="00122D37" w:rsidRPr="00122D37">
        <w:rPr>
          <w:rFonts w:ascii="Garamond" w:eastAsia="Times New Roman" w:hAnsi="Garamond" w:cs="Times New Roman"/>
          <w:b/>
          <w:bCs/>
          <w:i/>
          <w:iCs/>
          <w:color w:val="000000"/>
          <w:sz w:val="22"/>
          <w:szCs w:val="22"/>
          <w:u w:val="single"/>
          <w:lang w:val="es-CO" w:eastAsia="es-ES_tradnl"/>
        </w:rPr>
        <w:t>10</w:t>
      </w:r>
      <w:r>
        <w:rPr>
          <w:rFonts w:ascii="Garamond" w:eastAsia="Times New Roman" w:hAnsi="Garamond" w:cs="Times New Roman"/>
          <w:b/>
          <w:bCs/>
          <w:i/>
          <w:iCs/>
          <w:color w:val="000000"/>
          <w:sz w:val="22"/>
          <w:szCs w:val="22"/>
          <w:u w:val="single"/>
          <w:lang w:val="es-CO" w:eastAsia="es-ES_tradnl"/>
        </w:rPr>
        <w:t xml:space="preserve"> am</w:t>
      </w:r>
    </w:p>
    <w:p w14:paraId="6330FDC9"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p>
    <w:p w14:paraId="6985012D" w14:textId="77777777" w:rsidR="00122D37" w:rsidRPr="00122D37" w:rsidRDefault="00122D37" w:rsidP="00122D37">
      <w:pPr>
        <w:shd w:val="clear" w:color="auto" w:fill="FFFFFF"/>
        <w:spacing w:line="276" w:lineRule="auto"/>
        <w:textAlignment w:val="baseline"/>
        <w:rPr>
          <w:rFonts w:ascii="Garamond" w:eastAsia="Times New Roman" w:hAnsi="Garamond" w:cs="Times New Roman"/>
          <w:color w:val="000000"/>
          <w:sz w:val="22"/>
          <w:szCs w:val="22"/>
          <w:lang w:val="es-CO" w:eastAsia="es-ES_tradnl"/>
        </w:rPr>
      </w:pPr>
      <w:hyperlink r:id="rId8" w:tgtFrame="_blank" w:history="1">
        <w:r w:rsidRPr="00122D37">
          <w:rPr>
            <w:rFonts w:ascii="Garamond" w:eastAsia="Times New Roman" w:hAnsi="Garamond" w:cs="Times New Roman"/>
            <w:color w:val="0000FF"/>
            <w:sz w:val="22"/>
            <w:szCs w:val="22"/>
            <w:u w:val="single"/>
            <w:bdr w:val="none" w:sz="0" w:space="0" w:color="auto" w:frame="1"/>
            <w:lang w:val="es-CO" w:eastAsia="es-ES_tradnl"/>
          </w:rPr>
          <w:t>https://teams.microsoft.com/l/meetup-join/19%3ameeting_MTQwYzI0ZTMtZGUxMS00OGM3LWFjNDYtMGE2YjUzOTAzYzU2%40thread.v2/0?context=%7b%22Tid%22%3a%22622cba98-80f8-41f3-8df5-8eb99901598b%22%2c%22Oid%22%3a%2200bfed6e-acce-46d6-a295-148e43ddfec4%22%7d</w:t>
        </w:r>
      </w:hyperlink>
    </w:p>
    <w:p w14:paraId="636285D1" w14:textId="2AE45AFC" w:rsidR="00160089" w:rsidRDefault="00160089" w:rsidP="00122D37">
      <w:pPr>
        <w:spacing w:line="276" w:lineRule="auto"/>
        <w:rPr>
          <w:rFonts w:ascii="Garamond" w:hAnsi="Garamond"/>
          <w:sz w:val="22"/>
          <w:szCs w:val="22"/>
          <w:lang w:val="es-CO"/>
        </w:rPr>
      </w:pPr>
    </w:p>
    <w:p w14:paraId="158337DD" w14:textId="18926138" w:rsidR="00872BF9" w:rsidRDefault="00872BF9" w:rsidP="00C35367">
      <w:pPr>
        <w:pStyle w:val="Prrafodelista"/>
        <w:numPr>
          <w:ilvl w:val="0"/>
          <w:numId w:val="11"/>
        </w:numPr>
        <w:spacing w:line="276" w:lineRule="auto"/>
        <w:jc w:val="both"/>
        <w:rPr>
          <w:rFonts w:ascii="Garamond" w:hAnsi="Garamond"/>
          <w:sz w:val="22"/>
          <w:szCs w:val="22"/>
          <w:lang w:val="es-CO"/>
        </w:rPr>
      </w:pPr>
      <w:r w:rsidRPr="00872BF9">
        <w:rPr>
          <w:rFonts w:ascii="Garamond" w:hAnsi="Garamond"/>
          <w:b/>
          <w:bCs/>
          <w:sz w:val="22"/>
          <w:szCs w:val="22"/>
          <w:lang w:val="es-CO"/>
        </w:rPr>
        <w:t xml:space="preserve">Conciliación </w:t>
      </w:r>
      <w:r>
        <w:rPr>
          <w:rFonts w:ascii="Garamond" w:hAnsi="Garamond"/>
          <w:sz w:val="22"/>
          <w:szCs w:val="22"/>
          <w:lang w:val="es-CO"/>
        </w:rPr>
        <w:t>– fallida</w:t>
      </w:r>
    </w:p>
    <w:p w14:paraId="68DD74D9" w14:textId="0655268D" w:rsidR="00872BF9" w:rsidRDefault="00872BF9" w:rsidP="00C35367">
      <w:pPr>
        <w:pStyle w:val="Prrafodelista"/>
        <w:numPr>
          <w:ilvl w:val="0"/>
          <w:numId w:val="11"/>
        </w:numPr>
        <w:spacing w:line="276" w:lineRule="auto"/>
        <w:jc w:val="both"/>
        <w:rPr>
          <w:rFonts w:ascii="Garamond" w:hAnsi="Garamond"/>
          <w:sz w:val="22"/>
          <w:szCs w:val="22"/>
          <w:lang w:val="es-CO"/>
        </w:rPr>
      </w:pPr>
      <w:r w:rsidRPr="00872BF9">
        <w:rPr>
          <w:rFonts w:ascii="Garamond" w:hAnsi="Garamond"/>
          <w:b/>
          <w:bCs/>
          <w:sz w:val="22"/>
          <w:szCs w:val="22"/>
          <w:lang w:val="es-CO"/>
        </w:rPr>
        <w:t>Saneamiento del proceso</w:t>
      </w:r>
      <w:r>
        <w:rPr>
          <w:rFonts w:ascii="Garamond" w:hAnsi="Garamond"/>
          <w:sz w:val="22"/>
          <w:szCs w:val="22"/>
          <w:lang w:val="es-CO"/>
        </w:rPr>
        <w:t xml:space="preserve"> – sin ningún vicio</w:t>
      </w:r>
    </w:p>
    <w:p w14:paraId="0BB4B0F0" w14:textId="03DC59B1" w:rsidR="00872BF9" w:rsidRDefault="00872BF9" w:rsidP="00C35367">
      <w:pPr>
        <w:pStyle w:val="Prrafodelista"/>
        <w:numPr>
          <w:ilvl w:val="0"/>
          <w:numId w:val="11"/>
        </w:numPr>
        <w:spacing w:line="276" w:lineRule="auto"/>
        <w:jc w:val="both"/>
        <w:rPr>
          <w:rFonts w:ascii="Garamond" w:hAnsi="Garamond"/>
          <w:b/>
          <w:bCs/>
          <w:sz w:val="22"/>
          <w:szCs w:val="22"/>
          <w:lang w:val="es-CO"/>
        </w:rPr>
      </w:pPr>
      <w:r w:rsidRPr="00872BF9">
        <w:rPr>
          <w:rFonts w:ascii="Garamond" w:hAnsi="Garamond"/>
          <w:b/>
          <w:bCs/>
          <w:sz w:val="22"/>
          <w:szCs w:val="22"/>
          <w:lang w:val="es-CO"/>
        </w:rPr>
        <w:t xml:space="preserve">Fijación del litigio </w:t>
      </w:r>
      <w:r w:rsidRPr="00872BF9">
        <w:rPr>
          <w:rFonts w:ascii="Garamond" w:hAnsi="Garamond"/>
          <w:sz w:val="22"/>
          <w:szCs w:val="22"/>
          <w:lang w:val="es-CO"/>
        </w:rPr>
        <w:t>– Si existe responsabilidad alguna del Distrito por los hechos ocurridos sobre la vía, y en efecto, si alguna de las aseguradoras debe afectar póliza.</w:t>
      </w:r>
    </w:p>
    <w:p w14:paraId="45ED2231" w14:textId="35910894" w:rsidR="00872BF9" w:rsidRDefault="00872BF9" w:rsidP="00C35367">
      <w:pPr>
        <w:pStyle w:val="Prrafodelista"/>
        <w:numPr>
          <w:ilvl w:val="0"/>
          <w:numId w:val="11"/>
        </w:numPr>
        <w:spacing w:line="276" w:lineRule="auto"/>
        <w:jc w:val="both"/>
        <w:rPr>
          <w:rFonts w:ascii="Garamond" w:hAnsi="Garamond"/>
          <w:b/>
          <w:bCs/>
          <w:sz w:val="22"/>
          <w:szCs w:val="22"/>
          <w:lang w:val="es-CO"/>
        </w:rPr>
      </w:pPr>
      <w:r>
        <w:rPr>
          <w:rFonts w:ascii="Garamond" w:hAnsi="Garamond"/>
          <w:b/>
          <w:bCs/>
          <w:sz w:val="22"/>
          <w:szCs w:val="22"/>
          <w:lang w:val="es-CO"/>
        </w:rPr>
        <w:t xml:space="preserve">Auto 503 Decreto de pruebas </w:t>
      </w:r>
      <w:r w:rsidR="00DF73DE">
        <w:rPr>
          <w:rFonts w:ascii="Garamond" w:hAnsi="Garamond"/>
          <w:b/>
          <w:bCs/>
          <w:sz w:val="22"/>
          <w:szCs w:val="22"/>
          <w:lang w:val="es-CO"/>
        </w:rPr>
        <w:t>–</w:t>
      </w:r>
      <w:r>
        <w:rPr>
          <w:rFonts w:ascii="Garamond" w:hAnsi="Garamond"/>
          <w:b/>
          <w:bCs/>
          <w:sz w:val="22"/>
          <w:szCs w:val="22"/>
          <w:lang w:val="es-CO"/>
        </w:rPr>
        <w:t xml:space="preserve"> </w:t>
      </w:r>
    </w:p>
    <w:p w14:paraId="7986E6E9" w14:textId="7FC84DE6" w:rsidR="00DF73DE" w:rsidRDefault="00DF73DE" w:rsidP="00C35367">
      <w:pPr>
        <w:spacing w:line="276" w:lineRule="auto"/>
        <w:jc w:val="both"/>
        <w:rPr>
          <w:rFonts w:ascii="Garamond" w:hAnsi="Garamond"/>
          <w:b/>
          <w:bCs/>
          <w:sz w:val="22"/>
          <w:szCs w:val="22"/>
          <w:lang w:val="es-CO"/>
        </w:rPr>
      </w:pPr>
    </w:p>
    <w:p w14:paraId="55D93292" w14:textId="77777777" w:rsidR="00DF73DE" w:rsidRPr="00C35367" w:rsidRDefault="00DF73DE" w:rsidP="00C35367">
      <w:pPr>
        <w:pStyle w:val="Prrafodelista"/>
        <w:numPr>
          <w:ilvl w:val="0"/>
          <w:numId w:val="5"/>
        </w:numPr>
        <w:spacing w:line="276" w:lineRule="auto"/>
        <w:ind w:left="709"/>
        <w:jc w:val="both"/>
        <w:rPr>
          <w:rFonts w:ascii="Garamond" w:hAnsi="Garamond"/>
          <w:sz w:val="22"/>
          <w:szCs w:val="22"/>
          <w:lang w:val="es-CO"/>
        </w:rPr>
      </w:pPr>
      <w:r w:rsidRPr="00C35367">
        <w:rPr>
          <w:rFonts w:ascii="Garamond" w:hAnsi="Garamond"/>
          <w:sz w:val="22"/>
          <w:szCs w:val="22"/>
          <w:lang w:val="es-CO"/>
        </w:rPr>
        <w:t>Se niega a demandante dictamen ante Junta Regional porque ya cuentan con un primer dictamen de PCL y es sobre el mismo asunto.</w:t>
      </w:r>
    </w:p>
    <w:p w14:paraId="36E709E5" w14:textId="77777777" w:rsidR="00C35367" w:rsidRPr="00C35367" w:rsidRDefault="00DF73DE" w:rsidP="00C35367">
      <w:pPr>
        <w:pStyle w:val="Prrafodelista"/>
        <w:numPr>
          <w:ilvl w:val="0"/>
          <w:numId w:val="5"/>
        </w:numPr>
        <w:spacing w:line="276" w:lineRule="auto"/>
        <w:ind w:left="709"/>
        <w:jc w:val="both"/>
        <w:rPr>
          <w:rFonts w:ascii="Garamond" w:hAnsi="Garamond"/>
          <w:sz w:val="22"/>
          <w:szCs w:val="22"/>
          <w:lang w:val="es-CO"/>
        </w:rPr>
      </w:pPr>
      <w:r w:rsidRPr="00C35367">
        <w:rPr>
          <w:rFonts w:ascii="Garamond" w:hAnsi="Garamond"/>
          <w:sz w:val="22"/>
          <w:szCs w:val="22"/>
          <w:lang w:val="es-CO"/>
        </w:rPr>
        <w:t xml:space="preserve">Se decretan los Testimonios de Angie </w:t>
      </w:r>
      <w:proofErr w:type="spellStart"/>
      <w:r w:rsidRPr="00C35367">
        <w:rPr>
          <w:rFonts w:ascii="Garamond" w:hAnsi="Garamond"/>
          <w:sz w:val="22"/>
          <w:szCs w:val="22"/>
          <w:lang w:val="es-CO"/>
        </w:rPr>
        <w:t>Lizeth</w:t>
      </w:r>
      <w:proofErr w:type="spellEnd"/>
      <w:r w:rsidRPr="00C35367">
        <w:rPr>
          <w:rFonts w:ascii="Garamond" w:hAnsi="Garamond"/>
          <w:sz w:val="22"/>
          <w:szCs w:val="22"/>
          <w:lang w:val="es-CO"/>
        </w:rPr>
        <w:t xml:space="preserve"> y </w:t>
      </w:r>
      <w:proofErr w:type="spellStart"/>
      <w:r w:rsidRPr="00C35367">
        <w:rPr>
          <w:rFonts w:ascii="Garamond" w:hAnsi="Garamond"/>
          <w:sz w:val="22"/>
          <w:szCs w:val="22"/>
          <w:lang w:val="es-CO"/>
        </w:rPr>
        <w:t>Andres</w:t>
      </w:r>
      <w:proofErr w:type="spellEnd"/>
      <w:r w:rsidRPr="00C35367">
        <w:rPr>
          <w:rFonts w:ascii="Garamond" w:hAnsi="Garamond"/>
          <w:sz w:val="22"/>
          <w:szCs w:val="22"/>
          <w:lang w:val="es-CO"/>
        </w:rPr>
        <w:t xml:space="preserve"> </w:t>
      </w:r>
      <w:proofErr w:type="spellStart"/>
      <w:r w:rsidRPr="00C35367">
        <w:rPr>
          <w:rFonts w:ascii="Garamond" w:hAnsi="Garamond"/>
          <w:sz w:val="22"/>
          <w:szCs w:val="22"/>
          <w:lang w:val="es-CO"/>
        </w:rPr>
        <w:t>feliepe</w:t>
      </w:r>
      <w:proofErr w:type="spellEnd"/>
      <w:r w:rsidRPr="00C35367">
        <w:rPr>
          <w:rFonts w:ascii="Garamond" w:hAnsi="Garamond"/>
          <w:sz w:val="22"/>
          <w:szCs w:val="22"/>
          <w:lang w:val="es-CO"/>
        </w:rPr>
        <w:t xml:space="preserve"> Betancourt</w:t>
      </w:r>
    </w:p>
    <w:p w14:paraId="776565EF" w14:textId="77777777" w:rsidR="00C35367" w:rsidRPr="00C35367" w:rsidRDefault="00DF73DE" w:rsidP="00C35367">
      <w:pPr>
        <w:pStyle w:val="Prrafodelista"/>
        <w:numPr>
          <w:ilvl w:val="0"/>
          <w:numId w:val="5"/>
        </w:numPr>
        <w:spacing w:line="276" w:lineRule="auto"/>
        <w:ind w:left="709"/>
        <w:jc w:val="both"/>
        <w:rPr>
          <w:rFonts w:ascii="Garamond" w:hAnsi="Garamond"/>
          <w:sz w:val="22"/>
          <w:szCs w:val="22"/>
          <w:lang w:val="es-CO"/>
        </w:rPr>
      </w:pPr>
      <w:r w:rsidRPr="00C35367">
        <w:rPr>
          <w:rFonts w:ascii="Garamond" w:hAnsi="Garamond"/>
          <w:sz w:val="22"/>
          <w:szCs w:val="22"/>
          <w:lang w:val="es-CO"/>
        </w:rPr>
        <w:t xml:space="preserve">Médico </w:t>
      </w:r>
      <w:proofErr w:type="spellStart"/>
      <w:r w:rsidR="00C35367" w:rsidRPr="00C35367">
        <w:rPr>
          <w:rFonts w:ascii="Garamond" w:hAnsi="Garamond"/>
          <w:sz w:val="22"/>
          <w:szCs w:val="22"/>
          <w:lang w:val="es-CO"/>
        </w:rPr>
        <w:t>M</w:t>
      </w:r>
      <w:r w:rsidRPr="00C35367">
        <w:rPr>
          <w:rFonts w:ascii="Garamond" w:hAnsi="Garamond"/>
          <w:sz w:val="22"/>
          <w:szCs w:val="22"/>
          <w:lang w:val="es-CO"/>
        </w:rPr>
        <w:t>aria</w:t>
      </w:r>
      <w:proofErr w:type="spellEnd"/>
      <w:r w:rsidRPr="00C35367">
        <w:rPr>
          <w:rFonts w:ascii="Garamond" w:hAnsi="Garamond"/>
          <w:sz w:val="22"/>
          <w:szCs w:val="22"/>
          <w:lang w:val="es-CO"/>
        </w:rPr>
        <w:t xml:space="preserve"> Isabel agredo cure.</w:t>
      </w:r>
    </w:p>
    <w:p w14:paraId="4679174A" w14:textId="77777777" w:rsidR="00C35367" w:rsidRPr="00C35367" w:rsidRDefault="00DF73DE" w:rsidP="00C35367">
      <w:pPr>
        <w:pStyle w:val="Prrafodelista"/>
        <w:numPr>
          <w:ilvl w:val="0"/>
          <w:numId w:val="5"/>
        </w:numPr>
        <w:spacing w:line="276" w:lineRule="auto"/>
        <w:ind w:left="709"/>
        <w:jc w:val="both"/>
        <w:rPr>
          <w:rFonts w:ascii="Garamond" w:hAnsi="Garamond"/>
          <w:sz w:val="22"/>
          <w:szCs w:val="22"/>
          <w:lang w:val="es-CO"/>
        </w:rPr>
      </w:pPr>
      <w:r w:rsidRPr="00C35367">
        <w:rPr>
          <w:rFonts w:ascii="Garamond" w:hAnsi="Garamond"/>
          <w:sz w:val="22"/>
          <w:szCs w:val="22"/>
          <w:lang w:val="es-CO"/>
        </w:rPr>
        <w:lastRenderedPageBreak/>
        <w:t>Decreta interrogatorio de parte del señor Robinson</w:t>
      </w:r>
      <w:r w:rsidR="00C35367" w:rsidRPr="00C35367">
        <w:rPr>
          <w:rFonts w:ascii="Garamond" w:hAnsi="Garamond"/>
          <w:sz w:val="22"/>
          <w:szCs w:val="22"/>
          <w:lang w:val="es-CO"/>
        </w:rPr>
        <w:t>.</w:t>
      </w:r>
    </w:p>
    <w:p w14:paraId="7B5970BB" w14:textId="7A43B81D" w:rsidR="00C35367" w:rsidRPr="00C35367" w:rsidRDefault="00DF73DE" w:rsidP="00C35367">
      <w:pPr>
        <w:pStyle w:val="Prrafodelista"/>
        <w:numPr>
          <w:ilvl w:val="0"/>
          <w:numId w:val="5"/>
        </w:numPr>
        <w:spacing w:line="276" w:lineRule="auto"/>
        <w:ind w:left="709"/>
        <w:jc w:val="both"/>
        <w:rPr>
          <w:rFonts w:ascii="Garamond" w:hAnsi="Garamond"/>
          <w:sz w:val="22"/>
          <w:szCs w:val="22"/>
          <w:lang w:val="es-CO"/>
        </w:rPr>
      </w:pPr>
      <w:r w:rsidRPr="00C35367">
        <w:rPr>
          <w:rFonts w:ascii="Garamond" w:hAnsi="Garamond"/>
          <w:sz w:val="22"/>
          <w:szCs w:val="22"/>
          <w:lang w:val="es-CO"/>
        </w:rPr>
        <w:t xml:space="preserve">Niega testimonio de Nicolás Loaiza </w:t>
      </w:r>
      <w:r w:rsidR="00C35367" w:rsidRPr="00C35367">
        <w:rPr>
          <w:rFonts w:ascii="Garamond" w:hAnsi="Garamond"/>
          <w:sz w:val="22"/>
          <w:szCs w:val="22"/>
          <w:lang w:val="es-CO"/>
        </w:rPr>
        <w:t>como quiera que con el resto de documentos obrantes dentro del expediente y demás pruebas decretadas, es suficiente.</w:t>
      </w:r>
    </w:p>
    <w:p w14:paraId="68015068" w14:textId="272B48FC" w:rsidR="00C35367" w:rsidRPr="00C35367" w:rsidRDefault="00C35367" w:rsidP="00C35367">
      <w:pPr>
        <w:pStyle w:val="Prrafodelista"/>
        <w:numPr>
          <w:ilvl w:val="0"/>
          <w:numId w:val="5"/>
        </w:numPr>
        <w:spacing w:line="276" w:lineRule="auto"/>
        <w:ind w:left="709"/>
        <w:jc w:val="both"/>
        <w:rPr>
          <w:rFonts w:ascii="Garamond" w:hAnsi="Garamond"/>
          <w:sz w:val="22"/>
          <w:szCs w:val="22"/>
          <w:lang w:val="es-CO"/>
        </w:rPr>
      </w:pPr>
      <w:r w:rsidRPr="00C35367">
        <w:rPr>
          <w:rFonts w:ascii="Garamond" w:hAnsi="Garamond"/>
          <w:sz w:val="22"/>
          <w:szCs w:val="22"/>
          <w:lang w:val="es-CO"/>
        </w:rPr>
        <w:t>Comparecencia de Juana Valentina para ratificación de documentos sobre ingresos del demandante.</w:t>
      </w:r>
    </w:p>
    <w:p w14:paraId="63345B07" w14:textId="58BFEFB3" w:rsidR="00C35367" w:rsidRDefault="00C35367" w:rsidP="00C35367">
      <w:pPr>
        <w:pStyle w:val="Prrafodelista"/>
        <w:numPr>
          <w:ilvl w:val="0"/>
          <w:numId w:val="5"/>
        </w:numPr>
        <w:spacing w:line="276" w:lineRule="auto"/>
        <w:ind w:left="709"/>
        <w:jc w:val="both"/>
        <w:rPr>
          <w:rFonts w:ascii="Garamond" w:hAnsi="Garamond"/>
          <w:sz w:val="22"/>
          <w:szCs w:val="22"/>
          <w:lang w:val="es-CO"/>
        </w:rPr>
      </w:pPr>
      <w:r w:rsidRPr="00C35367">
        <w:rPr>
          <w:rFonts w:ascii="Garamond" w:hAnsi="Garamond"/>
          <w:sz w:val="22"/>
          <w:szCs w:val="22"/>
          <w:lang w:val="es-CO"/>
        </w:rPr>
        <w:t>Testimonio de contador</w:t>
      </w:r>
    </w:p>
    <w:p w14:paraId="565B9D3D" w14:textId="13655DC1" w:rsidR="00C35367" w:rsidRDefault="00C35367" w:rsidP="00C35367">
      <w:pPr>
        <w:spacing w:line="276" w:lineRule="auto"/>
        <w:jc w:val="both"/>
        <w:rPr>
          <w:rFonts w:ascii="Garamond" w:hAnsi="Garamond"/>
          <w:sz w:val="22"/>
          <w:szCs w:val="22"/>
          <w:lang w:val="es-CO"/>
        </w:rPr>
      </w:pPr>
    </w:p>
    <w:p w14:paraId="32CA65E5" w14:textId="0F530E7A" w:rsidR="00C35367" w:rsidRPr="004928C4" w:rsidRDefault="00C35367" w:rsidP="00C35367">
      <w:pPr>
        <w:spacing w:line="276" w:lineRule="auto"/>
        <w:jc w:val="both"/>
        <w:rPr>
          <w:rFonts w:ascii="Garamond" w:hAnsi="Garamond"/>
          <w:sz w:val="22"/>
          <w:szCs w:val="22"/>
          <w:u w:val="single"/>
          <w:lang w:val="es-CO"/>
        </w:rPr>
      </w:pPr>
      <w:r w:rsidRPr="004928C4">
        <w:rPr>
          <w:rFonts w:ascii="Garamond" w:hAnsi="Garamond"/>
          <w:sz w:val="22"/>
          <w:szCs w:val="22"/>
          <w:u w:val="single"/>
          <w:lang w:val="es-CO"/>
        </w:rPr>
        <w:t>Pruebas de Oficio:</w:t>
      </w:r>
    </w:p>
    <w:p w14:paraId="2CE14D4B" w14:textId="73BE8A44" w:rsidR="00C35367" w:rsidRDefault="00C35367" w:rsidP="00C35367">
      <w:pPr>
        <w:pStyle w:val="Prrafodelista"/>
        <w:numPr>
          <w:ilvl w:val="0"/>
          <w:numId w:val="5"/>
        </w:numPr>
        <w:spacing w:line="276" w:lineRule="auto"/>
        <w:jc w:val="both"/>
        <w:rPr>
          <w:rFonts w:ascii="Garamond" w:hAnsi="Garamond"/>
          <w:sz w:val="22"/>
          <w:szCs w:val="22"/>
          <w:lang w:val="es-CO"/>
        </w:rPr>
      </w:pPr>
      <w:r>
        <w:rPr>
          <w:rFonts w:ascii="Garamond" w:hAnsi="Garamond"/>
          <w:sz w:val="22"/>
          <w:szCs w:val="22"/>
          <w:lang w:val="es-CO"/>
        </w:rPr>
        <w:t>Secretaria de movilidad para que allega todos los documentos y soportes sobre el accidente de tránsito.</w:t>
      </w:r>
    </w:p>
    <w:p w14:paraId="6FCB3741" w14:textId="2396D46B" w:rsidR="00C35367" w:rsidRDefault="00C35367" w:rsidP="00C35367">
      <w:pPr>
        <w:pStyle w:val="Prrafodelista"/>
        <w:numPr>
          <w:ilvl w:val="0"/>
          <w:numId w:val="5"/>
        </w:numPr>
        <w:spacing w:line="276" w:lineRule="auto"/>
        <w:jc w:val="both"/>
        <w:rPr>
          <w:rFonts w:ascii="Garamond" w:hAnsi="Garamond"/>
          <w:sz w:val="22"/>
          <w:szCs w:val="22"/>
          <w:lang w:val="es-CO"/>
        </w:rPr>
      </w:pPr>
      <w:r>
        <w:rPr>
          <w:rFonts w:ascii="Garamond" w:hAnsi="Garamond"/>
          <w:sz w:val="22"/>
          <w:szCs w:val="22"/>
          <w:lang w:val="es-CO"/>
        </w:rPr>
        <w:t>Seguros del Estado S.A. para que certifique si realizó algún pago al demandante con ocasión del accidente.</w:t>
      </w:r>
    </w:p>
    <w:p w14:paraId="6C5FE343" w14:textId="737AC8C8" w:rsidR="004928C4" w:rsidRDefault="004928C4" w:rsidP="004928C4">
      <w:pPr>
        <w:spacing w:line="276" w:lineRule="auto"/>
        <w:jc w:val="both"/>
        <w:rPr>
          <w:rFonts w:ascii="Garamond" w:hAnsi="Garamond"/>
          <w:sz w:val="22"/>
          <w:szCs w:val="22"/>
          <w:lang w:val="es-CO"/>
        </w:rPr>
      </w:pPr>
    </w:p>
    <w:p w14:paraId="48759BC3" w14:textId="159F5E6B" w:rsidR="004928C4" w:rsidRPr="004928C4" w:rsidRDefault="004928C4" w:rsidP="004928C4">
      <w:pPr>
        <w:pStyle w:val="Prrafodelista"/>
        <w:numPr>
          <w:ilvl w:val="0"/>
          <w:numId w:val="11"/>
        </w:numPr>
        <w:spacing w:line="276" w:lineRule="auto"/>
        <w:jc w:val="both"/>
        <w:rPr>
          <w:rFonts w:ascii="Garamond" w:hAnsi="Garamond"/>
          <w:sz w:val="22"/>
          <w:szCs w:val="22"/>
          <w:lang w:val="es-CO"/>
        </w:rPr>
      </w:pPr>
      <w:r w:rsidRPr="004928C4">
        <w:rPr>
          <w:rFonts w:ascii="Garamond" w:hAnsi="Garamond"/>
          <w:b/>
          <w:bCs/>
          <w:sz w:val="22"/>
          <w:szCs w:val="22"/>
          <w:lang w:val="es-CO"/>
        </w:rPr>
        <w:t>Auto sustanciación 637</w:t>
      </w:r>
      <w:r>
        <w:rPr>
          <w:rFonts w:ascii="Garamond" w:hAnsi="Garamond"/>
          <w:sz w:val="22"/>
          <w:szCs w:val="22"/>
          <w:lang w:val="es-CO"/>
        </w:rPr>
        <w:t xml:space="preserve"> – 22 de enero de 2025 9 a.m. (audiencia presencial en Cali – Edificio Goya). </w:t>
      </w:r>
      <w:r w:rsidR="0046082F">
        <w:rPr>
          <w:rFonts w:ascii="Garamond" w:hAnsi="Garamond"/>
          <w:sz w:val="22"/>
          <w:szCs w:val="22"/>
          <w:lang w:val="es-CO"/>
        </w:rPr>
        <w:t>Los abogados podrán conectarse por medios tecnológicos, p</w:t>
      </w:r>
      <w:r>
        <w:rPr>
          <w:rFonts w:ascii="Garamond" w:hAnsi="Garamond"/>
          <w:sz w:val="22"/>
          <w:szCs w:val="22"/>
          <w:lang w:val="es-CO"/>
        </w:rPr>
        <w:t xml:space="preserve">ero si hay falla </w:t>
      </w:r>
      <w:r w:rsidR="0046082F">
        <w:rPr>
          <w:rFonts w:ascii="Garamond" w:hAnsi="Garamond"/>
          <w:sz w:val="22"/>
          <w:szCs w:val="22"/>
          <w:lang w:val="es-CO"/>
        </w:rPr>
        <w:t xml:space="preserve">técnica </w:t>
      </w:r>
      <w:r>
        <w:rPr>
          <w:rFonts w:ascii="Garamond" w:hAnsi="Garamond"/>
          <w:sz w:val="22"/>
          <w:szCs w:val="22"/>
          <w:lang w:val="es-CO"/>
        </w:rPr>
        <w:t xml:space="preserve">el Juzgado </w:t>
      </w:r>
      <w:r w:rsidR="0046082F">
        <w:rPr>
          <w:rFonts w:ascii="Garamond" w:hAnsi="Garamond"/>
          <w:sz w:val="22"/>
          <w:szCs w:val="22"/>
          <w:lang w:val="es-CO"/>
        </w:rPr>
        <w:t>no la suspenderá y por eso se insta a que sea presencial.</w:t>
      </w:r>
    </w:p>
    <w:p w14:paraId="55730364" w14:textId="77777777" w:rsidR="00C35367" w:rsidRDefault="00C35367" w:rsidP="00DF73DE">
      <w:pPr>
        <w:spacing w:line="276" w:lineRule="auto"/>
        <w:rPr>
          <w:rFonts w:ascii="Garamond" w:hAnsi="Garamond"/>
          <w:b/>
          <w:bCs/>
          <w:sz w:val="22"/>
          <w:szCs w:val="22"/>
          <w:lang w:val="es-CO"/>
        </w:rPr>
      </w:pPr>
    </w:p>
    <w:p w14:paraId="115E89D2" w14:textId="77777777" w:rsidR="00DF73DE" w:rsidRPr="00DF73DE" w:rsidRDefault="00DF73DE" w:rsidP="00DF73DE">
      <w:pPr>
        <w:spacing w:line="276" w:lineRule="auto"/>
        <w:rPr>
          <w:rFonts w:ascii="Garamond" w:hAnsi="Garamond"/>
          <w:b/>
          <w:bCs/>
          <w:sz w:val="22"/>
          <w:szCs w:val="22"/>
          <w:lang w:val="es-CO"/>
        </w:rPr>
      </w:pPr>
    </w:p>
    <w:sectPr w:rsidR="00DF73DE" w:rsidRPr="00DF73DE"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121"/>
    <w:multiLevelType w:val="hybridMultilevel"/>
    <w:tmpl w:val="55FE8B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D4342F"/>
    <w:multiLevelType w:val="hybridMultilevel"/>
    <w:tmpl w:val="D10AE836"/>
    <w:lvl w:ilvl="0" w:tplc="D22A3C18">
      <w:start w:val="3"/>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12F33A20"/>
    <w:multiLevelType w:val="hybridMultilevel"/>
    <w:tmpl w:val="736ED63A"/>
    <w:lvl w:ilvl="0" w:tplc="4650FB4E">
      <w:start w:val="1"/>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C910D19"/>
    <w:multiLevelType w:val="hybridMultilevel"/>
    <w:tmpl w:val="554E2222"/>
    <w:lvl w:ilvl="0" w:tplc="43AEDED0">
      <w:start w:val="1"/>
      <w:numFmt w:val="bullet"/>
      <w:lvlText w:val=""/>
      <w:lvlJc w:val="left"/>
      <w:pPr>
        <w:ind w:left="1440" w:hanging="360"/>
      </w:pPr>
      <w:rPr>
        <w:rFonts w:ascii="Symbol" w:eastAsia="Times New Roman" w:hAnsi="Symbol" w:cs="Times New Roman"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229570C3"/>
    <w:multiLevelType w:val="hybridMultilevel"/>
    <w:tmpl w:val="2EBC6448"/>
    <w:lvl w:ilvl="0" w:tplc="A5F6516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29DA4534"/>
    <w:multiLevelType w:val="hybridMultilevel"/>
    <w:tmpl w:val="DB4EE69E"/>
    <w:lvl w:ilvl="0" w:tplc="08CAA8B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A150113"/>
    <w:multiLevelType w:val="hybridMultilevel"/>
    <w:tmpl w:val="CA6AF1E8"/>
    <w:lvl w:ilvl="0" w:tplc="43AEDED0">
      <w:start w:val="1"/>
      <w:numFmt w:val="bullet"/>
      <w:lvlText w:val=""/>
      <w:lvlJc w:val="left"/>
      <w:pPr>
        <w:ind w:left="720" w:hanging="360"/>
      </w:pPr>
      <w:rPr>
        <w:rFonts w:ascii="Symbol" w:eastAsia="Times New Roman" w:hAnsi="Symbol" w:cs="Times New Roman"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D0353AC"/>
    <w:multiLevelType w:val="hybridMultilevel"/>
    <w:tmpl w:val="307684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5A1927"/>
    <w:multiLevelType w:val="hybridMultilevel"/>
    <w:tmpl w:val="75DA98EA"/>
    <w:lvl w:ilvl="0" w:tplc="8E9C5F5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52507E22"/>
    <w:multiLevelType w:val="hybridMultilevel"/>
    <w:tmpl w:val="6A6AC93A"/>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6A050E97"/>
    <w:multiLevelType w:val="hybridMultilevel"/>
    <w:tmpl w:val="F0FC845A"/>
    <w:lvl w:ilvl="0" w:tplc="4650FB4E">
      <w:start w:val="1"/>
      <w:numFmt w:val="bullet"/>
      <w:lvlText w:val="-"/>
      <w:lvlJc w:val="left"/>
      <w:pPr>
        <w:ind w:left="1440" w:hanging="360"/>
      </w:pPr>
      <w:rPr>
        <w:rFonts w:ascii="Garamond" w:eastAsia="Times New Roman" w:hAnsi="Garamond" w:cs="Times New Roman"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10"/>
  </w:num>
  <w:num w:numId="6">
    <w:abstractNumId w:val="9"/>
  </w:num>
  <w:num w:numId="7">
    <w:abstractNumId w:val="8"/>
  </w:num>
  <w:num w:numId="8">
    <w:abstractNumId w:val="4"/>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37"/>
    <w:rsid w:val="00122D37"/>
    <w:rsid w:val="00160089"/>
    <w:rsid w:val="003C0730"/>
    <w:rsid w:val="003C7578"/>
    <w:rsid w:val="0046082F"/>
    <w:rsid w:val="00465EAD"/>
    <w:rsid w:val="004928C4"/>
    <w:rsid w:val="00754574"/>
    <w:rsid w:val="007654A6"/>
    <w:rsid w:val="00872BF9"/>
    <w:rsid w:val="009F65B5"/>
    <w:rsid w:val="00A743C3"/>
    <w:rsid w:val="00AA5C30"/>
    <w:rsid w:val="00BE5ED1"/>
    <w:rsid w:val="00C35367"/>
    <w:rsid w:val="00D7157A"/>
    <w:rsid w:val="00DF73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14DD86"/>
  <w15:chartTrackingRefBased/>
  <w15:docId w15:val="{C4119150-00A1-DE4D-9F53-39E33836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2D37"/>
    <w:rPr>
      <w:color w:val="0000FF"/>
      <w:u w:val="single"/>
    </w:rPr>
  </w:style>
  <w:style w:type="character" w:customStyle="1" w:styleId="luvap">
    <w:name w:val="luvap"/>
    <w:basedOn w:val="Fuentedeprrafopredeter"/>
    <w:rsid w:val="00122D37"/>
  </w:style>
  <w:style w:type="paragraph" w:styleId="Prrafodelista">
    <w:name w:val="List Paragraph"/>
    <w:basedOn w:val="Normal"/>
    <w:uiPriority w:val="34"/>
    <w:qFormat/>
    <w:rsid w:val="003C7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5903">
      <w:bodyDiv w:val="1"/>
      <w:marLeft w:val="0"/>
      <w:marRight w:val="0"/>
      <w:marTop w:val="0"/>
      <w:marBottom w:val="0"/>
      <w:divBdr>
        <w:top w:val="none" w:sz="0" w:space="0" w:color="auto"/>
        <w:left w:val="none" w:sz="0" w:space="0" w:color="auto"/>
        <w:bottom w:val="none" w:sz="0" w:space="0" w:color="auto"/>
        <w:right w:val="none" w:sz="0" w:space="0" w:color="auto"/>
      </w:divBdr>
    </w:div>
    <w:div w:id="287856848">
      <w:bodyDiv w:val="1"/>
      <w:marLeft w:val="0"/>
      <w:marRight w:val="0"/>
      <w:marTop w:val="0"/>
      <w:marBottom w:val="0"/>
      <w:divBdr>
        <w:top w:val="none" w:sz="0" w:space="0" w:color="auto"/>
        <w:left w:val="none" w:sz="0" w:space="0" w:color="auto"/>
        <w:bottom w:val="none" w:sz="0" w:space="0" w:color="auto"/>
        <w:right w:val="none" w:sz="0" w:space="0" w:color="auto"/>
      </w:divBdr>
    </w:div>
    <w:div w:id="327446939">
      <w:bodyDiv w:val="1"/>
      <w:marLeft w:val="0"/>
      <w:marRight w:val="0"/>
      <w:marTop w:val="0"/>
      <w:marBottom w:val="0"/>
      <w:divBdr>
        <w:top w:val="none" w:sz="0" w:space="0" w:color="auto"/>
        <w:left w:val="none" w:sz="0" w:space="0" w:color="auto"/>
        <w:bottom w:val="none" w:sz="0" w:space="0" w:color="auto"/>
        <w:right w:val="none" w:sz="0" w:space="0" w:color="auto"/>
      </w:divBdr>
    </w:div>
    <w:div w:id="422335837">
      <w:bodyDiv w:val="1"/>
      <w:marLeft w:val="0"/>
      <w:marRight w:val="0"/>
      <w:marTop w:val="0"/>
      <w:marBottom w:val="0"/>
      <w:divBdr>
        <w:top w:val="none" w:sz="0" w:space="0" w:color="auto"/>
        <w:left w:val="none" w:sz="0" w:space="0" w:color="auto"/>
        <w:bottom w:val="none" w:sz="0" w:space="0" w:color="auto"/>
        <w:right w:val="none" w:sz="0" w:space="0" w:color="auto"/>
      </w:divBdr>
    </w:div>
    <w:div w:id="655645922">
      <w:bodyDiv w:val="1"/>
      <w:marLeft w:val="0"/>
      <w:marRight w:val="0"/>
      <w:marTop w:val="0"/>
      <w:marBottom w:val="0"/>
      <w:divBdr>
        <w:top w:val="none" w:sz="0" w:space="0" w:color="auto"/>
        <w:left w:val="none" w:sz="0" w:space="0" w:color="auto"/>
        <w:bottom w:val="none" w:sz="0" w:space="0" w:color="auto"/>
        <w:right w:val="none" w:sz="0" w:space="0" w:color="auto"/>
      </w:divBdr>
    </w:div>
    <w:div w:id="1521427639">
      <w:bodyDiv w:val="1"/>
      <w:marLeft w:val="0"/>
      <w:marRight w:val="0"/>
      <w:marTop w:val="0"/>
      <w:marBottom w:val="0"/>
      <w:divBdr>
        <w:top w:val="none" w:sz="0" w:space="0" w:color="auto"/>
        <w:left w:val="none" w:sz="0" w:space="0" w:color="auto"/>
        <w:bottom w:val="none" w:sz="0" w:space="0" w:color="auto"/>
        <w:right w:val="none" w:sz="0" w:space="0" w:color="auto"/>
      </w:divBdr>
    </w:div>
    <w:div w:id="1882941516">
      <w:bodyDiv w:val="1"/>
      <w:marLeft w:val="0"/>
      <w:marRight w:val="0"/>
      <w:marTop w:val="0"/>
      <w:marBottom w:val="0"/>
      <w:divBdr>
        <w:top w:val="none" w:sz="0" w:space="0" w:color="auto"/>
        <w:left w:val="none" w:sz="0" w:space="0" w:color="auto"/>
        <w:bottom w:val="none" w:sz="0" w:space="0" w:color="auto"/>
        <w:right w:val="none" w:sz="0" w:space="0" w:color="auto"/>
      </w:divBdr>
    </w:div>
    <w:div w:id="1897081880">
      <w:bodyDiv w:val="1"/>
      <w:marLeft w:val="0"/>
      <w:marRight w:val="0"/>
      <w:marTop w:val="0"/>
      <w:marBottom w:val="0"/>
      <w:divBdr>
        <w:top w:val="none" w:sz="0" w:space="0" w:color="auto"/>
        <w:left w:val="none" w:sz="0" w:space="0" w:color="auto"/>
        <w:bottom w:val="none" w:sz="0" w:space="0" w:color="auto"/>
        <w:right w:val="none" w:sz="0" w:space="0" w:color="auto"/>
      </w:divBdr>
    </w:div>
    <w:div w:id="1911112266">
      <w:bodyDiv w:val="1"/>
      <w:marLeft w:val="0"/>
      <w:marRight w:val="0"/>
      <w:marTop w:val="0"/>
      <w:marBottom w:val="0"/>
      <w:divBdr>
        <w:top w:val="none" w:sz="0" w:space="0" w:color="auto"/>
        <w:left w:val="none" w:sz="0" w:space="0" w:color="auto"/>
        <w:bottom w:val="none" w:sz="0" w:space="0" w:color="auto"/>
        <w:right w:val="none" w:sz="0" w:space="0" w:color="auto"/>
      </w:divBdr>
    </w:div>
    <w:div w:id="192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QwYzI0ZTMtZGUxMS00OGM3LWFjNDYtMGE2YjUzOTAzYzU2%40thread.v2/0?context=%7b%22Tid%22%3a%22622cba98-80f8-41f3-8df5-8eb99901598b%22%2c%22Oid%22%3a%2200bfed6e-acce-46d6-a295-148e43ddfec4%22%7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1136</Words>
  <Characters>6251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14</cp:revision>
  <dcterms:created xsi:type="dcterms:W3CDTF">2024-10-10T03:18:00Z</dcterms:created>
  <dcterms:modified xsi:type="dcterms:W3CDTF">2024-10-10T15:48:00Z</dcterms:modified>
</cp:coreProperties>
</file>