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4E0DC" w14:textId="504E79D9" w:rsidR="005763CD" w:rsidRDefault="005763CD" w:rsidP="005763CD">
      <w:pPr>
        <w:spacing w:after="0" w:line="360" w:lineRule="auto"/>
        <w:rPr>
          <w:rFonts w:ascii="Arial" w:hAnsi="Arial" w:cs="Arial"/>
        </w:rPr>
      </w:pPr>
      <w:r>
        <w:rPr>
          <w:rFonts w:ascii="Arial" w:hAnsi="Arial" w:cs="Arial"/>
        </w:rPr>
        <w:t>Señores</w:t>
      </w:r>
    </w:p>
    <w:p w14:paraId="29E9110C" w14:textId="782F8E6D" w:rsidR="005763CD" w:rsidRPr="00063403" w:rsidRDefault="005763CD" w:rsidP="005763CD">
      <w:pPr>
        <w:spacing w:after="0" w:line="360" w:lineRule="auto"/>
        <w:rPr>
          <w:rFonts w:ascii="Arial" w:hAnsi="Arial" w:cs="Arial"/>
        </w:rPr>
      </w:pPr>
      <w:r>
        <w:rPr>
          <w:rFonts w:ascii="Arial" w:hAnsi="Arial" w:cs="Arial"/>
        </w:rPr>
        <w:t>SEGUROS GENERALES SURAMERICANA S.A.</w:t>
      </w:r>
    </w:p>
    <w:p w14:paraId="1A791566" w14:textId="114C96AD" w:rsidR="00447CEA" w:rsidRPr="00063403" w:rsidRDefault="00447CEA" w:rsidP="005763CD">
      <w:pPr>
        <w:spacing w:after="0" w:line="360" w:lineRule="auto"/>
        <w:rPr>
          <w:rFonts w:ascii="Arial" w:hAnsi="Arial" w:cs="Arial"/>
        </w:rPr>
      </w:pPr>
    </w:p>
    <w:p w14:paraId="32369AC2" w14:textId="77777777" w:rsidR="00447CEA" w:rsidRPr="00063403" w:rsidRDefault="00447CEA" w:rsidP="0065697C">
      <w:pPr>
        <w:spacing w:after="0" w:line="360" w:lineRule="auto"/>
        <w:jc w:val="right"/>
        <w:rPr>
          <w:rFonts w:ascii="Arial" w:hAnsi="Arial" w:cs="Arial"/>
        </w:rPr>
      </w:pPr>
    </w:p>
    <w:p w14:paraId="73DBE0DC" w14:textId="6D2D36D8" w:rsidR="00447CEA" w:rsidRPr="00063403" w:rsidRDefault="00447CEA" w:rsidP="0065697C">
      <w:pPr>
        <w:spacing w:after="0" w:line="360" w:lineRule="auto"/>
        <w:jc w:val="right"/>
        <w:rPr>
          <w:rFonts w:ascii="Arial" w:hAnsi="Arial" w:cs="Arial"/>
        </w:rPr>
      </w:pPr>
      <w:r w:rsidRPr="00063403">
        <w:rPr>
          <w:rFonts w:ascii="Arial" w:hAnsi="Arial" w:cs="Arial"/>
          <w:b/>
          <w:bCs/>
        </w:rPr>
        <w:t>Asunto:</w:t>
      </w:r>
      <w:r w:rsidRPr="00063403">
        <w:rPr>
          <w:rFonts w:ascii="Arial" w:hAnsi="Arial" w:cs="Arial"/>
        </w:rPr>
        <w:t xml:space="preserve"> </w:t>
      </w:r>
      <w:r w:rsidR="00FA16CF">
        <w:rPr>
          <w:rFonts w:ascii="Arial" w:hAnsi="Arial" w:cs="Arial"/>
        </w:rPr>
        <w:t>Análisis v</w:t>
      </w:r>
      <w:r w:rsidRPr="00063403">
        <w:rPr>
          <w:rFonts w:ascii="Arial" w:hAnsi="Arial" w:cs="Arial"/>
        </w:rPr>
        <w:t xml:space="preserve">iabilidad </w:t>
      </w:r>
      <w:r w:rsidR="00FA16CF">
        <w:rPr>
          <w:rFonts w:ascii="Arial" w:hAnsi="Arial" w:cs="Arial"/>
        </w:rPr>
        <w:t>obtención</w:t>
      </w:r>
      <w:r w:rsidRPr="00063403">
        <w:rPr>
          <w:rFonts w:ascii="Arial" w:hAnsi="Arial" w:cs="Arial"/>
        </w:rPr>
        <w:t xml:space="preserve"> dictamen pericial</w:t>
      </w:r>
    </w:p>
    <w:p w14:paraId="554E56B3" w14:textId="77777777" w:rsidR="006A3531" w:rsidRPr="00063403" w:rsidRDefault="006A3531" w:rsidP="0065697C">
      <w:pPr>
        <w:spacing w:after="0" w:line="360" w:lineRule="auto"/>
        <w:ind w:left="3540"/>
        <w:rPr>
          <w:rFonts w:ascii="Arial" w:hAnsi="Arial" w:cs="Arial"/>
        </w:rPr>
      </w:pPr>
    </w:p>
    <w:p w14:paraId="3960F7C1" w14:textId="66E6665F" w:rsidR="00447CEA" w:rsidRPr="00063403" w:rsidRDefault="005763CD" w:rsidP="0065697C">
      <w:pPr>
        <w:spacing w:after="0" w:line="360" w:lineRule="auto"/>
        <w:jc w:val="both"/>
        <w:rPr>
          <w:rFonts w:ascii="Arial" w:hAnsi="Arial" w:cs="Arial"/>
          <w:b/>
          <w:bCs/>
        </w:rPr>
      </w:pPr>
      <w:r w:rsidRPr="00063403">
        <w:rPr>
          <w:rFonts w:ascii="Arial" w:hAnsi="Arial" w:cs="Arial"/>
          <w:b/>
          <w:bCs/>
          <w:u w:val="single"/>
        </w:rPr>
        <w:t>REFERENCIA PROCESO</w:t>
      </w:r>
      <w:r w:rsidR="00447CEA" w:rsidRPr="00063403">
        <w:rPr>
          <w:rFonts w:ascii="Arial" w:hAnsi="Arial" w:cs="Arial"/>
          <w:b/>
          <w:bCs/>
          <w:u w:val="single"/>
        </w:rPr>
        <w:t>:</w:t>
      </w:r>
      <w:r w:rsidR="00447CEA" w:rsidRPr="00063403">
        <w:rPr>
          <w:rFonts w:ascii="Arial" w:hAnsi="Arial" w:cs="Arial"/>
        </w:rPr>
        <w:t xml:space="preserve"> </w:t>
      </w:r>
      <w:r w:rsidR="008246CC" w:rsidRPr="00063403">
        <w:rPr>
          <w:rFonts w:ascii="Arial" w:hAnsi="Arial" w:cs="Arial"/>
          <w:b/>
          <w:bCs/>
        </w:rPr>
        <w:t>CASE</w:t>
      </w:r>
      <w:r w:rsidR="00447CEA" w:rsidRPr="00063403">
        <w:rPr>
          <w:rFonts w:ascii="Arial" w:hAnsi="Arial" w:cs="Arial"/>
        </w:rPr>
        <w:t xml:space="preserve">: </w:t>
      </w:r>
      <w:r w:rsidR="008246CC" w:rsidRPr="00063403">
        <w:rPr>
          <w:rFonts w:ascii="Arial" w:hAnsi="Arial" w:cs="Arial"/>
        </w:rPr>
        <w:t>112075</w:t>
      </w:r>
      <w:r w:rsidR="00553CE9">
        <w:rPr>
          <w:rFonts w:ascii="Arial" w:hAnsi="Arial" w:cs="Arial"/>
        </w:rPr>
        <w:t xml:space="preserve"> </w:t>
      </w:r>
      <w:r w:rsidR="00447CEA" w:rsidRPr="00063403">
        <w:rPr>
          <w:rFonts w:ascii="Arial" w:hAnsi="Arial" w:cs="Arial"/>
          <w:b/>
          <w:bCs/>
        </w:rPr>
        <w:t>Despacho Judicial</w:t>
      </w:r>
      <w:r w:rsidR="00447CEA" w:rsidRPr="00063403">
        <w:rPr>
          <w:rFonts w:ascii="Arial" w:hAnsi="Arial" w:cs="Arial"/>
        </w:rPr>
        <w:t xml:space="preserve">: 3 CIVIL DEL CIRCUITO </w:t>
      </w:r>
      <w:r w:rsidR="008246CC" w:rsidRPr="00063403">
        <w:rPr>
          <w:rFonts w:ascii="Arial" w:hAnsi="Arial" w:cs="Arial"/>
        </w:rPr>
        <w:t>DE TULUÁ</w:t>
      </w:r>
      <w:r w:rsidR="00447CEA" w:rsidRPr="00063403">
        <w:rPr>
          <w:rFonts w:ascii="Arial" w:hAnsi="Arial" w:cs="Arial"/>
        </w:rPr>
        <w:t xml:space="preserve"> </w:t>
      </w:r>
      <w:r w:rsidR="00447CEA" w:rsidRPr="00063403">
        <w:rPr>
          <w:rFonts w:ascii="Arial" w:hAnsi="Arial" w:cs="Arial"/>
          <w:b/>
          <w:bCs/>
        </w:rPr>
        <w:t>Radicado</w:t>
      </w:r>
      <w:r w:rsidR="00447CEA" w:rsidRPr="00063403">
        <w:rPr>
          <w:rFonts w:ascii="Arial" w:hAnsi="Arial" w:cs="Arial"/>
        </w:rPr>
        <w:t>: 202</w:t>
      </w:r>
      <w:r w:rsidR="008246CC" w:rsidRPr="00063403">
        <w:rPr>
          <w:rFonts w:ascii="Arial" w:hAnsi="Arial" w:cs="Arial"/>
        </w:rPr>
        <w:t>3</w:t>
      </w:r>
      <w:r w:rsidR="00447CEA" w:rsidRPr="00063403">
        <w:rPr>
          <w:rFonts w:ascii="Arial" w:hAnsi="Arial" w:cs="Arial"/>
        </w:rPr>
        <w:t>-00</w:t>
      </w:r>
      <w:r w:rsidR="008246CC" w:rsidRPr="00063403">
        <w:rPr>
          <w:rFonts w:ascii="Arial" w:hAnsi="Arial" w:cs="Arial"/>
        </w:rPr>
        <w:t>124</w:t>
      </w:r>
      <w:r w:rsidR="00553CE9">
        <w:rPr>
          <w:rFonts w:ascii="Arial" w:hAnsi="Arial" w:cs="Arial"/>
        </w:rPr>
        <w:t xml:space="preserve"> </w:t>
      </w:r>
      <w:r w:rsidR="00447CEA" w:rsidRPr="00063403">
        <w:rPr>
          <w:rFonts w:ascii="Arial" w:hAnsi="Arial" w:cs="Arial"/>
          <w:b/>
          <w:bCs/>
        </w:rPr>
        <w:t>Demandante</w:t>
      </w:r>
      <w:r w:rsidR="00447CEA" w:rsidRPr="00063403">
        <w:rPr>
          <w:rFonts w:ascii="Arial" w:hAnsi="Arial" w:cs="Arial"/>
        </w:rPr>
        <w:t xml:space="preserve">: </w:t>
      </w:r>
      <w:r w:rsidR="008246CC" w:rsidRPr="00063403">
        <w:rPr>
          <w:rFonts w:ascii="Arial" w:hAnsi="Arial" w:cs="Arial"/>
        </w:rPr>
        <w:t>MARINO ESPINOZA TABARES Y OTROS</w:t>
      </w:r>
      <w:r w:rsidR="00447CEA" w:rsidRPr="00063403">
        <w:rPr>
          <w:rFonts w:ascii="Arial" w:hAnsi="Arial" w:cs="Arial"/>
        </w:rPr>
        <w:t xml:space="preserve">. </w:t>
      </w:r>
      <w:r w:rsidR="00447CEA" w:rsidRPr="00063403">
        <w:rPr>
          <w:rFonts w:ascii="Arial" w:hAnsi="Arial" w:cs="Arial"/>
          <w:b/>
          <w:bCs/>
        </w:rPr>
        <w:t>Demandado</w:t>
      </w:r>
      <w:r w:rsidR="00447CEA" w:rsidRPr="00063403">
        <w:rPr>
          <w:rFonts w:ascii="Arial" w:hAnsi="Arial" w:cs="Arial"/>
        </w:rPr>
        <w:t xml:space="preserve">: </w:t>
      </w:r>
      <w:r w:rsidR="008246CC" w:rsidRPr="00063403">
        <w:rPr>
          <w:rFonts w:ascii="Arial" w:hAnsi="Arial" w:cs="Arial"/>
        </w:rPr>
        <w:t>SEGUROS GENERALES SURAMERICANA S.A. Y OTRO</w:t>
      </w:r>
      <w:r w:rsidR="001F6E57" w:rsidRPr="00063403">
        <w:rPr>
          <w:rFonts w:ascii="Arial" w:hAnsi="Arial" w:cs="Arial"/>
        </w:rPr>
        <w:t xml:space="preserve"> (en adelante, “</w:t>
      </w:r>
      <w:r w:rsidR="008246CC" w:rsidRPr="00063403">
        <w:rPr>
          <w:rFonts w:ascii="Arial" w:hAnsi="Arial" w:cs="Arial"/>
          <w:b/>
          <w:bCs/>
        </w:rPr>
        <w:t>SURA</w:t>
      </w:r>
      <w:r w:rsidR="001F6E57" w:rsidRPr="00063403">
        <w:rPr>
          <w:rFonts w:ascii="Arial" w:hAnsi="Arial" w:cs="Arial"/>
        </w:rPr>
        <w:t>”)</w:t>
      </w:r>
      <w:r w:rsidR="00447CEA" w:rsidRPr="00063403">
        <w:rPr>
          <w:rFonts w:ascii="Arial" w:hAnsi="Arial" w:cs="Arial"/>
        </w:rPr>
        <w:t>.</w:t>
      </w:r>
    </w:p>
    <w:p w14:paraId="580D8213" w14:textId="4FE286B8" w:rsidR="00447CEA" w:rsidRDefault="00447CEA">
      <w:pPr>
        <w:spacing w:after="0" w:line="360" w:lineRule="auto"/>
        <w:jc w:val="both"/>
        <w:rPr>
          <w:rFonts w:ascii="Arial" w:hAnsi="Arial" w:cs="Arial"/>
          <w:b/>
          <w:bCs/>
        </w:rPr>
      </w:pPr>
    </w:p>
    <w:p w14:paraId="40571E0E" w14:textId="432E2C68" w:rsidR="00553CE9" w:rsidRPr="001D0080" w:rsidRDefault="005763CD">
      <w:pPr>
        <w:spacing w:after="0" w:line="360" w:lineRule="auto"/>
        <w:jc w:val="both"/>
        <w:rPr>
          <w:rFonts w:ascii="Arial" w:hAnsi="Arial" w:cs="Arial"/>
        </w:rPr>
      </w:pPr>
      <w:r w:rsidRPr="001D0080">
        <w:rPr>
          <w:rFonts w:ascii="Arial" w:hAnsi="Arial" w:cs="Arial"/>
          <w:b/>
          <w:bCs/>
          <w:u w:val="single"/>
        </w:rPr>
        <w:t>PRUEBA DECRETADA</w:t>
      </w:r>
      <w:r>
        <w:rPr>
          <w:rFonts w:ascii="Arial" w:hAnsi="Arial" w:cs="Arial"/>
          <w:b/>
          <w:bCs/>
          <w:u w:val="single"/>
        </w:rPr>
        <w:t>:</w:t>
      </w:r>
      <w:r>
        <w:rPr>
          <w:rFonts w:ascii="Arial" w:hAnsi="Arial" w:cs="Arial"/>
        </w:rPr>
        <w:t xml:space="preserve"> </w:t>
      </w:r>
      <w:r w:rsidR="007A5C90">
        <w:rPr>
          <w:rFonts w:ascii="Arial" w:hAnsi="Arial" w:cs="Arial"/>
        </w:rPr>
        <w:t>Mediante auto emitido el día 4 de febrero de 2024,</w:t>
      </w:r>
      <w:r w:rsidR="009569E1">
        <w:rPr>
          <w:rFonts w:ascii="Arial" w:hAnsi="Arial" w:cs="Arial"/>
        </w:rPr>
        <w:t xml:space="preserve"> y notificado en estados el día 5 de marzo de la misma anualidad,</w:t>
      </w:r>
      <w:r w:rsidR="007A5C90">
        <w:rPr>
          <w:rFonts w:ascii="Arial" w:hAnsi="Arial" w:cs="Arial"/>
        </w:rPr>
        <w:t xml:space="preserve"> el Juzgado Tercero Civil del Circuito de Tuluá Valle ordenó a la compañía aseguradora aportar en el término de dos (2) meses contados a partir de la ejecutoria de la providencia, el dictamen pericial anunciado en la contestación de la demanda el cual consiste en demostrar de forma científica las </w:t>
      </w:r>
      <w:r w:rsidR="007A5C90" w:rsidRPr="001D0080">
        <w:rPr>
          <w:rFonts w:ascii="Arial" w:hAnsi="Arial" w:cs="Arial"/>
        </w:rPr>
        <w:t xml:space="preserve">circunstancias de tiempo, modo y lugar en que habrían ocurrido los hechos </w:t>
      </w:r>
      <w:r w:rsidR="007A5C90">
        <w:rPr>
          <w:rFonts w:ascii="Arial" w:hAnsi="Arial" w:cs="Arial"/>
        </w:rPr>
        <w:t xml:space="preserve">del accidente del </w:t>
      </w:r>
      <w:r w:rsidR="007A5C90" w:rsidRPr="001D0080">
        <w:rPr>
          <w:rFonts w:ascii="Arial" w:hAnsi="Arial" w:cs="Arial"/>
        </w:rPr>
        <w:t xml:space="preserve">1 de junio de 2022, analizar las versiones dadas por el demandante, analizar los documentos que fueron suministrados a </w:t>
      </w:r>
      <w:r w:rsidR="001D0080">
        <w:rPr>
          <w:rFonts w:ascii="Arial" w:hAnsi="Arial" w:cs="Arial"/>
        </w:rPr>
        <w:t>SURA</w:t>
      </w:r>
      <w:r w:rsidR="007A5C90" w:rsidRPr="001D0080">
        <w:rPr>
          <w:rFonts w:ascii="Arial" w:hAnsi="Arial" w:cs="Arial"/>
        </w:rPr>
        <w:t>, verificar el lugar de los hechos, corroborar los hitos temporales acaecidos el día de los hechos, realizando un análisis exhaustivo y detallado de las pruebas que obran en el expediente, para finalmente realizar un estudio de los factores que</w:t>
      </w:r>
      <w:r w:rsidR="007A5C90">
        <w:rPr>
          <w:rFonts w:ascii="Arial" w:hAnsi="Arial" w:cs="Arial"/>
        </w:rPr>
        <w:t xml:space="preserve"> </w:t>
      </w:r>
      <w:r w:rsidR="007A5C90" w:rsidRPr="001D0080">
        <w:rPr>
          <w:rFonts w:ascii="Arial" w:hAnsi="Arial" w:cs="Arial"/>
        </w:rPr>
        <w:t>determinen lo ocurrido el 1 de junio de 2022.</w:t>
      </w:r>
    </w:p>
    <w:p w14:paraId="12B8A018" w14:textId="77777777" w:rsidR="00553CE9" w:rsidRPr="00063403" w:rsidRDefault="00553CE9">
      <w:pPr>
        <w:spacing w:after="0" w:line="360" w:lineRule="auto"/>
        <w:jc w:val="both"/>
        <w:rPr>
          <w:rFonts w:ascii="Arial" w:hAnsi="Arial" w:cs="Arial"/>
          <w:b/>
          <w:bCs/>
        </w:rPr>
      </w:pPr>
    </w:p>
    <w:p w14:paraId="4E29606F" w14:textId="33337BBB" w:rsidR="001F6E57" w:rsidRPr="00063403" w:rsidRDefault="00CF728B">
      <w:pPr>
        <w:spacing w:after="0" w:line="360" w:lineRule="auto"/>
        <w:jc w:val="both"/>
        <w:rPr>
          <w:rFonts w:ascii="Arial" w:hAnsi="Arial" w:cs="Arial"/>
        </w:rPr>
      </w:pPr>
      <w:r w:rsidRPr="00063403">
        <w:rPr>
          <w:rFonts w:ascii="Arial" w:hAnsi="Arial" w:cs="Arial"/>
          <w:b/>
          <w:bCs/>
          <w:u w:val="single"/>
        </w:rPr>
        <w:t>CONCEPTO</w:t>
      </w:r>
      <w:r w:rsidR="00592BC4">
        <w:rPr>
          <w:rFonts w:ascii="Arial" w:hAnsi="Arial" w:cs="Arial"/>
          <w:b/>
          <w:bCs/>
          <w:u w:val="single"/>
        </w:rPr>
        <w:t xml:space="preserve"> O ANÁLISIS VIABILIDAD OBTENCIÓN DICTAMEN PERICIAL</w:t>
      </w:r>
      <w:r w:rsidRPr="00063403">
        <w:rPr>
          <w:rFonts w:ascii="Arial" w:hAnsi="Arial" w:cs="Arial"/>
          <w:b/>
          <w:bCs/>
          <w:u w:val="single"/>
        </w:rPr>
        <w:t>:</w:t>
      </w:r>
      <w:r w:rsidR="00822536" w:rsidRPr="00063403">
        <w:rPr>
          <w:rFonts w:ascii="Arial" w:hAnsi="Arial" w:cs="Arial"/>
        </w:rPr>
        <w:t xml:space="preserve"> No </w:t>
      </w:r>
      <w:r w:rsidR="00C05AA7">
        <w:rPr>
          <w:rFonts w:ascii="Arial" w:hAnsi="Arial" w:cs="Arial"/>
        </w:rPr>
        <w:t>resulta pertinente aportar el dictamen pericial</w:t>
      </w:r>
      <w:r w:rsidR="00822536" w:rsidRPr="00063403">
        <w:rPr>
          <w:rFonts w:ascii="Arial" w:hAnsi="Arial" w:cs="Arial"/>
        </w:rPr>
        <w:t xml:space="preserve">, </w:t>
      </w:r>
      <w:r w:rsidR="00057CD0">
        <w:rPr>
          <w:rFonts w:ascii="Arial" w:hAnsi="Arial" w:cs="Arial"/>
        </w:rPr>
        <w:t>toda vez que</w:t>
      </w:r>
      <w:r w:rsidR="00822536" w:rsidRPr="00063403">
        <w:rPr>
          <w:rFonts w:ascii="Arial" w:hAnsi="Arial" w:cs="Arial"/>
        </w:rPr>
        <w:t xml:space="preserve"> la</w:t>
      </w:r>
      <w:r w:rsidR="00C05AA7">
        <w:rPr>
          <w:rFonts w:ascii="Arial" w:hAnsi="Arial" w:cs="Arial"/>
        </w:rPr>
        <w:t xml:space="preserve"> liquidación objetiva es menor al deducible pactado, haciendo que este último </w:t>
      </w:r>
      <w:r w:rsidR="008D76F8">
        <w:rPr>
          <w:rFonts w:ascii="Arial" w:hAnsi="Arial" w:cs="Arial"/>
        </w:rPr>
        <w:t xml:space="preserve">subsuma el valor reconocido </w:t>
      </w:r>
      <w:r w:rsidR="00C05AA7">
        <w:rPr>
          <w:rFonts w:ascii="Arial" w:hAnsi="Arial" w:cs="Arial"/>
        </w:rPr>
        <w:t>en caso de una hipotética condena como se señala a continuación</w:t>
      </w:r>
      <w:r w:rsidR="00822536" w:rsidRPr="00063403">
        <w:rPr>
          <w:rFonts w:ascii="Arial" w:hAnsi="Arial" w:cs="Arial"/>
        </w:rPr>
        <w:t>:</w:t>
      </w:r>
    </w:p>
    <w:p w14:paraId="2465727E" w14:textId="77777777" w:rsidR="001F6E57" w:rsidRPr="00063403" w:rsidRDefault="001F6E57">
      <w:pPr>
        <w:spacing w:after="0" w:line="360" w:lineRule="auto"/>
        <w:rPr>
          <w:rFonts w:ascii="Arial" w:hAnsi="Arial" w:cs="Arial"/>
          <w:b/>
          <w:bCs/>
          <w:u w:val="single"/>
        </w:rPr>
      </w:pPr>
    </w:p>
    <w:p w14:paraId="62E62264" w14:textId="02D3F2B6" w:rsidR="001F6E57" w:rsidRDefault="00FD14A0">
      <w:pPr>
        <w:pStyle w:val="Prrafodelista"/>
        <w:numPr>
          <w:ilvl w:val="0"/>
          <w:numId w:val="2"/>
        </w:numPr>
        <w:spacing w:after="0" w:line="360" w:lineRule="auto"/>
        <w:jc w:val="both"/>
        <w:rPr>
          <w:rFonts w:ascii="Arial" w:hAnsi="Arial" w:cs="Arial"/>
        </w:rPr>
      </w:pPr>
      <w:r w:rsidRPr="00063403">
        <w:rPr>
          <w:rFonts w:ascii="Arial" w:hAnsi="Arial" w:cs="Arial"/>
        </w:rPr>
        <w:t>L</w:t>
      </w:r>
      <w:r w:rsidR="006F5981" w:rsidRPr="00063403">
        <w:rPr>
          <w:rFonts w:ascii="Arial" w:hAnsi="Arial" w:cs="Arial"/>
        </w:rPr>
        <w:t>a póliza vinculada</w:t>
      </w:r>
      <w:r w:rsidRPr="00063403">
        <w:rPr>
          <w:rFonts w:ascii="Arial" w:hAnsi="Arial" w:cs="Arial"/>
        </w:rPr>
        <w:t xml:space="preserve"> No. 013000134588</w:t>
      </w:r>
      <w:r w:rsidR="006F5981" w:rsidRPr="00063403">
        <w:rPr>
          <w:rFonts w:ascii="Arial" w:hAnsi="Arial" w:cs="Arial"/>
        </w:rPr>
        <w:t xml:space="preserve">, tanto en la demanda directa como en el llamamiento en garantía, </w:t>
      </w:r>
      <w:r w:rsidRPr="00063403">
        <w:rPr>
          <w:rFonts w:ascii="Arial" w:hAnsi="Arial" w:cs="Arial"/>
        </w:rPr>
        <w:t>ampara la responsabilidad civil extracontractual</w:t>
      </w:r>
      <w:r w:rsidR="001F6E57" w:rsidRPr="00063403">
        <w:rPr>
          <w:rFonts w:ascii="Arial" w:hAnsi="Arial" w:cs="Arial"/>
        </w:rPr>
        <w:t xml:space="preserve"> </w:t>
      </w:r>
      <w:r w:rsidR="000416E4" w:rsidRPr="00063403">
        <w:rPr>
          <w:rFonts w:ascii="Arial" w:hAnsi="Arial" w:cs="Arial"/>
        </w:rPr>
        <w:t>por un valor de $50.000 USD.</w:t>
      </w:r>
    </w:p>
    <w:p w14:paraId="705A90A9" w14:textId="77777777" w:rsidR="00BF362F" w:rsidRPr="00063403" w:rsidRDefault="00BF362F">
      <w:pPr>
        <w:pStyle w:val="Prrafodelista"/>
        <w:spacing w:after="0" w:line="360" w:lineRule="auto"/>
        <w:jc w:val="both"/>
        <w:rPr>
          <w:rFonts w:ascii="Arial" w:hAnsi="Arial" w:cs="Arial"/>
        </w:rPr>
      </w:pPr>
    </w:p>
    <w:p w14:paraId="3B6CEA5F" w14:textId="482623E1" w:rsidR="00BF362F" w:rsidRDefault="001F6E57">
      <w:pPr>
        <w:pStyle w:val="Prrafodelista"/>
        <w:numPr>
          <w:ilvl w:val="0"/>
          <w:numId w:val="2"/>
        </w:numPr>
        <w:spacing w:after="0" w:line="360" w:lineRule="auto"/>
        <w:jc w:val="both"/>
        <w:rPr>
          <w:rFonts w:ascii="Arial" w:hAnsi="Arial" w:cs="Arial"/>
        </w:rPr>
      </w:pPr>
      <w:r w:rsidRPr="00063403">
        <w:rPr>
          <w:rFonts w:ascii="Arial" w:hAnsi="Arial" w:cs="Arial"/>
        </w:rPr>
        <w:lastRenderedPageBreak/>
        <w:t>La liquidación objetiva de las pretensiones en el informe inicial parte de un reconocimiento</w:t>
      </w:r>
      <w:r w:rsidR="00CE2355">
        <w:rPr>
          <w:rFonts w:ascii="Arial" w:hAnsi="Arial" w:cs="Arial"/>
        </w:rPr>
        <w:t xml:space="preserve"> eventual</w:t>
      </w:r>
      <w:r w:rsidRPr="00063403">
        <w:rPr>
          <w:rFonts w:ascii="Arial" w:hAnsi="Arial" w:cs="Arial"/>
        </w:rPr>
        <w:t xml:space="preserve"> de $</w:t>
      </w:r>
      <w:r w:rsidR="000416E4" w:rsidRPr="00063403">
        <w:rPr>
          <w:rFonts w:ascii="Arial" w:hAnsi="Arial" w:cs="Arial"/>
        </w:rPr>
        <w:t>111.000.000, el cual, en caso de una hipotética condena, se vería subsumido por el deducible de $30.000 USD, equivalente a $117.000.000.</w:t>
      </w:r>
    </w:p>
    <w:p w14:paraId="20803FC5" w14:textId="77777777" w:rsidR="004C1BFC" w:rsidRPr="001D0080" w:rsidRDefault="004C1BFC" w:rsidP="001D0080">
      <w:pPr>
        <w:pStyle w:val="Prrafodelista"/>
        <w:spacing w:after="0" w:line="360" w:lineRule="auto"/>
        <w:rPr>
          <w:rFonts w:ascii="Arial" w:hAnsi="Arial" w:cs="Arial"/>
        </w:rPr>
      </w:pPr>
    </w:p>
    <w:p w14:paraId="1EAAE48C" w14:textId="5776E010" w:rsidR="00BF362F" w:rsidRPr="004C1BFC" w:rsidRDefault="008D76F8" w:rsidP="001D0080">
      <w:pPr>
        <w:pStyle w:val="Prrafodelista"/>
        <w:numPr>
          <w:ilvl w:val="0"/>
          <w:numId w:val="2"/>
        </w:numPr>
        <w:spacing w:after="0" w:line="360" w:lineRule="auto"/>
        <w:jc w:val="both"/>
        <w:rPr>
          <w:rFonts w:ascii="Arial" w:hAnsi="Arial" w:cs="Arial"/>
        </w:rPr>
      </w:pPr>
      <w:r w:rsidRPr="004C1BFC">
        <w:rPr>
          <w:rFonts w:ascii="Arial" w:hAnsi="Arial" w:cs="Arial"/>
        </w:rPr>
        <w:t xml:space="preserve">Ahora bien, la parte demandante no descorrió el traslado de las excepciones de mérito motivo por el cual no existen elementos probatorios distintos a los inicialmente considerados que permitan inferir una posible variación en la liquidación realizada. </w:t>
      </w:r>
    </w:p>
    <w:p w14:paraId="102E70AF" w14:textId="19BF807F" w:rsidR="00E43BA2" w:rsidRPr="004C1BFC" w:rsidRDefault="00E43BA2">
      <w:pPr>
        <w:pStyle w:val="Prrafodelista"/>
        <w:spacing w:after="0" w:line="360" w:lineRule="auto"/>
        <w:jc w:val="both"/>
        <w:rPr>
          <w:rFonts w:ascii="Arial" w:hAnsi="Arial" w:cs="Arial"/>
        </w:rPr>
      </w:pPr>
    </w:p>
    <w:p w14:paraId="51D88F21" w14:textId="0B7F9870" w:rsidR="006920C0" w:rsidRDefault="00BF362F">
      <w:pPr>
        <w:pStyle w:val="Prrafodelista"/>
        <w:numPr>
          <w:ilvl w:val="0"/>
          <w:numId w:val="2"/>
        </w:numPr>
        <w:spacing w:after="0" w:line="360" w:lineRule="auto"/>
        <w:jc w:val="both"/>
        <w:rPr>
          <w:rFonts w:ascii="Arial" w:hAnsi="Arial" w:cs="Arial"/>
        </w:rPr>
      </w:pPr>
      <w:r>
        <w:rPr>
          <w:rFonts w:ascii="Arial" w:hAnsi="Arial" w:cs="Arial"/>
        </w:rPr>
        <w:t xml:space="preserve">Sin perjuicio de lo anterior, es necesario aclarar que la liquidación objetiva y la calificación de la contingencia pueden </w:t>
      </w:r>
      <w:r w:rsidR="00CE2355">
        <w:rPr>
          <w:rFonts w:ascii="Arial" w:hAnsi="Arial" w:cs="Arial"/>
        </w:rPr>
        <w:t xml:space="preserve">eventualmente </w:t>
      </w:r>
      <w:r>
        <w:rPr>
          <w:rFonts w:ascii="Arial" w:hAnsi="Arial" w:cs="Arial"/>
        </w:rPr>
        <w:t>variar en un escenario posterior dependiendo del debate probatorio que se surta, no obstante, hasta el momento no existen motivos que justifiquen realizar el dictamen pericial solicitado el cual tiene por fin determinar las circunstancias en las que ocurrieron los hechos</w:t>
      </w:r>
      <w:r w:rsidR="006920C0" w:rsidRPr="00063403">
        <w:rPr>
          <w:rFonts w:ascii="Arial" w:hAnsi="Arial" w:cs="Arial"/>
        </w:rPr>
        <w:t>.</w:t>
      </w:r>
    </w:p>
    <w:p w14:paraId="3907B4EA" w14:textId="4CFB706C" w:rsidR="0030506F" w:rsidRDefault="0030506F" w:rsidP="001D0080">
      <w:pPr>
        <w:spacing w:after="0" w:line="360" w:lineRule="auto"/>
        <w:jc w:val="both"/>
        <w:rPr>
          <w:rFonts w:ascii="Arial" w:hAnsi="Arial" w:cs="Arial"/>
        </w:rPr>
      </w:pPr>
    </w:p>
    <w:p w14:paraId="6514AB0F" w14:textId="4545889C" w:rsidR="0030506F" w:rsidRPr="001D0080" w:rsidRDefault="0030506F" w:rsidP="001D0080">
      <w:pPr>
        <w:spacing w:after="0" w:line="360" w:lineRule="auto"/>
        <w:jc w:val="both"/>
        <w:rPr>
          <w:rFonts w:ascii="Arial" w:hAnsi="Arial" w:cs="Arial"/>
        </w:rPr>
      </w:pPr>
      <w:r>
        <w:rPr>
          <w:rFonts w:ascii="Arial" w:hAnsi="Arial" w:cs="Arial"/>
        </w:rPr>
        <w:t xml:space="preserve">Por lo anterior, se concluye que, ante la posibilidad de que, al menos por el momento, el monto de una eventual condena sea subsumido por el deducible que debe asumirse por el tomador de la póliza, no sería necesaria la obtención de un dictamen pericial conforme fue </w:t>
      </w:r>
      <w:proofErr w:type="gramStart"/>
      <w:r>
        <w:rPr>
          <w:rFonts w:ascii="Arial" w:hAnsi="Arial" w:cs="Arial"/>
        </w:rPr>
        <w:t>decretado</w:t>
      </w:r>
      <w:proofErr w:type="gramEnd"/>
      <w:r>
        <w:rPr>
          <w:rFonts w:ascii="Arial" w:hAnsi="Arial" w:cs="Arial"/>
        </w:rPr>
        <w:t xml:space="preserve"> por el Despacho, toda vez que este se constituiría como un gasto innecesario. Lo anterior luego que, se reitera, por el momento no existen elementos probatorios que evidencien una exposición económica por parte de </w:t>
      </w:r>
      <w:r w:rsidR="00E43A5C">
        <w:rPr>
          <w:rFonts w:ascii="Arial" w:hAnsi="Arial" w:cs="Arial"/>
        </w:rPr>
        <w:t xml:space="preserve">la Compañía y que hagan menester la recaudación de dicha prueba. </w:t>
      </w:r>
    </w:p>
    <w:p w14:paraId="0F6B8514" w14:textId="77777777" w:rsidR="006920C0" w:rsidRPr="00063403" w:rsidRDefault="006920C0">
      <w:pPr>
        <w:pStyle w:val="Prrafodelista"/>
        <w:spacing w:after="0" w:line="360" w:lineRule="auto"/>
        <w:jc w:val="both"/>
        <w:rPr>
          <w:rFonts w:ascii="Arial" w:hAnsi="Arial" w:cs="Arial"/>
        </w:rPr>
      </w:pPr>
    </w:p>
    <w:p w14:paraId="57884959" w14:textId="6930D464" w:rsidR="00CF728B" w:rsidRPr="001D0080" w:rsidRDefault="00CE2355" w:rsidP="001D0080">
      <w:pPr>
        <w:spacing w:after="0" w:line="360" w:lineRule="auto"/>
        <w:jc w:val="both"/>
        <w:rPr>
          <w:rFonts w:ascii="Arial" w:hAnsi="Arial" w:cs="Arial"/>
        </w:rPr>
      </w:pPr>
      <w:r>
        <w:rPr>
          <w:rFonts w:ascii="Arial" w:hAnsi="Arial" w:cs="Arial"/>
          <w:b/>
          <w:bCs/>
          <w:u w:val="single"/>
        </w:rPr>
        <w:t>Se recuer</w:t>
      </w:r>
      <w:r w:rsidR="0065697C">
        <w:rPr>
          <w:rFonts w:ascii="Arial" w:hAnsi="Arial" w:cs="Arial"/>
          <w:b/>
          <w:bCs/>
          <w:u w:val="single"/>
        </w:rPr>
        <w:t>d</w:t>
      </w:r>
      <w:r>
        <w:rPr>
          <w:rFonts w:ascii="Arial" w:hAnsi="Arial" w:cs="Arial"/>
          <w:b/>
          <w:bCs/>
          <w:u w:val="single"/>
        </w:rPr>
        <w:t>a que p</w:t>
      </w:r>
      <w:r w:rsidR="00CF728B" w:rsidRPr="001D0080">
        <w:rPr>
          <w:rFonts w:ascii="Arial" w:hAnsi="Arial" w:cs="Arial"/>
          <w:b/>
          <w:bCs/>
          <w:u w:val="single"/>
        </w:rPr>
        <w:t xml:space="preserve">ara </w:t>
      </w:r>
      <w:r>
        <w:rPr>
          <w:rFonts w:ascii="Arial" w:hAnsi="Arial" w:cs="Arial"/>
          <w:b/>
          <w:bCs/>
          <w:u w:val="single"/>
        </w:rPr>
        <w:t>el análisis de la liquidación objetiva</w:t>
      </w:r>
      <w:r w:rsidR="00CF728B" w:rsidRPr="001D0080">
        <w:rPr>
          <w:rFonts w:ascii="Arial" w:hAnsi="Arial" w:cs="Arial"/>
          <w:b/>
          <w:bCs/>
          <w:u w:val="single"/>
        </w:rPr>
        <w:t xml:space="preserve"> se tuvo en cuenta lo siguiente</w:t>
      </w:r>
      <w:r>
        <w:rPr>
          <w:rFonts w:ascii="Arial" w:hAnsi="Arial" w:cs="Arial"/>
        </w:rPr>
        <w:t>:</w:t>
      </w:r>
    </w:p>
    <w:p w14:paraId="64B593A4" w14:textId="77777777" w:rsidR="00476425" w:rsidRDefault="00476425">
      <w:pPr>
        <w:pStyle w:val="Default"/>
        <w:spacing w:line="360" w:lineRule="auto"/>
        <w:rPr>
          <w:b/>
          <w:bCs/>
          <w:sz w:val="22"/>
          <w:szCs w:val="22"/>
          <w:u w:val="single"/>
        </w:rPr>
      </w:pPr>
    </w:p>
    <w:p w14:paraId="74CF5A37" w14:textId="6731755B" w:rsidR="006920C0" w:rsidRPr="00063403" w:rsidRDefault="00CF728B">
      <w:pPr>
        <w:pStyle w:val="Default"/>
        <w:spacing w:line="360" w:lineRule="auto"/>
        <w:jc w:val="both"/>
        <w:rPr>
          <w:iCs/>
          <w:sz w:val="22"/>
          <w:szCs w:val="22"/>
        </w:rPr>
      </w:pPr>
      <w:r w:rsidRPr="004C1BFC">
        <w:rPr>
          <w:b/>
          <w:bCs/>
          <w:sz w:val="22"/>
          <w:szCs w:val="22"/>
          <w:u w:val="single"/>
        </w:rPr>
        <w:t>Hechos</w:t>
      </w:r>
      <w:r w:rsidRPr="004C1BFC">
        <w:rPr>
          <w:sz w:val="22"/>
          <w:szCs w:val="22"/>
          <w:u w:val="single"/>
        </w:rPr>
        <w:t>:</w:t>
      </w:r>
      <w:r w:rsidRPr="004C1BFC">
        <w:rPr>
          <w:sz w:val="22"/>
          <w:szCs w:val="22"/>
        </w:rPr>
        <w:t> </w:t>
      </w:r>
      <w:r w:rsidR="006920C0" w:rsidRPr="00063403">
        <w:rPr>
          <w:sz w:val="22"/>
          <w:szCs w:val="22"/>
        </w:rPr>
        <w:t xml:space="preserve">El 1 de junio de 2022 el señor </w:t>
      </w:r>
      <w:r w:rsidR="006920C0" w:rsidRPr="00063403">
        <w:rPr>
          <w:iCs/>
          <w:sz w:val="22"/>
          <w:szCs w:val="22"/>
        </w:rPr>
        <w:t xml:space="preserve">Marino Espinosa Tabares estaba tomando medidas para la construcción de un muro en el tercer piso de un inmueble ubicado en Tuluá, Valle. </w:t>
      </w:r>
      <w:r w:rsidR="006920C0" w:rsidRPr="00063403">
        <w:rPr>
          <w:sz w:val="22"/>
          <w:szCs w:val="22"/>
        </w:rPr>
        <w:t xml:space="preserve"> Al momento de tomar una escuadra de aluminio del piso, se generó un arco magnético sobre las líneas de media tensión que se encuentran cerca de la fachada de la edificación que alcanzó al señor </w:t>
      </w:r>
      <w:r w:rsidR="006920C0" w:rsidRPr="00063403">
        <w:rPr>
          <w:iCs/>
          <w:sz w:val="22"/>
          <w:szCs w:val="22"/>
        </w:rPr>
        <w:t>Marino Espinosa Tabares, causándole múltiples quemaduras en sus piernas y genitales.</w:t>
      </w:r>
    </w:p>
    <w:p w14:paraId="51C4DE80" w14:textId="77777777" w:rsidR="006920C0" w:rsidRPr="00063403" w:rsidRDefault="006920C0">
      <w:pPr>
        <w:pStyle w:val="Default"/>
        <w:spacing w:line="360" w:lineRule="auto"/>
        <w:rPr>
          <w:iCs/>
          <w:sz w:val="22"/>
          <w:szCs w:val="22"/>
        </w:rPr>
      </w:pPr>
    </w:p>
    <w:p w14:paraId="59541E8E" w14:textId="3B17FC6D" w:rsidR="006920C0" w:rsidRPr="00063403" w:rsidRDefault="006920C0">
      <w:pPr>
        <w:pStyle w:val="Default"/>
        <w:spacing w:line="360" w:lineRule="auto"/>
        <w:jc w:val="both"/>
        <w:rPr>
          <w:iCs/>
          <w:sz w:val="22"/>
          <w:szCs w:val="22"/>
        </w:rPr>
      </w:pPr>
      <w:r w:rsidRPr="00063403">
        <w:rPr>
          <w:iCs/>
          <w:sz w:val="22"/>
          <w:szCs w:val="22"/>
        </w:rPr>
        <w:t xml:space="preserve">El señor Marino Espinosa Tabares es trasladado al hospital Tomas Uribe </w:t>
      </w:r>
      <w:proofErr w:type="spellStart"/>
      <w:r w:rsidRPr="00063403">
        <w:rPr>
          <w:iCs/>
          <w:sz w:val="22"/>
          <w:szCs w:val="22"/>
        </w:rPr>
        <w:t>Uribe</w:t>
      </w:r>
      <w:proofErr w:type="spellEnd"/>
      <w:r w:rsidRPr="00063403">
        <w:rPr>
          <w:iCs/>
          <w:sz w:val="22"/>
          <w:szCs w:val="22"/>
        </w:rPr>
        <w:t xml:space="preserve"> y después al Hospital Universitario de Cali. </w:t>
      </w:r>
      <w:r w:rsidR="00C11F7F">
        <w:rPr>
          <w:iCs/>
          <w:sz w:val="22"/>
          <w:szCs w:val="22"/>
        </w:rPr>
        <w:t xml:space="preserve"> </w:t>
      </w:r>
      <w:r w:rsidRPr="00063403">
        <w:rPr>
          <w:iCs/>
          <w:sz w:val="22"/>
          <w:szCs w:val="22"/>
        </w:rPr>
        <w:t xml:space="preserve">Después del evento, el señor Marino Espinosa Tabares </w:t>
      </w:r>
      <w:r w:rsidRPr="00063403">
        <w:rPr>
          <w:iCs/>
          <w:sz w:val="22"/>
          <w:szCs w:val="22"/>
        </w:rPr>
        <w:lastRenderedPageBreak/>
        <w:t>debe asistir a múltiples citas médicas, pues sus órganos quedaron afectados, ha tenido problemas psicológicos porque su actividad sexual se vio alterada y no ha retomado sus labores, afectando sus ingresos económicos.</w:t>
      </w:r>
    </w:p>
    <w:p w14:paraId="0B251331" w14:textId="77777777" w:rsidR="006920C0" w:rsidRPr="00063403" w:rsidRDefault="006920C0">
      <w:pPr>
        <w:pStyle w:val="Default"/>
        <w:spacing w:line="360" w:lineRule="auto"/>
        <w:jc w:val="both"/>
        <w:rPr>
          <w:iCs/>
          <w:sz w:val="22"/>
          <w:szCs w:val="22"/>
        </w:rPr>
      </w:pPr>
    </w:p>
    <w:p w14:paraId="3C57B890" w14:textId="6A52F52F" w:rsidR="006920C0" w:rsidRPr="00063403" w:rsidRDefault="006920C0">
      <w:pPr>
        <w:pStyle w:val="Default"/>
        <w:spacing w:line="360" w:lineRule="auto"/>
        <w:jc w:val="both"/>
        <w:rPr>
          <w:bCs/>
          <w:sz w:val="22"/>
          <w:szCs w:val="22"/>
        </w:rPr>
      </w:pPr>
      <w:r w:rsidRPr="00063403">
        <w:rPr>
          <w:iCs/>
          <w:sz w:val="22"/>
          <w:szCs w:val="22"/>
        </w:rPr>
        <w:t xml:space="preserve">Los hechos son responsabilidad de </w:t>
      </w:r>
      <w:r w:rsidRPr="00063403">
        <w:rPr>
          <w:bCs/>
          <w:sz w:val="22"/>
          <w:szCs w:val="22"/>
        </w:rPr>
        <w:t>Celsia Colombia S.A. E.S.P. pues la red de energía pública no cumple con la distancia reglamentaria de 3 metros respecto de la fachada del inmueble, sino que está a menos de 2 metros. En varias ocasiones, el propietario de la casa solicitó por escrito a Celsia Colombia S.A. E.S.P. que corrieran los cables de tensión, pero nunca atendieron positivamente su requerimiento.</w:t>
      </w:r>
    </w:p>
    <w:p w14:paraId="0C504E9F" w14:textId="77777777" w:rsidR="006920C0" w:rsidRPr="00063403" w:rsidRDefault="006920C0">
      <w:pPr>
        <w:pStyle w:val="Default"/>
        <w:spacing w:line="360" w:lineRule="auto"/>
        <w:jc w:val="both"/>
        <w:rPr>
          <w:bCs/>
          <w:sz w:val="22"/>
          <w:szCs w:val="22"/>
        </w:rPr>
      </w:pPr>
    </w:p>
    <w:p w14:paraId="7FE4E939" w14:textId="77777777" w:rsidR="006920C0" w:rsidRPr="00063403" w:rsidRDefault="006920C0">
      <w:pPr>
        <w:pStyle w:val="Default"/>
        <w:spacing w:line="360" w:lineRule="auto"/>
        <w:jc w:val="both"/>
        <w:rPr>
          <w:iCs/>
          <w:sz w:val="22"/>
          <w:szCs w:val="22"/>
        </w:rPr>
      </w:pPr>
      <w:r w:rsidRPr="00063403">
        <w:rPr>
          <w:bCs/>
          <w:sz w:val="22"/>
          <w:szCs w:val="22"/>
        </w:rPr>
        <w:t xml:space="preserve">Finalmente, el inmueble donde ocurrieron los hechos cuenta con todos los permisos de curaduría para la construcción de los pisos.      </w:t>
      </w:r>
      <w:r w:rsidRPr="00063403">
        <w:rPr>
          <w:iCs/>
          <w:sz w:val="22"/>
          <w:szCs w:val="22"/>
        </w:rPr>
        <w:t xml:space="preserve"> </w:t>
      </w:r>
    </w:p>
    <w:p w14:paraId="2272C8A8" w14:textId="0BD42A25" w:rsidR="00CF728B" w:rsidRPr="00063403" w:rsidRDefault="00CF728B">
      <w:pPr>
        <w:spacing w:after="0" w:line="360" w:lineRule="auto"/>
        <w:jc w:val="both"/>
        <w:rPr>
          <w:rFonts w:ascii="Arial" w:hAnsi="Arial" w:cs="Arial"/>
        </w:rPr>
      </w:pPr>
    </w:p>
    <w:p w14:paraId="28888909" w14:textId="032E7F7D" w:rsidR="00CF728B" w:rsidRDefault="00CF728B">
      <w:pPr>
        <w:spacing w:after="0" w:line="360" w:lineRule="auto"/>
        <w:jc w:val="both"/>
        <w:rPr>
          <w:rFonts w:ascii="Arial" w:hAnsi="Arial" w:cs="Arial"/>
        </w:rPr>
      </w:pPr>
      <w:r w:rsidRPr="00063403">
        <w:rPr>
          <w:rFonts w:ascii="Arial" w:hAnsi="Arial" w:cs="Arial"/>
          <w:b/>
          <w:bCs/>
          <w:u w:val="single"/>
        </w:rPr>
        <w:t>Liquidación objetiva pretensiones:</w:t>
      </w:r>
      <w:r w:rsidRPr="00063403">
        <w:rPr>
          <w:rFonts w:ascii="Arial" w:hAnsi="Arial" w:cs="Arial"/>
        </w:rPr>
        <w:t xml:space="preserve"> $</w:t>
      </w:r>
      <w:r w:rsidR="006920C0" w:rsidRPr="00063403">
        <w:rPr>
          <w:rFonts w:ascii="Arial" w:hAnsi="Arial" w:cs="Arial"/>
        </w:rPr>
        <w:t>111.000.000</w:t>
      </w:r>
    </w:p>
    <w:p w14:paraId="29DD8FCA" w14:textId="77777777" w:rsidR="0065697C" w:rsidRDefault="0065697C">
      <w:pPr>
        <w:spacing w:after="0" w:line="360" w:lineRule="auto"/>
        <w:jc w:val="both"/>
        <w:rPr>
          <w:rFonts w:ascii="Arial" w:hAnsi="Arial" w:cs="Arial"/>
        </w:rPr>
      </w:pPr>
    </w:p>
    <w:p w14:paraId="401BA562" w14:textId="6B98446B" w:rsidR="00BF362F" w:rsidRDefault="00BF362F" w:rsidP="001D0080">
      <w:pPr>
        <w:pStyle w:val="Sangra2detindependiente"/>
        <w:numPr>
          <w:ilvl w:val="0"/>
          <w:numId w:val="5"/>
        </w:numPr>
        <w:spacing w:after="0" w:line="360" w:lineRule="auto"/>
        <w:jc w:val="both"/>
        <w:rPr>
          <w:rFonts w:ascii="Arial" w:hAnsi="Arial" w:cs="Arial"/>
          <w:noProof/>
          <w:sz w:val="22"/>
          <w:szCs w:val="22"/>
          <w:lang w:val="es-CO"/>
        </w:rPr>
      </w:pPr>
      <w:r w:rsidRPr="0073444B">
        <w:rPr>
          <w:rFonts w:ascii="Arial" w:hAnsi="Arial" w:cs="Arial"/>
          <w:b/>
          <w:noProof/>
          <w:sz w:val="22"/>
          <w:szCs w:val="22"/>
          <w:u w:val="single"/>
          <w:lang w:val="es-CO"/>
        </w:rPr>
        <w:t>Daño moral</w:t>
      </w:r>
      <w:r w:rsidRPr="0073444B">
        <w:rPr>
          <w:rFonts w:ascii="Arial" w:hAnsi="Arial" w:cs="Arial"/>
          <w:b/>
          <w:noProof/>
          <w:sz w:val="22"/>
          <w:szCs w:val="22"/>
          <w:lang w:val="es-CO"/>
        </w:rPr>
        <w:t>:</w:t>
      </w:r>
      <w:r>
        <w:rPr>
          <w:rFonts w:ascii="Arial" w:hAnsi="Arial" w:cs="Arial"/>
          <w:noProof/>
          <w:sz w:val="22"/>
          <w:szCs w:val="22"/>
          <w:lang w:val="es-CO"/>
        </w:rPr>
        <w:t xml:space="preserve"> </w:t>
      </w:r>
      <w:r w:rsidRPr="0073444B">
        <w:rPr>
          <w:rFonts w:ascii="Arial" w:hAnsi="Arial" w:cs="Arial"/>
          <w:noProof/>
          <w:sz w:val="22"/>
          <w:szCs w:val="22"/>
          <w:lang w:val="es-CO"/>
        </w:rPr>
        <w:t>se reconoce la su</w:t>
      </w:r>
      <w:r>
        <w:rPr>
          <w:rFonts w:ascii="Arial" w:hAnsi="Arial" w:cs="Arial"/>
          <w:noProof/>
          <w:sz w:val="22"/>
          <w:szCs w:val="22"/>
          <w:lang w:val="es-CO"/>
        </w:rPr>
        <w:t xml:space="preserve">ma total de </w:t>
      </w:r>
      <w:r>
        <w:rPr>
          <w:rFonts w:ascii="Arial" w:hAnsi="Arial" w:cs="Arial"/>
          <w:b/>
          <w:noProof/>
          <w:sz w:val="22"/>
          <w:szCs w:val="22"/>
          <w:lang w:val="es-CO"/>
        </w:rPr>
        <w:t>$ 91</w:t>
      </w:r>
      <w:r w:rsidRPr="002B69D9">
        <w:rPr>
          <w:rFonts w:ascii="Arial" w:hAnsi="Arial" w:cs="Arial"/>
          <w:b/>
          <w:noProof/>
          <w:sz w:val="22"/>
          <w:szCs w:val="22"/>
          <w:lang w:val="es-CO"/>
        </w:rPr>
        <w:t>.000.000</w:t>
      </w:r>
      <w:r w:rsidRPr="002B69D9">
        <w:rPr>
          <w:rFonts w:ascii="Arial" w:hAnsi="Arial" w:cs="Arial"/>
          <w:noProof/>
          <w:sz w:val="22"/>
          <w:szCs w:val="22"/>
          <w:lang w:val="es-CO"/>
        </w:rPr>
        <w:t>.</w:t>
      </w:r>
      <w:r>
        <w:rPr>
          <w:rFonts w:ascii="Arial" w:hAnsi="Arial" w:cs="Arial"/>
          <w:noProof/>
          <w:sz w:val="22"/>
          <w:szCs w:val="22"/>
          <w:lang w:val="es-CO"/>
        </w:rPr>
        <w:t xml:space="preserve"> Valor </w:t>
      </w:r>
      <w:r w:rsidRPr="0073444B">
        <w:rPr>
          <w:rFonts w:ascii="Arial" w:hAnsi="Arial" w:cs="Arial"/>
          <w:noProof/>
          <w:sz w:val="22"/>
          <w:szCs w:val="22"/>
          <w:lang w:val="es-CO"/>
        </w:rPr>
        <w:t xml:space="preserve">discriminado así: </w:t>
      </w:r>
    </w:p>
    <w:p w14:paraId="012A312C" w14:textId="77777777" w:rsidR="0065697C" w:rsidRDefault="0065697C" w:rsidP="001D0080">
      <w:pPr>
        <w:pStyle w:val="Sangra2detindependiente"/>
        <w:spacing w:after="0" w:line="360" w:lineRule="auto"/>
        <w:ind w:left="720"/>
        <w:jc w:val="both"/>
        <w:rPr>
          <w:rFonts w:ascii="Arial" w:hAnsi="Arial" w:cs="Arial"/>
          <w:noProof/>
          <w:sz w:val="22"/>
          <w:szCs w:val="22"/>
          <w:lang w:val="es-CO"/>
        </w:rPr>
      </w:pPr>
    </w:p>
    <w:p w14:paraId="7FA48441" w14:textId="77777777" w:rsidR="00BF362F" w:rsidRDefault="00BF362F" w:rsidP="001D0080">
      <w:pPr>
        <w:pStyle w:val="Sangra2detindependiente"/>
        <w:spacing w:after="0" w:line="360" w:lineRule="auto"/>
        <w:ind w:left="360"/>
        <w:jc w:val="both"/>
        <w:rPr>
          <w:rFonts w:ascii="Arial" w:hAnsi="Arial" w:cs="Arial"/>
          <w:noProof/>
          <w:sz w:val="22"/>
          <w:szCs w:val="22"/>
          <w:lang w:val="es-CO"/>
        </w:rPr>
      </w:pPr>
      <w:r w:rsidRPr="00020801">
        <w:rPr>
          <w:rFonts w:ascii="Arial" w:hAnsi="Arial" w:cs="Arial"/>
          <w:b/>
          <w:noProof/>
          <w:sz w:val="22"/>
          <w:szCs w:val="22"/>
          <w:lang w:val="es-CO"/>
        </w:rPr>
        <w:t>(i)</w:t>
      </w:r>
      <w:r>
        <w:rPr>
          <w:rFonts w:ascii="Arial" w:hAnsi="Arial" w:cs="Arial"/>
          <w:noProof/>
          <w:sz w:val="22"/>
          <w:szCs w:val="22"/>
          <w:lang w:val="es-CO"/>
        </w:rPr>
        <w:t xml:space="preserve"> P</w:t>
      </w:r>
      <w:r w:rsidRPr="0073444B">
        <w:rPr>
          <w:rFonts w:ascii="Arial" w:hAnsi="Arial" w:cs="Arial"/>
          <w:noProof/>
          <w:sz w:val="22"/>
          <w:szCs w:val="22"/>
          <w:lang w:val="es-CO"/>
        </w:rPr>
        <w:t xml:space="preserve">ara el señor </w:t>
      </w:r>
      <w:r w:rsidRPr="00372040">
        <w:rPr>
          <w:rFonts w:ascii="Arial" w:hAnsi="Arial" w:cs="Arial"/>
          <w:iCs/>
          <w:sz w:val="22"/>
          <w:szCs w:val="22"/>
        </w:rPr>
        <w:t>Marino Espinosa Tabares</w:t>
      </w:r>
      <w:r>
        <w:rPr>
          <w:rFonts w:ascii="Arial" w:hAnsi="Arial" w:cs="Arial"/>
          <w:noProof/>
          <w:sz w:val="22"/>
          <w:szCs w:val="22"/>
          <w:lang w:val="es-CO"/>
        </w:rPr>
        <w:t xml:space="preserve"> la suma de $ 15.000.000. </w:t>
      </w:r>
      <w:r w:rsidRPr="0073444B">
        <w:rPr>
          <w:rFonts w:ascii="Arial" w:hAnsi="Arial" w:cs="Arial"/>
          <w:noProof/>
          <w:sz w:val="22"/>
          <w:szCs w:val="22"/>
          <w:lang w:val="es-CO"/>
        </w:rPr>
        <w:t xml:space="preserve"> </w:t>
      </w:r>
    </w:p>
    <w:p w14:paraId="6572A1C7" w14:textId="4B85A2B3" w:rsidR="00BF362F" w:rsidRDefault="00BF362F" w:rsidP="001D0080">
      <w:pPr>
        <w:pStyle w:val="Sangra2detindependiente"/>
        <w:spacing w:after="0" w:line="360" w:lineRule="auto"/>
        <w:ind w:left="360"/>
        <w:jc w:val="both"/>
        <w:rPr>
          <w:rFonts w:ascii="Arial" w:hAnsi="Arial" w:cs="Arial"/>
          <w:iCs/>
          <w:sz w:val="22"/>
          <w:szCs w:val="22"/>
        </w:rPr>
      </w:pPr>
      <w:r w:rsidRPr="00020801">
        <w:rPr>
          <w:rFonts w:ascii="Arial" w:hAnsi="Arial" w:cs="Arial"/>
          <w:b/>
          <w:noProof/>
          <w:sz w:val="22"/>
          <w:szCs w:val="22"/>
          <w:lang w:val="es-CO"/>
        </w:rPr>
        <w:t>(ii)</w:t>
      </w:r>
      <w:r w:rsidRPr="0073444B">
        <w:rPr>
          <w:rFonts w:ascii="Arial" w:hAnsi="Arial" w:cs="Arial"/>
          <w:noProof/>
          <w:sz w:val="22"/>
          <w:szCs w:val="22"/>
          <w:lang w:val="es-CO"/>
        </w:rPr>
        <w:t xml:space="preserve"> Para su madre </w:t>
      </w:r>
      <w:r>
        <w:rPr>
          <w:rFonts w:ascii="Arial" w:hAnsi="Arial" w:cs="Arial"/>
          <w:iCs/>
          <w:sz w:val="22"/>
          <w:szCs w:val="22"/>
        </w:rPr>
        <w:t>Judith Tabares d</w:t>
      </w:r>
      <w:r w:rsidRPr="00372040">
        <w:rPr>
          <w:rFonts w:ascii="Arial" w:hAnsi="Arial" w:cs="Arial"/>
          <w:iCs/>
          <w:sz w:val="22"/>
          <w:szCs w:val="22"/>
        </w:rPr>
        <w:t>e Espinosa</w:t>
      </w:r>
      <w:r>
        <w:rPr>
          <w:rFonts w:ascii="Arial" w:hAnsi="Arial" w:cs="Arial"/>
          <w:iCs/>
          <w:sz w:val="22"/>
          <w:szCs w:val="22"/>
        </w:rPr>
        <w:t xml:space="preserve">, para su cónyuge </w:t>
      </w:r>
      <w:r w:rsidR="0065697C" w:rsidRPr="00655F2D">
        <w:rPr>
          <w:rFonts w:ascii="Arial" w:hAnsi="Arial" w:cs="Arial"/>
          <w:iCs/>
          <w:sz w:val="22"/>
          <w:szCs w:val="22"/>
        </w:rPr>
        <w:t>María</w:t>
      </w:r>
      <w:r w:rsidRPr="00655F2D">
        <w:rPr>
          <w:rFonts w:ascii="Arial" w:hAnsi="Arial" w:cs="Arial"/>
          <w:iCs/>
          <w:sz w:val="22"/>
          <w:szCs w:val="22"/>
        </w:rPr>
        <w:t xml:space="preserve"> Consuelo Zuluaga Arango</w:t>
      </w:r>
      <w:r>
        <w:rPr>
          <w:rFonts w:ascii="Arial" w:hAnsi="Arial" w:cs="Arial"/>
          <w:iCs/>
          <w:sz w:val="22"/>
          <w:szCs w:val="22"/>
        </w:rPr>
        <w:t xml:space="preserve">, para sus hijos </w:t>
      </w:r>
      <w:r w:rsidRPr="00372040">
        <w:rPr>
          <w:rFonts w:ascii="Arial" w:hAnsi="Arial" w:cs="Arial"/>
          <w:iCs/>
          <w:sz w:val="22"/>
          <w:szCs w:val="22"/>
        </w:rPr>
        <w:t>Yury Viviana Espinosa Zuluaga</w:t>
      </w:r>
      <w:r>
        <w:rPr>
          <w:rFonts w:ascii="Arial" w:hAnsi="Arial" w:cs="Arial"/>
          <w:iCs/>
          <w:sz w:val="22"/>
          <w:szCs w:val="22"/>
        </w:rPr>
        <w:t xml:space="preserve">, </w:t>
      </w:r>
      <w:r w:rsidRPr="00372040">
        <w:rPr>
          <w:rFonts w:ascii="Arial" w:hAnsi="Arial" w:cs="Arial"/>
          <w:iCs/>
          <w:sz w:val="22"/>
          <w:szCs w:val="22"/>
        </w:rPr>
        <w:t>Linda Michel Espinosa Zuluaga</w:t>
      </w:r>
      <w:r>
        <w:rPr>
          <w:rFonts w:ascii="Arial" w:hAnsi="Arial" w:cs="Arial"/>
          <w:iCs/>
          <w:sz w:val="22"/>
          <w:szCs w:val="22"/>
        </w:rPr>
        <w:t xml:space="preserve"> y </w:t>
      </w:r>
      <w:r w:rsidRPr="00372040">
        <w:rPr>
          <w:rFonts w:ascii="Arial" w:hAnsi="Arial" w:cs="Arial"/>
          <w:iCs/>
          <w:sz w:val="22"/>
          <w:szCs w:val="22"/>
        </w:rPr>
        <w:t>Jorge Eliecer Espinosa Zuluaga</w:t>
      </w:r>
      <w:r>
        <w:rPr>
          <w:rFonts w:ascii="Arial" w:hAnsi="Arial" w:cs="Arial"/>
          <w:iCs/>
          <w:sz w:val="22"/>
          <w:szCs w:val="22"/>
        </w:rPr>
        <w:t xml:space="preserve"> la suma de $ 8.000.000 para cada uno de ellos, para un total de $ 24.000.000.  </w:t>
      </w:r>
    </w:p>
    <w:p w14:paraId="79B54C58" w14:textId="77777777" w:rsidR="00BF362F" w:rsidRDefault="00BF362F" w:rsidP="001D0080">
      <w:pPr>
        <w:pStyle w:val="Sangra2detindependiente"/>
        <w:spacing w:after="0" w:line="360" w:lineRule="auto"/>
        <w:ind w:left="360"/>
        <w:jc w:val="both"/>
        <w:rPr>
          <w:rFonts w:ascii="Arial" w:hAnsi="Arial" w:cs="Arial"/>
          <w:noProof/>
          <w:sz w:val="22"/>
          <w:szCs w:val="22"/>
          <w:lang w:val="es-CO"/>
        </w:rPr>
      </w:pPr>
      <w:r w:rsidRPr="00020801">
        <w:rPr>
          <w:rFonts w:ascii="Arial" w:hAnsi="Arial" w:cs="Arial"/>
          <w:b/>
          <w:iCs/>
          <w:sz w:val="22"/>
          <w:szCs w:val="22"/>
        </w:rPr>
        <w:t>(</w:t>
      </w:r>
      <w:proofErr w:type="spellStart"/>
      <w:r w:rsidRPr="00020801">
        <w:rPr>
          <w:rFonts w:ascii="Arial" w:hAnsi="Arial" w:cs="Arial"/>
          <w:b/>
          <w:iCs/>
          <w:sz w:val="22"/>
          <w:szCs w:val="22"/>
        </w:rPr>
        <w:t>iii</w:t>
      </w:r>
      <w:proofErr w:type="spellEnd"/>
      <w:r w:rsidRPr="00020801">
        <w:rPr>
          <w:rFonts w:ascii="Arial" w:hAnsi="Arial" w:cs="Arial"/>
          <w:b/>
          <w:iCs/>
          <w:sz w:val="22"/>
          <w:szCs w:val="22"/>
        </w:rPr>
        <w:t>)</w:t>
      </w:r>
      <w:r>
        <w:rPr>
          <w:rFonts w:ascii="Arial" w:hAnsi="Arial" w:cs="Arial"/>
          <w:iCs/>
          <w:sz w:val="22"/>
          <w:szCs w:val="22"/>
        </w:rPr>
        <w:t xml:space="preserve"> Para sus hermanos </w:t>
      </w:r>
      <w:r w:rsidRPr="00372040">
        <w:rPr>
          <w:rFonts w:ascii="Arial" w:hAnsi="Arial" w:cs="Arial"/>
          <w:iCs/>
          <w:sz w:val="22"/>
          <w:szCs w:val="22"/>
        </w:rPr>
        <w:t>Guillermo Espinosa Tabares</w:t>
      </w:r>
      <w:r>
        <w:rPr>
          <w:rFonts w:ascii="Arial" w:hAnsi="Arial" w:cs="Arial"/>
          <w:iCs/>
          <w:sz w:val="22"/>
          <w:szCs w:val="22"/>
        </w:rPr>
        <w:t xml:space="preserve">, </w:t>
      </w:r>
      <w:r w:rsidRPr="00372040">
        <w:rPr>
          <w:rFonts w:ascii="Arial" w:hAnsi="Arial" w:cs="Arial"/>
          <w:iCs/>
          <w:sz w:val="22"/>
          <w:szCs w:val="22"/>
        </w:rPr>
        <w:t>Gilberto Espinosa Tabares</w:t>
      </w:r>
      <w:r>
        <w:rPr>
          <w:rFonts w:ascii="Arial" w:hAnsi="Arial" w:cs="Arial"/>
          <w:iCs/>
          <w:sz w:val="22"/>
          <w:szCs w:val="22"/>
        </w:rPr>
        <w:t xml:space="preserve">, </w:t>
      </w:r>
      <w:r w:rsidRPr="00372040">
        <w:rPr>
          <w:rFonts w:ascii="Arial" w:hAnsi="Arial" w:cs="Arial"/>
          <w:iCs/>
          <w:sz w:val="22"/>
          <w:szCs w:val="22"/>
        </w:rPr>
        <w:t>Gildardo Espinosa Tabares</w:t>
      </w:r>
      <w:r>
        <w:rPr>
          <w:rFonts w:ascii="Arial" w:hAnsi="Arial" w:cs="Arial"/>
          <w:iCs/>
          <w:sz w:val="22"/>
          <w:szCs w:val="22"/>
        </w:rPr>
        <w:t xml:space="preserve">, </w:t>
      </w:r>
      <w:r w:rsidRPr="00372040">
        <w:rPr>
          <w:rFonts w:ascii="Arial" w:hAnsi="Arial" w:cs="Arial"/>
          <w:iCs/>
          <w:sz w:val="22"/>
          <w:szCs w:val="22"/>
        </w:rPr>
        <w:t>Gonzalo Espinosa Tabares</w:t>
      </w:r>
      <w:r>
        <w:rPr>
          <w:rFonts w:ascii="Arial" w:hAnsi="Arial" w:cs="Arial"/>
          <w:iCs/>
          <w:sz w:val="22"/>
          <w:szCs w:val="22"/>
        </w:rPr>
        <w:t xml:space="preserve">, </w:t>
      </w:r>
      <w:r w:rsidRPr="00372040">
        <w:rPr>
          <w:rFonts w:ascii="Arial" w:hAnsi="Arial" w:cs="Arial"/>
          <w:iCs/>
          <w:sz w:val="22"/>
          <w:szCs w:val="22"/>
        </w:rPr>
        <w:t>Aurelio Espinosa Tabares</w:t>
      </w:r>
      <w:r>
        <w:rPr>
          <w:rFonts w:ascii="Arial" w:hAnsi="Arial" w:cs="Arial"/>
          <w:iCs/>
          <w:sz w:val="22"/>
          <w:szCs w:val="22"/>
        </w:rPr>
        <w:t xml:space="preserve">, </w:t>
      </w:r>
      <w:r w:rsidRPr="00372040">
        <w:rPr>
          <w:rFonts w:ascii="Arial" w:hAnsi="Arial" w:cs="Arial"/>
          <w:iCs/>
          <w:sz w:val="22"/>
          <w:szCs w:val="22"/>
        </w:rPr>
        <w:t>Luis Eduardo Espinosa Tabares</w:t>
      </w:r>
      <w:r>
        <w:rPr>
          <w:rFonts w:ascii="Arial" w:hAnsi="Arial" w:cs="Arial"/>
          <w:iCs/>
          <w:sz w:val="22"/>
          <w:szCs w:val="22"/>
        </w:rPr>
        <w:t xml:space="preserve">, </w:t>
      </w:r>
      <w:r w:rsidRPr="00372040">
        <w:rPr>
          <w:rFonts w:ascii="Arial" w:hAnsi="Arial" w:cs="Arial"/>
          <w:iCs/>
          <w:sz w:val="22"/>
          <w:szCs w:val="22"/>
        </w:rPr>
        <w:t>Ricardo Espinosa Tabares</w:t>
      </w:r>
      <w:r>
        <w:rPr>
          <w:rFonts w:ascii="Arial" w:hAnsi="Arial" w:cs="Arial"/>
          <w:iCs/>
          <w:sz w:val="22"/>
          <w:szCs w:val="22"/>
        </w:rPr>
        <w:t xml:space="preserve">, </w:t>
      </w:r>
      <w:r w:rsidRPr="00372040">
        <w:rPr>
          <w:rFonts w:ascii="Arial" w:hAnsi="Arial" w:cs="Arial"/>
          <w:iCs/>
          <w:sz w:val="22"/>
          <w:szCs w:val="22"/>
        </w:rPr>
        <w:t>Olga Cecilia Espinosa Tabares</w:t>
      </w:r>
      <w:r>
        <w:rPr>
          <w:rFonts w:ascii="Arial" w:hAnsi="Arial" w:cs="Arial"/>
          <w:iCs/>
          <w:sz w:val="22"/>
          <w:szCs w:val="22"/>
        </w:rPr>
        <w:t xml:space="preserve">, </w:t>
      </w:r>
      <w:r w:rsidRPr="00372040">
        <w:rPr>
          <w:rFonts w:ascii="Arial" w:hAnsi="Arial" w:cs="Arial"/>
          <w:iCs/>
          <w:sz w:val="22"/>
          <w:szCs w:val="22"/>
        </w:rPr>
        <w:t>Berta Liliana Espinosa Tabares</w:t>
      </w:r>
      <w:r>
        <w:rPr>
          <w:rFonts w:ascii="Arial" w:hAnsi="Arial" w:cs="Arial"/>
          <w:iCs/>
          <w:sz w:val="22"/>
          <w:szCs w:val="22"/>
        </w:rPr>
        <w:t xml:space="preserve">, </w:t>
      </w:r>
      <w:r w:rsidRPr="00372040">
        <w:rPr>
          <w:rFonts w:ascii="Arial" w:hAnsi="Arial" w:cs="Arial"/>
          <w:iCs/>
          <w:sz w:val="22"/>
          <w:szCs w:val="22"/>
        </w:rPr>
        <w:t>Martha Judith Espinosa Tabares</w:t>
      </w:r>
      <w:r>
        <w:rPr>
          <w:rFonts w:ascii="Arial" w:hAnsi="Arial" w:cs="Arial"/>
          <w:iCs/>
          <w:sz w:val="22"/>
          <w:szCs w:val="22"/>
        </w:rPr>
        <w:t xml:space="preserve"> y</w:t>
      </w:r>
      <w:r w:rsidRPr="00372040">
        <w:rPr>
          <w:rFonts w:ascii="Arial" w:hAnsi="Arial" w:cs="Arial"/>
          <w:iCs/>
          <w:sz w:val="22"/>
          <w:szCs w:val="22"/>
        </w:rPr>
        <w:t xml:space="preserve"> Luz Amparo Espinosa Tabares</w:t>
      </w:r>
      <w:r>
        <w:rPr>
          <w:rFonts w:ascii="Arial" w:hAnsi="Arial" w:cs="Arial"/>
          <w:iCs/>
          <w:sz w:val="22"/>
          <w:szCs w:val="22"/>
        </w:rPr>
        <w:t xml:space="preserve"> la suma de $ 4.000.000 para cada uno de ellos, para un total de $ 44.000.000.           </w:t>
      </w:r>
      <w:r w:rsidRPr="0073444B">
        <w:rPr>
          <w:rFonts w:ascii="Arial" w:hAnsi="Arial" w:cs="Arial"/>
          <w:noProof/>
          <w:sz w:val="22"/>
          <w:szCs w:val="22"/>
          <w:lang w:val="es-CO"/>
        </w:rPr>
        <w:t xml:space="preserve"> </w:t>
      </w:r>
    </w:p>
    <w:p w14:paraId="3B3ED23E" w14:textId="77777777" w:rsidR="00BF362F" w:rsidRDefault="00BF362F" w:rsidP="001D0080">
      <w:pPr>
        <w:pStyle w:val="Sangra2detindependiente"/>
        <w:spacing w:after="0" w:line="360" w:lineRule="auto"/>
        <w:ind w:left="360"/>
        <w:jc w:val="both"/>
        <w:rPr>
          <w:rFonts w:ascii="Arial" w:hAnsi="Arial" w:cs="Arial"/>
          <w:noProof/>
          <w:sz w:val="22"/>
          <w:szCs w:val="22"/>
          <w:lang w:val="es-CO"/>
        </w:rPr>
      </w:pPr>
      <w:r w:rsidRPr="00020801">
        <w:rPr>
          <w:rFonts w:ascii="Arial" w:hAnsi="Arial" w:cs="Arial"/>
          <w:b/>
          <w:noProof/>
          <w:sz w:val="22"/>
          <w:szCs w:val="22"/>
          <w:lang w:val="es-CO"/>
        </w:rPr>
        <w:t>(iv)</w:t>
      </w:r>
      <w:r w:rsidRPr="0073444B">
        <w:rPr>
          <w:rFonts w:ascii="Arial" w:hAnsi="Arial" w:cs="Arial"/>
          <w:noProof/>
          <w:sz w:val="22"/>
          <w:szCs w:val="22"/>
          <w:lang w:val="es-CO"/>
        </w:rPr>
        <w:t xml:space="preserve"> </w:t>
      </w:r>
      <w:r>
        <w:rPr>
          <w:rFonts w:ascii="Arial" w:hAnsi="Arial" w:cs="Arial"/>
          <w:noProof/>
          <w:sz w:val="22"/>
          <w:szCs w:val="22"/>
          <w:lang w:val="es-CO"/>
        </w:rPr>
        <w:t>P</w:t>
      </w:r>
      <w:r w:rsidRPr="0073444B">
        <w:rPr>
          <w:rFonts w:ascii="Arial" w:hAnsi="Arial" w:cs="Arial"/>
          <w:noProof/>
          <w:sz w:val="22"/>
          <w:szCs w:val="22"/>
          <w:lang w:val="es-CO"/>
        </w:rPr>
        <w:t xml:space="preserve">ara </w:t>
      </w:r>
      <w:r>
        <w:rPr>
          <w:rFonts w:ascii="Arial" w:hAnsi="Arial" w:cs="Arial"/>
          <w:noProof/>
          <w:sz w:val="22"/>
          <w:szCs w:val="22"/>
          <w:lang w:val="es-CO"/>
        </w:rPr>
        <w:t xml:space="preserve">sus nietos </w:t>
      </w:r>
      <w:r w:rsidRPr="00372040">
        <w:rPr>
          <w:rFonts w:ascii="Arial" w:hAnsi="Arial" w:cs="Arial"/>
          <w:iCs/>
          <w:sz w:val="22"/>
          <w:szCs w:val="22"/>
        </w:rPr>
        <w:t>Maximiliano Espinosa Arce</w:t>
      </w:r>
      <w:r>
        <w:rPr>
          <w:rFonts w:ascii="Arial" w:hAnsi="Arial" w:cs="Arial"/>
          <w:iCs/>
          <w:sz w:val="22"/>
          <w:szCs w:val="22"/>
        </w:rPr>
        <w:t>,</w:t>
      </w:r>
      <w:r>
        <w:rPr>
          <w:rFonts w:ascii="Arial" w:hAnsi="Arial" w:cs="Arial"/>
          <w:noProof/>
          <w:sz w:val="22"/>
          <w:szCs w:val="22"/>
          <w:lang w:val="es-CO"/>
        </w:rPr>
        <w:t xml:space="preserve"> </w:t>
      </w:r>
      <w:r w:rsidRPr="00372040">
        <w:rPr>
          <w:rFonts w:ascii="Arial" w:hAnsi="Arial" w:cs="Arial"/>
          <w:iCs/>
          <w:sz w:val="22"/>
          <w:szCs w:val="22"/>
        </w:rPr>
        <w:t>Juan Manuel Ibáñez Espinosa</w:t>
      </w:r>
      <w:r>
        <w:rPr>
          <w:rFonts w:ascii="Arial" w:hAnsi="Arial" w:cs="Arial"/>
          <w:iCs/>
          <w:sz w:val="22"/>
          <w:szCs w:val="22"/>
        </w:rPr>
        <w:t xml:space="preserve">, </w:t>
      </w:r>
      <w:r w:rsidRPr="00372040">
        <w:rPr>
          <w:rFonts w:ascii="Arial" w:hAnsi="Arial" w:cs="Arial"/>
          <w:iCs/>
          <w:sz w:val="22"/>
          <w:szCs w:val="22"/>
        </w:rPr>
        <w:t>Isabella Ramírez Espinosa</w:t>
      </w:r>
      <w:r>
        <w:rPr>
          <w:rFonts w:ascii="Arial" w:hAnsi="Arial" w:cs="Arial"/>
          <w:iCs/>
          <w:sz w:val="22"/>
          <w:szCs w:val="22"/>
        </w:rPr>
        <w:t xml:space="preserve"> y </w:t>
      </w:r>
      <w:proofErr w:type="spellStart"/>
      <w:r w:rsidRPr="00372040">
        <w:rPr>
          <w:rFonts w:ascii="Arial" w:hAnsi="Arial" w:cs="Arial"/>
          <w:iCs/>
          <w:sz w:val="22"/>
          <w:szCs w:val="22"/>
        </w:rPr>
        <w:t>Eilin</w:t>
      </w:r>
      <w:proofErr w:type="spellEnd"/>
      <w:r w:rsidRPr="00372040">
        <w:rPr>
          <w:rFonts w:ascii="Arial" w:hAnsi="Arial" w:cs="Arial"/>
          <w:iCs/>
          <w:sz w:val="22"/>
          <w:szCs w:val="22"/>
        </w:rPr>
        <w:t xml:space="preserve"> Samantha </w:t>
      </w:r>
      <w:proofErr w:type="spellStart"/>
      <w:r w:rsidRPr="00372040">
        <w:rPr>
          <w:rFonts w:ascii="Arial" w:hAnsi="Arial" w:cs="Arial"/>
          <w:iCs/>
          <w:sz w:val="22"/>
          <w:szCs w:val="22"/>
        </w:rPr>
        <w:t>Berdugo</w:t>
      </w:r>
      <w:proofErr w:type="spellEnd"/>
      <w:r w:rsidRPr="00372040">
        <w:rPr>
          <w:rFonts w:ascii="Arial" w:hAnsi="Arial" w:cs="Arial"/>
          <w:iCs/>
          <w:sz w:val="22"/>
          <w:szCs w:val="22"/>
        </w:rPr>
        <w:t xml:space="preserve"> Espinosa</w:t>
      </w:r>
      <w:r>
        <w:rPr>
          <w:rFonts w:ascii="Arial" w:hAnsi="Arial" w:cs="Arial"/>
          <w:iCs/>
          <w:sz w:val="22"/>
          <w:szCs w:val="22"/>
        </w:rPr>
        <w:t xml:space="preserve">, la suma de $ 2.000.000 para cada uno de ellos, para un total de $ 8.000.000.   </w:t>
      </w:r>
      <w:r>
        <w:rPr>
          <w:rFonts w:ascii="Arial" w:hAnsi="Arial" w:cs="Arial"/>
          <w:noProof/>
          <w:sz w:val="22"/>
          <w:szCs w:val="22"/>
          <w:lang w:val="es-CO"/>
        </w:rPr>
        <w:t xml:space="preserve">  </w:t>
      </w:r>
    </w:p>
    <w:p w14:paraId="2CFAB332" w14:textId="77777777" w:rsidR="00953120" w:rsidRDefault="00953120" w:rsidP="001D0080">
      <w:pPr>
        <w:pStyle w:val="Sangra2detindependiente"/>
        <w:spacing w:after="0" w:line="360" w:lineRule="auto"/>
        <w:ind w:left="0"/>
        <w:jc w:val="both"/>
        <w:rPr>
          <w:rFonts w:ascii="Arial" w:hAnsi="Arial" w:cs="Arial"/>
          <w:noProof/>
          <w:sz w:val="22"/>
          <w:szCs w:val="22"/>
          <w:lang w:val="es-CO"/>
        </w:rPr>
      </w:pPr>
    </w:p>
    <w:p w14:paraId="74145B2E" w14:textId="01BD5E62" w:rsidR="00BF362F" w:rsidRDefault="00BF362F" w:rsidP="001D0080">
      <w:pPr>
        <w:pStyle w:val="Sangra2detindependiente"/>
        <w:spacing w:after="0" w:line="360" w:lineRule="auto"/>
        <w:ind w:left="360"/>
        <w:jc w:val="both"/>
        <w:rPr>
          <w:rFonts w:ascii="Arial" w:hAnsi="Arial" w:cs="Arial"/>
          <w:noProof/>
          <w:sz w:val="22"/>
          <w:szCs w:val="22"/>
          <w:lang w:val="es-CO"/>
        </w:rPr>
      </w:pPr>
      <w:r w:rsidRPr="0073444B">
        <w:rPr>
          <w:rFonts w:ascii="Arial" w:hAnsi="Arial" w:cs="Arial"/>
          <w:noProof/>
          <w:sz w:val="22"/>
          <w:szCs w:val="22"/>
          <w:lang w:val="es-CO"/>
        </w:rPr>
        <w:t xml:space="preserve">Lo anterior tomando como base la sentencia de casación SC5885 del 6 de mayo de 2016 en la que se reconoció la suma de $ 15.000.000 a favor de una menor por las </w:t>
      </w:r>
      <w:r w:rsidRPr="0073444B">
        <w:rPr>
          <w:rFonts w:ascii="Arial" w:hAnsi="Arial" w:cs="Arial"/>
          <w:noProof/>
          <w:sz w:val="22"/>
          <w:szCs w:val="22"/>
          <w:lang w:val="es-CO"/>
        </w:rPr>
        <w:lastRenderedPageBreak/>
        <w:t>lesiones que le generaron una PCL del 20.65 % producto de un accidente de tránsito. Además, en sentencia del 7 de marzo de 2019. M.P. Octavio Augusto Tejeiro Duque, en la que se indicó, en otras cosas, el reconocimiento de este perjuicio para los familiares en primer grado de consa</w:t>
      </w:r>
      <w:r>
        <w:rPr>
          <w:rFonts w:ascii="Arial" w:hAnsi="Arial" w:cs="Arial"/>
          <w:noProof/>
          <w:sz w:val="22"/>
          <w:szCs w:val="22"/>
          <w:lang w:val="es-CO"/>
        </w:rPr>
        <w:t xml:space="preserve">nguinidad de la víctima directa y de forma proporcional a los familiares de segundo grado. </w:t>
      </w:r>
      <w:r w:rsidRPr="0073444B">
        <w:rPr>
          <w:rFonts w:ascii="Arial" w:hAnsi="Arial" w:cs="Arial"/>
          <w:noProof/>
          <w:sz w:val="22"/>
          <w:szCs w:val="22"/>
          <w:lang w:val="es-CO"/>
        </w:rPr>
        <w:t xml:space="preserve"> </w:t>
      </w:r>
    </w:p>
    <w:p w14:paraId="58DA888D" w14:textId="77777777" w:rsidR="00D56759" w:rsidRPr="0073444B" w:rsidRDefault="00D56759" w:rsidP="001D0080">
      <w:pPr>
        <w:pStyle w:val="Sangra2detindependiente"/>
        <w:spacing w:after="0" w:line="360" w:lineRule="auto"/>
        <w:ind w:left="360"/>
        <w:jc w:val="both"/>
        <w:rPr>
          <w:rFonts w:ascii="Arial" w:hAnsi="Arial" w:cs="Arial"/>
          <w:noProof/>
          <w:sz w:val="22"/>
          <w:szCs w:val="22"/>
          <w:lang w:val="es-CO"/>
        </w:rPr>
      </w:pPr>
    </w:p>
    <w:p w14:paraId="4BFAD890" w14:textId="77777777" w:rsidR="00BF362F" w:rsidRDefault="00BF362F" w:rsidP="001D0080">
      <w:pPr>
        <w:pStyle w:val="Sangra2detindependiente"/>
        <w:spacing w:after="0" w:line="360" w:lineRule="auto"/>
        <w:ind w:left="360"/>
        <w:jc w:val="both"/>
        <w:rPr>
          <w:rFonts w:ascii="Arial" w:hAnsi="Arial" w:cs="Arial"/>
          <w:noProof/>
          <w:sz w:val="22"/>
          <w:szCs w:val="22"/>
          <w:lang w:val="es-CO"/>
        </w:rPr>
      </w:pPr>
      <w:r>
        <w:rPr>
          <w:rFonts w:ascii="Arial" w:hAnsi="Arial" w:cs="Arial"/>
          <w:noProof/>
          <w:sz w:val="22"/>
          <w:szCs w:val="22"/>
          <w:lang w:val="es-CO"/>
        </w:rPr>
        <w:t>E</w:t>
      </w:r>
      <w:r w:rsidRPr="0073444B">
        <w:rPr>
          <w:rFonts w:ascii="Arial" w:hAnsi="Arial" w:cs="Arial"/>
          <w:noProof/>
          <w:sz w:val="22"/>
          <w:szCs w:val="22"/>
          <w:lang w:val="es-CO"/>
        </w:rPr>
        <w:t>n el expediente reposa la historia clínica</w:t>
      </w:r>
      <w:r>
        <w:rPr>
          <w:rFonts w:ascii="Arial" w:hAnsi="Arial" w:cs="Arial"/>
          <w:noProof/>
          <w:sz w:val="22"/>
          <w:szCs w:val="22"/>
          <w:lang w:val="es-CO"/>
        </w:rPr>
        <w:t xml:space="preserve"> del paciente, donde se observa quemaduras de grado II en el 30 % de ambos miembros inferiores y en genitales, para un 19 % de la superficie corporal total (SCT). A</w:t>
      </w:r>
      <w:r w:rsidRPr="0073444B">
        <w:rPr>
          <w:rFonts w:ascii="Arial" w:hAnsi="Arial" w:cs="Arial"/>
          <w:noProof/>
          <w:sz w:val="22"/>
          <w:szCs w:val="22"/>
          <w:lang w:val="es-CO"/>
        </w:rPr>
        <w:t xml:space="preserve">demás de militar una serie de fotografías donde se evidencian </w:t>
      </w:r>
      <w:r>
        <w:rPr>
          <w:rFonts w:ascii="Arial" w:hAnsi="Arial" w:cs="Arial"/>
          <w:noProof/>
          <w:sz w:val="22"/>
          <w:szCs w:val="22"/>
          <w:lang w:val="es-CO"/>
        </w:rPr>
        <w:t xml:space="preserve">las partes de su cuerpo quemadas. Sin embargo, </w:t>
      </w:r>
      <w:r w:rsidRPr="0073444B">
        <w:rPr>
          <w:rFonts w:ascii="Arial" w:hAnsi="Arial" w:cs="Arial"/>
          <w:noProof/>
          <w:sz w:val="22"/>
          <w:szCs w:val="22"/>
          <w:lang w:val="es-CO"/>
        </w:rPr>
        <w:t>no existe un dictamen de PCL que permita verificar el estad</w:t>
      </w:r>
      <w:r>
        <w:rPr>
          <w:rFonts w:ascii="Arial" w:hAnsi="Arial" w:cs="Arial"/>
          <w:noProof/>
          <w:sz w:val="22"/>
          <w:szCs w:val="22"/>
          <w:lang w:val="es-CO"/>
        </w:rPr>
        <w:t xml:space="preserve">o de salud actual del paciente y </w:t>
      </w:r>
      <w:r w:rsidRPr="0073444B">
        <w:rPr>
          <w:rFonts w:ascii="Arial" w:hAnsi="Arial" w:cs="Arial"/>
          <w:noProof/>
          <w:sz w:val="22"/>
          <w:szCs w:val="22"/>
          <w:lang w:val="es-CO"/>
        </w:rPr>
        <w:t>tampoco existen informe</w:t>
      </w:r>
      <w:r>
        <w:rPr>
          <w:rFonts w:ascii="Arial" w:hAnsi="Arial" w:cs="Arial"/>
          <w:noProof/>
          <w:sz w:val="22"/>
          <w:szCs w:val="22"/>
          <w:lang w:val="es-CO"/>
        </w:rPr>
        <w:t>s periciales de medicina legal, por lo que no es posible objetivamente conocer las secuelas del paciente con ocasión a los hechos de la demanda.</w:t>
      </w:r>
    </w:p>
    <w:p w14:paraId="7152F908" w14:textId="77777777" w:rsidR="00BF362F" w:rsidRDefault="00BF362F" w:rsidP="001D0080">
      <w:pPr>
        <w:pStyle w:val="Sangra2detindependiente"/>
        <w:spacing w:after="0" w:line="360" w:lineRule="auto"/>
        <w:ind w:left="0"/>
        <w:jc w:val="both"/>
        <w:rPr>
          <w:rFonts w:ascii="Arial" w:hAnsi="Arial" w:cs="Arial"/>
          <w:noProof/>
          <w:sz w:val="22"/>
          <w:szCs w:val="22"/>
          <w:lang w:val="es-CO"/>
        </w:rPr>
      </w:pPr>
    </w:p>
    <w:p w14:paraId="17289741" w14:textId="2DCB4E27" w:rsidR="00BF362F" w:rsidRDefault="00BF362F" w:rsidP="001D0080">
      <w:pPr>
        <w:pStyle w:val="Sangra2detindependiente"/>
        <w:numPr>
          <w:ilvl w:val="0"/>
          <w:numId w:val="5"/>
        </w:numPr>
        <w:spacing w:after="0" w:line="360" w:lineRule="auto"/>
        <w:jc w:val="both"/>
        <w:rPr>
          <w:rFonts w:ascii="Arial" w:hAnsi="Arial" w:cs="Arial"/>
          <w:noProof/>
          <w:sz w:val="22"/>
          <w:szCs w:val="22"/>
          <w:lang w:val="es-CO"/>
        </w:rPr>
      </w:pPr>
      <w:r w:rsidRPr="002B69D9">
        <w:rPr>
          <w:rFonts w:ascii="Arial" w:hAnsi="Arial" w:cs="Arial"/>
          <w:b/>
          <w:noProof/>
          <w:sz w:val="22"/>
          <w:szCs w:val="22"/>
          <w:u w:val="single"/>
          <w:lang w:val="es-CO"/>
        </w:rPr>
        <w:t>Daño a la vida de relación</w:t>
      </w:r>
      <w:r w:rsidRPr="0073444B">
        <w:rPr>
          <w:rFonts w:ascii="Arial" w:hAnsi="Arial" w:cs="Arial"/>
          <w:b/>
          <w:noProof/>
          <w:sz w:val="22"/>
          <w:szCs w:val="22"/>
          <w:lang w:val="es-CO"/>
        </w:rPr>
        <w:t>:</w:t>
      </w:r>
      <w:r>
        <w:rPr>
          <w:rFonts w:ascii="Arial" w:hAnsi="Arial" w:cs="Arial"/>
          <w:noProof/>
          <w:sz w:val="22"/>
          <w:szCs w:val="22"/>
          <w:lang w:val="es-CO"/>
        </w:rPr>
        <w:t xml:space="preserve"> </w:t>
      </w:r>
      <w:r w:rsidRPr="0073444B">
        <w:rPr>
          <w:rFonts w:ascii="Arial" w:hAnsi="Arial" w:cs="Arial"/>
          <w:noProof/>
          <w:sz w:val="22"/>
          <w:szCs w:val="22"/>
          <w:lang w:val="es-CO"/>
        </w:rPr>
        <w:t>se reconoce la su</w:t>
      </w:r>
      <w:r>
        <w:rPr>
          <w:rFonts w:ascii="Arial" w:hAnsi="Arial" w:cs="Arial"/>
          <w:noProof/>
          <w:sz w:val="22"/>
          <w:szCs w:val="22"/>
          <w:lang w:val="es-CO"/>
        </w:rPr>
        <w:t xml:space="preserve">ma total de </w:t>
      </w:r>
      <w:r>
        <w:rPr>
          <w:rFonts w:ascii="Arial" w:hAnsi="Arial" w:cs="Arial"/>
          <w:b/>
          <w:noProof/>
          <w:sz w:val="22"/>
          <w:szCs w:val="22"/>
          <w:lang w:val="es-CO"/>
        </w:rPr>
        <w:t>$ 20</w:t>
      </w:r>
      <w:r w:rsidRPr="002B69D9">
        <w:rPr>
          <w:rFonts w:ascii="Arial" w:hAnsi="Arial" w:cs="Arial"/>
          <w:b/>
          <w:noProof/>
          <w:sz w:val="22"/>
          <w:szCs w:val="22"/>
          <w:lang w:val="es-CO"/>
        </w:rPr>
        <w:t>.000.000</w:t>
      </w:r>
      <w:r>
        <w:rPr>
          <w:rFonts w:ascii="Arial" w:hAnsi="Arial" w:cs="Arial"/>
          <w:noProof/>
          <w:sz w:val="22"/>
          <w:szCs w:val="22"/>
          <w:lang w:val="es-CO"/>
        </w:rPr>
        <w:t xml:space="preserve"> p</w:t>
      </w:r>
      <w:r w:rsidRPr="0073444B">
        <w:rPr>
          <w:rFonts w:ascii="Arial" w:hAnsi="Arial" w:cs="Arial"/>
          <w:noProof/>
          <w:sz w:val="22"/>
          <w:szCs w:val="22"/>
          <w:lang w:val="es-CO"/>
        </w:rPr>
        <w:t xml:space="preserve">ara el señor </w:t>
      </w:r>
      <w:r>
        <w:rPr>
          <w:rFonts w:ascii="Arial" w:hAnsi="Arial" w:cs="Arial"/>
          <w:iCs/>
          <w:sz w:val="22"/>
          <w:szCs w:val="22"/>
        </w:rPr>
        <w:t>Marino Espinosa Tabares</w:t>
      </w:r>
      <w:r>
        <w:rPr>
          <w:rFonts w:ascii="Arial" w:hAnsi="Arial" w:cs="Arial"/>
          <w:noProof/>
          <w:sz w:val="22"/>
          <w:szCs w:val="22"/>
          <w:lang w:val="es-CO"/>
        </w:rPr>
        <w:t xml:space="preserve">. </w:t>
      </w:r>
      <w:r w:rsidRPr="0073444B">
        <w:rPr>
          <w:rFonts w:ascii="Arial" w:hAnsi="Arial" w:cs="Arial"/>
          <w:noProof/>
          <w:sz w:val="22"/>
          <w:szCs w:val="22"/>
          <w:lang w:val="es-CO"/>
        </w:rPr>
        <w:t xml:space="preserve"> </w:t>
      </w:r>
    </w:p>
    <w:p w14:paraId="169D2359" w14:textId="77777777" w:rsidR="00D56759" w:rsidRDefault="00D56759" w:rsidP="001D0080">
      <w:pPr>
        <w:pStyle w:val="Sangra2detindependiente"/>
        <w:spacing w:after="0" w:line="360" w:lineRule="auto"/>
        <w:ind w:left="720"/>
        <w:jc w:val="both"/>
        <w:rPr>
          <w:rFonts w:ascii="Arial" w:hAnsi="Arial" w:cs="Arial"/>
          <w:noProof/>
          <w:sz w:val="22"/>
          <w:szCs w:val="22"/>
          <w:lang w:val="es-CO"/>
        </w:rPr>
      </w:pPr>
    </w:p>
    <w:p w14:paraId="0B3F4918" w14:textId="55A7E66C" w:rsidR="00BF362F" w:rsidRDefault="00BF362F" w:rsidP="001D0080">
      <w:pPr>
        <w:pStyle w:val="Sangra2detindependiente"/>
        <w:spacing w:after="0" w:line="360" w:lineRule="auto"/>
        <w:ind w:left="360"/>
        <w:jc w:val="both"/>
        <w:rPr>
          <w:rFonts w:ascii="Arial" w:hAnsi="Arial" w:cs="Arial"/>
          <w:noProof/>
          <w:sz w:val="22"/>
          <w:szCs w:val="22"/>
          <w:lang w:val="es-CO"/>
        </w:rPr>
      </w:pPr>
      <w:r w:rsidRPr="0073444B">
        <w:rPr>
          <w:rFonts w:ascii="Arial" w:hAnsi="Arial" w:cs="Arial"/>
          <w:noProof/>
          <w:sz w:val="22"/>
          <w:szCs w:val="22"/>
          <w:lang w:val="es-CO"/>
        </w:rPr>
        <w:t xml:space="preserve">Lo anterior tomando como base la sentencia de casación SC5885 del 6 de mayo de 2016 en la </w:t>
      </w:r>
      <w:r>
        <w:rPr>
          <w:rFonts w:ascii="Arial" w:hAnsi="Arial" w:cs="Arial"/>
          <w:noProof/>
          <w:sz w:val="22"/>
          <w:szCs w:val="22"/>
          <w:lang w:val="es-CO"/>
        </w:rPr>
        <w:t>que se reconoció la suma de $ 20</w:t>
      </w:r>
      <w:r w:rsidRPr="0073444B">
        <w:rPr>
          <w:rFonts w:ascii="Arial" w:hAnsi="Arial" w:cs="Arial"/>
          <w:noProof/>
          <w:sz w:val="22"/>
          <w:szCs w:val="22"/>
          <w:lang w:val="es-CO"/>
        </w:rPr>
        <w:t>.000.000 a favor de una menor por las lesiones que le generaron una PCL del 20.65 % producto de un accidente de tránsito. Además, en sentencia del 7 de marzo de 2019. M.P. Octavio Augusto Tejeiro Duque, en la que se indicó, en otras cosas, el reconocimiento de este perjuicio para los familiares en primer grado de consa</w:t>
      </w:r>
      <w:r>
        <w:rPr>
          <w:rFonts w:ascii="Arial" w:hAnsi="Arial" w:cs="Arial"/>
          <w:noProof/>
          <w:sz w:val="22"/>
          <w:szCs w:val="22"/>
          <w:lang w:val="es-CO"/>
        </w:rPr>
        <w:t xml:space="preserve">nguinidad de la víctima directa y de forma proporcional a los familiares de segundo grado. </w:t>
      </w:r>
      <w:r w:rsidRPr="0073444B">
        <w:rPr>
          <w:rFonts w:ascii="Arial" w:hAnsi="Arial" w:cs="Arial"/>
          <w:noProof/>
          <w:sz w:val="22"/>
          <w:szCs w:val="22"/>
          <w:lang w:val="es-CO"/>
        </w:rPr>
        <w:t xml:space="preserve"> </w:t>
      </w:r>
    </w:p>
    <w:p w14:paraId="253FB067" w14:textId="77777777" w:rsidR="00D56759" w:rsidRPr="0073444B" w:rsidRDefault="00D56759" w:rsidP="001D0080">
      <w:pPr>
        <w:pStyle w:val="Sangra2detindependiente"/>
        <w:spacing w:after="0" w:line="360" w:lineRule="auto"/>
        <w:ind w:left="360"/>
        <w:jc w:val="both"/>
        <w:rPr>
          <w:rFonts w:ascii="Arial" w:hAnsi="Arial" w:cs="Arial"/>
          <w:noProof/>
          <w:sz w:val="22"/>
          <w:szCs w:val="22"/>
          <w:lang w:val="es-CO"/>
        </w:rPr>
      </w:pPr>
    </w:p>
    <w:p w14:paraId="15E3E534" w14:textId="77777777" w:rsidR="00BF362F" w:rsidRDefault="00BF362F" w:rsidP="001D0080">
      <w:pPr>
        <w:pStyle w:val="Sangra2detindependiente"/>
        <w:spacing w:after="0" w:line="360" w:lineRule="auto"/>
        <w:ind w:left="360"/>
        <w:jc w:val="both"/>
        <w:rPr>
          <w:rFonts w:ascii="Arial" w:hAnsi="Arial" w:cs="Arial"/>
          <w:noProof/>
          <w:sz w:val="22"/>
          <w:szCs w:val="22"/>
          <w:lang w:val="es-CO"/>
        </w:rPr>
      </w:pPr>
      <w:r>
        <w:rPr>
          <w:rFonts w:ascii="Arial" w:hAnsi="Arial" w:cs="Arial"/>
          <w:noProof/>
          <w:sz w:val="22"/>
          <w:szCs w:val="22"/>
          <w:lang w:val="es-CO"/>
        </w:rPr>
        <w:t>E</w:t>
      </w:r>
      <w:r w:rsidRPr="0073444B">
        <w:rPr>
          <w:rFonts w:ascii="Arial" w:hAnsi="Arial" w:cs="Arial"/>
          <w:noProof/>
          <w:sz w:val="22"/>
          <w:szCs w:val="22"/>
          <w:lang w:val="es-CO"/>
        </w:rPr>
        <w:t>n el expediente reposa la historia clínica</w:t>
      </w:r>
      <w:r>
        <w:rPr>
          <w:rFonts w:ascii="Arial" w:hAnsi="Arial" w:cs="Arial"/>
          <w:noProof/>
          <w:sz w:val="22"/>
          <w:szCs w:val="22"/>
          <w:lang w:val="es-CO"/>
        </w:rPr>
        <w:t xml:space="preserve"> del paciente, donde se observa quemaduras de grado II en el 30 % de ambos miembros inferiores y en genitales, para un 19 % de la superficie corporal total (SCT). A</w:t>
      </w:r>
      <w:r w:rsidRPr="0073444B">
        <w:rPr>
          <w:rFonts w:ascii="Arial" w:hAnsi="Arial" w:cs="Arial"/>
          <w:noProof/>
          <w:sz w:val="22"/>
          <w:szCs w:val="22"/>
          <w:lang w:val="es-CO"/>
        </w:rPr>
        <w:t xml:space="preserve">demás de militar una serie de fotografías donde se evidencian </w:t>
      </w:r>
      <w:r>
        <w:rPr>
          <w:rFonts w:ascii="Arial" w:hAnsi="Arial" w:cs="Arial"/>
          <w:noProof/>
          <w:sz w:val="22"/>
          <w:szCs w:val="22"/>
          <w:lang w:val="es-CO"/>
        </w:rPr>
        <w:t xml:space="preserve">las partes de su cuerpo quemadas. Sin embargo, </w:t>
      </w:r>
      <w:r w:rsidRPr="0073444B">
        <w:rPr>
          <w:rFonts w:ascii="Arial" w:hAnsi="Arial" w:cs="Arial"/>
          <w:noProof/>
          <w:sz w:val="22"/>
          <w:szCs w:val="22"/>
          <w:lang w:val="es-CO"/>
        </w:rPr>
        <w:t>no existe un dictamen de PCL que permita verificar el estad</w:t>
      </w:r>
      <w:r>
        <w:rPr>
          <w:rFonts w:ascii="Arial" w:hAnsi="Arial" w:cs="Arial"/>
          <w:noProof/>
          <w:sz w:val="22"/>
          <w:szCs w:val="22"/>
          <w:lang w:val="es-CO"/>
        </w:rPr>
        <w:t xml:space="preserve">o de salud actual del paciente y </w:t>
      </w:r>
      <w:r w:rsidRPr="0073444B">
        <w:rPr>
          <w:rFonts w:ascii="Arial" w:hAnsi="Arial" w:cs="Arial"/>
          <w:noProof/>
          <w:sz w:val="22"/>
          <w:szCs w:val="22"/>
          <w:lang w:val="es-CO"/>
        </w:rPr>
        <w:t>tampoco existen informe</w:t>
      </w:r>
      <w:r>
        <w:rPr>
          <w:rFonts w:ascii="Arial" w:hAnsi="Arial" w:cs="Arial"/>
          <w:noProof/>
          <w:sz w:val="22"/>
          <w:szCs w:val="22"/>
          <w:lang w:val="es-CO"/>
        </w:rPr>
        <w:t>s periciales de medicina legal, por lo que no es posible objetivamente conocer las secuelas del paciente con ocasión a los hechos de la demanda.</w:t>
      </w:r>
    </w:p>
    <w:p w14:paraId="62DCBA4E" w14:textId="77777777" w:rsidR="00BF362F" w:rsidRDefault="00BF362F" w:rsidP="001D0080">
      <w:pPr>
        <w:pStyle w:val="Sangra2detindependiente"/>
        <w:spacing w:after="0" w:line="360" w:lineRule="auto"/>
        <w:ind w:left="0"/>
        <w:jc w:val="both"/>
        <w:rPr>
          <w:rFonts w:ascii="Arial" w:hAnsi="Arial" w:cs="Arial"/>
          <w:noProof/>
          <w:sz w:val="22"/>
          <w:szCs w:val="22"/>
          <w:lang w:val="es-CO"/>
        </w:rPr>
      </w:pPr>
    </w:p>
    <w:p w14:paraId="48E427F0" w14:textId="6B81E77C" w:rsidR="00BF362F" w:rsidRDefault="00BF362F" w:rsidP="001D0080">
      <w:pPr>
        <w:pStyle w:val="Sangra2detindependiente"/>
        <w:numPr>
          <w:ilvl w:val="0"/>
          <w:numId w:val="5"/>
        </w:numPr>
        <w:spacing w:after="0" w:line="360" w:lineRule="auto"/>
        <w:jc w:val="both"/>
        <w:rPr>
          <w:rFonts w:ascii="Arial" w:hAnsi="Arial" w:cs="Arial"/>
          <w:noProof/>
          <w:sz w:val="22"/>
          <w:szCs w:val="22"/>
          <w:lang w:val="es-CO"/>
        </w:rPr>
      </w:pPr>
      <w:r w:rsidRPr="004C2ECE">
        <w:rPr>
          <w:rFonts w:ascii="Arial" w:hAnsi="Arial" w:cs="Arial"/>
          <w:b/>
          <w:noProof/>
          <w:sz w:val="22"/>
          <w:szCs w:val="22"/>
          <w:u w:val="single"/>
          <w:lang w:val="es-CO"/>
        </w:rPr>
        <w:lastRenderedPageBreak/>
        <w:t>Daño a la salud</w:t>
      </w:r>
      <w:r w:rsidRPr="004C2ECE">
        <w:rPr>
          <w:rFonts w:ascii="Arial" w:hAnsi="Arial" w:cs="Arial"/>
          <w:b/>
          <w:noProof/>
          <w:sz w:val="22"/>
          <w:szCs w:val="22"/>
          <w:lang w:val="es-CO"/>
        </w:rPr>
        <w:t>:</w:t>
      </w:r>
      <w:r w:rsidRPr="004C2ECE">
        <w:rPr>
          <w:rFonts w:ascii="Arial" w:hAnsi="Arial" w:cs="Arial"/>
          <w:noProof/>
          <w:sz w:val="22"/>
          <w:szCs w:val="22"/>
          <w:lang w:val="es-CO"/>
        </w:rPr>
        <w:t xml:space="preserve"> </w:t>
      </w:r>
      <w:r>
        <w:rPr>
          <w:rFonts w:ascii="Arial" w:hAnsi="Arial" w:cs="Arial"/>
          <w:noProof/>
          <w:sz w:val="22"/>
          <w:szCs w:val="22"/>
          <w:lang w:val="es-CO"/>
        </w:rPr>
        <w:t xml:space="preserve">no se reconoce suma alguna por este concepto. </w:t>
      </w:r>
      <w:r w:rsidRPr="004C2ECE">
        <w:rPr>
          <w:rFonts w:ascii="Arial" w:hAnsi="Arial" w:cs="Arial"/>
          <w:noProof/>
          <w:sz w:val="22"/>
          <w:szCs w:val="22"/>
          <w:lang w:val="es-CO"/>
        </w:rPr>
        <w:t>Primero se debe advertir que en la demanda se piden los conceptos de daño a la salud y daño a las condiciones de existencia, al respecto se advierte que el daño a la salud no es concepto reconocido en la jurisdicción civil, sino en la contencioso administrativa. Por otro lado, en reciente pronunciamiento de la Corte Suprema de Justicia, en sentencia SC562 del 27 de febrero de 2020, se equiparó el daño a la salud y daño a las condiciones de existencia con el daño a la vida en relación, pues pretenden resarcir a la víctima directa del menoscabo a la integridad psicofísica. En ese orden de ideas, eventualmente se podría reconocer por el Juzgador únicamente el daño a la vida de relación por el monto indicado, toda vez que conceder el daño a la salud se constituiría en un doble pago y por contera, un enriquecimiento sin justa causa a favor de los accionantes y en detrimento de la pasiva de la acción.</w:t>
      </w:r>
    </w:p>
    <w:p w14:paraId="73DD07B6" w14:textId="77777777" w:rsidR="00BF362F" w:rsidRDefault="00BF362F" w:rsidP="001D0080">
      <w:pPr>
        <w:pStyle w:val="Sangra2detindependiente"/>
        <w:spacing w:after="0" w:line="360" w:lineRule="auto"/>
        <w:ind w:left="0"/>
        <w:jc w:val="both"/>
        <w:rPr>
          <w:rFonts w:ascii="Arial" w:hAnsi="Arial" w:cs="Arial"/>
          <w:noProof/>
          <w:sz w:val="22"/>
          <w:szCs w:val="22"/>
          <w:lang w:val="es-CO"/>
        </w:rPr>
      </w:pPr>
    </w:p>
    <w:p w14:paraId="017DD60B" w14:textId="719A7E86" w:rsidR="00BF362F" w:rsidRDefault="00BF362F" w:rsidP="001D0080">
      <w:pPr>
        <w:pStyle w:val="Sangra2detindependiente"/>
        <w:numPr>
          <w:ilvl w:val="0"/>
          <w:numId w:val="5"/>
        </w:numPr>
        <w:spacing w:after="0" w:line="360" w:lineRule="auto"/>
        <w:jc w:val="both"/>
        <w:rPr>
          <w:rFonts w:ascii="Arial" w:hAnsi="Arial" w:cs="Arial"/>
          <w:noProof/>
          <w:sz w:val="22"/>
          <w:szCs w:val="22"/>
          <w:lang w:val="es-CO"/>
        </w:rPr>
      </w:pPr>
      <w:r w:rsidRPr="00036646">
        <w:rPr>
          <w:rFonts w:ascii="Arial" w:hAnsi="Arial" w:cs="Arial"/>
          <w:b/>
          <w:noProof/>
          <w:sz w:val="22"/>
          <w:szCs w:val="22"/>
          <w:u w:val="single"/>
          <w:lang w:val="es-CO"/>
        </w:rPr>
        <w:t>Deducible</w:t>
      </w:r>
      <w:r w:rsidRPr="00036646">
        <w:rPr>
          <w:rFonts w:ascii="Arial" w:hAnsi="Arial" w:cs="Arial"/>
          <w:b/>
          <w:noProof/>
          <w:sz w:val="22"/>
          <w:szCs w:val="22"/>
          <w:lang w:val="es-CO"/>
        </w:rPr>
        <w:t>:</w:t>
      </w:r>
      <w:r w:rsidRPr="00036646">
        <w:rPr>
          <w:rFonts w:ascii="Arial" w:hAnsi="Arial" w:cs="Arial"/>
          <w:noProof/>
          <w:sz w:val="22"/>
          <w:szCs w:val="22"/>
          <w:lang w:val="es-CO"/>
        </w:rPr>
        <w:t xml:space="preserve"> </w:t>
      </w:r>
      <w:r>
        <w:rPr>
          <w:rFonts w:ascii="Arial" w:hAnsi="Arial" w:cs="Arial"/>
          <w:noProof/>
          <w:sz w:val="22"/>
          <w:szCs w:val="22"/>
          <w:lang w:val="es-CO"/>
        </w:rPr>
        <w:t xml:space="preserve">se pactó un deducible del </w:t>
      </w:r>
      <w:r w:rsidRPr="004C3A90">
        <w:rPr>
          <w:rFonts w:ascii="Arial" w:hAnsi="Arial" w:cs="Arial"/>
          <w:noProof/>
          <w:sz w:val="22"/>
          <w:szCs w:val="22"/>
          <w:lang w:val="es-CO"/>
        </w:rPr>
        <w:t>10</w:t>
      </w:r>
      <w:r>
        <w:rPr>
          <w:rFonts w:ascii="Arial" w:hAnsi="Arial" w:cs="Arial"/>
          <w:noProof/>
          <w:sz w:val="22"/>
          <w:szCs w:val="22"/>
          <w:lang w:val="es-CO"/>
        </w:rPr>
        <w:t xml:space="preserve"> </w:t>
      </w:r>
      <w:r w:rsidRPr="004C3A90">
        <w:rPr>
          <w:rFonts w:ascii="Arial" w:hAnsi="Arial" w:cs="Arial"/>
          <w:noProof/>
          <w:sz w:val="22"/>
          <w:szCs w:val="22"/>
          <w:lang w:val="es-CO"/>
        </w:rPr>
        <w:t>% del valor de la pérdida, mínimo USD</w:t>
      </w:r>
      <w:r>
        <w:rPr>
          <w:rFonts w:ascii="Arial" w:hAnsi="Arial" w:cs="Arial"/>
          <w:noProof/>
          <w:sz w:val="22"/>
          <w:szCs w:val="22"/>
          <w:lang w:val="es-CO"/>
        </w:rPr>
        <w:t xml:space="preserve"> $ 30.000 toda y cada pé</w:t>
      </w:r>
      <w:r w:rsidRPr="004C3A90">
        <w:rPr>
          <w:rFonts w:ascii="Arial" w:hAnsi="Arial" w:cs="Arial"/>
          <w:noProof/>
          <w:sz w:val="22"/>
          <w:szCs w:val="22"/>
          <w:lang w:val="es-CO"/>
        </w:rPr>
        <w:t>rdida.</w:t>
      </w:r>
    </w:p>
    <w:p w14:paraId="53892076" w14:textId="77777777" w:rsidR="00BF362F" w:rsidRPr="00036646" w:rsidRDefault="00BF362F" w:rsidP="001D0080">
      <w:pPr>
        <w:pStyle w:val="Sangra2detindependiente"/>
        <w:spacing w:after="0" w:line="360" w:lineRule="auto"/>
        <w:ind w:left="0"/>
        <w:jc w:val="both"/>
        <w:rPr>
          <w:rFonts w:ascii="Arial" w:hAnsi="Arial" w:cs="Arial"/>
          <w:noProof/>
          <w:sz w:val="22"/>
          <w:szCs w:val="22"/>
          <w:lang w:val="es-CO"/>
        </w:rPr>
      </w:pPr>
      <w:r w:rsidRPr="00036646">
        <w:rPr>
          <w:rFonts w:ascii="Arial" w:hAnsi="Arial" w:cs="Arial"/>
          <w:noProof/>
          <w:sz w:val="22"/>
          <w:szCs w:val="22"/>
          <w:lang w:val="es-CO"/>
        </w:rPr>
        <w:t xml:space="preserve">     </w:t>
      </w:r>
      <w:r w:rsidRPr="00036646">
        <w:rPr>
          <w:rFonts w:ascii="Arial" w:hAnsi="Arial" w:cs="Arial"/>
          <w:noProof/>
          <w:sz w:val="22"/>
          <w:szCs w:val="22"/>
          <w:lang w:val="es-CO"/>
        </w:rPr>
        <w:tab/>
      </w:r>
    </w:p>
    <w:p w14:paraId="4EAF3F1C" w14:textId="4EF4CBE5" w:rsidR="00BF362F" w:rsidRDefault="00BF362F" w:rsidP="001D0080">
      <w:pPr>
        <w:pStyle w:val="Sangra2detindependiente"/>
        <w:numPr>
          <w:ilvl w:val="0"/>
          <w:numId w:val="5"/>
        </w:numPr>
        <w:spacing w:after="0" w:line="360" w:lineRule="auto"/>
        <w:jc w:val="both"/>
        <w:rPr>
          <w:rFonts w:ascii="Arial" w:hAnsi="Arial" w:cs="Arial"/>
          <w:noProof/>
          <w:sz w:val="22"/>
          <w:szCs w:val="22"/>
          <w:lang w:val="es-CO"/>
        </w:rPr>
      </w:pPr>
      <w:r w:rsidRPr="00036646">
        <w:rPr>
          <w:rFonts w:ascii="Arial" w:hAnsi="Arial" w:cs="Arial"/>
          <w:b/>
          <w:noProof/>
          <w:sz w:val="22"/>
          <w:szCs w:val="22"/>
          <w:u w:val="single"/>
          <w:lang w:val="es-CO"/>
        </w:rPr>
        <w:t>Valor de la contingencia</w:t>
      </w:r>
      <w:r w:rsidRPr="00036646">
        <w:rPr>
          <w:rFonts w:ascii="Arial" w:hAnsi="Arial" w:cs="Arial"/>
          <w:b/>
          <w:noProof/>
          <w:sz w:val="22"/>
          <w:szCs w:val="22"/>
          <w:lang w:val="es-CO"/>
        </w:rPr>
        <w:t xml:space="preserve">: </w:t>
      </w:r>
      <w:r w:rsidRPr="00036646">
        <w:rPr>
          <w:rFonts w:ascii="Arial" w:hAnsi="Arial" w:cs="Arial"/>
          <w:noProof/>
          <w:sz w:val="22"/>
          <w:szCs w:val="22"/>
          <w:lang w:val="es-CO"/>
        </w:rPr>
        <w:t>e</w:t>
      </w:r>
      <w:r>
        <w:rPr>
          <w:rFonts w:ascii="Arial" w:hAnsi="Arial" w:cs="Arial"/>
          <w:noProof/>
          <w:sz w:val="22"/>
          <w:szCs w:val="22"/>
          <w:lang w:val="es-CO"/>
        </w:rPr>
        <w:t xml:space="preserve">l valor de la contingencia ($ </w:t>
      </w:r>
      <w:r w:rsidRPr="007E6E42">
        <w:rPr>
          <w:rFonts w:ascii="Arial" w:hAnsi="Arial" w:cs="Arial"/>
          <w:noProof/>
          <w:sz w:val="22"/>
          <w:szCs w:val="22"/>
          <w:lang w:val="es-CO"/>
        </w:rPr>
        <w:t>111.000.000</w:t>
      </w:r>
      <w:r w:rsidRPr="00036646">
        <w:rPr>
          <w:rFonts w:ascii="Arial" w:hAnsi="Arial" w:cs="Arial"/>
          <w:noProof/>
          <w:sz w:val="22"/>
          <w:szCs w:val="22"/>
          <w:lang w:val="es-CO"/>
        </w:rPr>
        <w:t xml:space="preserve">) es menor al valor asegurado en la póliza para el amparo de Responsabilidad Civil </w:t>
      </w:r>
      <w:r>
        <w:rPr>
          <w:rFonts w:ascii="Arial" w:hAnsi="Arial" w:cs="Arial"/>
          <w:noProof/>
          <w:sz w:val="22"/>
          <w:szCs w:val="22"/>
          <w:lang w:val="es-CO"/>
        </w:rPr>
        <w:t>Extracontractual derivada de instalaciones ya existentes</w:t>
      </w:r>
      <w:r w:rsidRPr="00036646">
        <w:rPr>
          <w:rFonts w:ascii="Arial" w:hAnsi="Arial" w:cs="Arial"/>
          <w:noProof/>
          <w:sz w:val="22"/>
          <w:szCs w:val="22"/>
          <w:lang w:val="es-CO"/>
        </w:rPr>
        <w:t xml:space="preserve"> (</w:t>
      </w:r>
      <w:r>
        <w:rPr>
          <w:rFonts w:ascii="Arial" w:hAnsi="Arial" w:cs="Arial"/>
          <w:noProof/>
          <w:sz w:val="22"/>
          <w:szCs w:val="22"/>
          <w:lang w:val="es-CO"/>
        </w:rPr>
        <w:t>USD $ 50</w:t>
      </w:r>
      <w:r w:rsidRPr="00036646">
        <w:rPr>
          <w:rFonts w:ascii="Arial" w:hAnsi="Arial" w:cs="Arial"/>
          <w:noProof/>
          <w:sz w:val="22"/>
          <w:szCs w:val="22"/>
          <w:lang w:val="es-CO"/>
        </w:rPr>
        <w:t>.</w:t>
      </w:r>
      <w:r>
        <w:rPr>
          <w:rFonts w:ascii="Arial" w:hAnsi="Arial" w:cs="Arial"/>
          <w:noProof/>
          <w:sz w:val="22"/>
          <w:szCs w:val="22"/>
          <w:lang w:val="es-CO"/>
        </w:rPr>
        <w:t>000.000</w:t>
      </w:r>
      <w:r w:rsidRPr="00036646">
        <w:rPr>
          <w:rFonts w:ascii="Arial" w:hAnsi="Arial" w:cs="Arial"/>
          <w:noProof/>
          <w:sz w:val="22"/>
          <w:szCs w:val="22"/>
          <w:lang w:val="es-CO"/>
        </w:rPr>
        <w:t>), pero también es menor al deducible pactado (</w:t>
      </w:r>
      <w:r>
        <w:rPr>
          <w:rFonts w:ascii="Arial" w:hAnsi="Arial" w:cs="Arial"/>
          <w:noProof/>
          <w:sz w:val="22"/>
          <w:szCs w:val="22"/>
          <w:lang w:val="es-CO"/>
        </w:rPr>
        <w:t xml:space="preserve">$ USD 30.000 que a la TRM de hoy -$ 3.903.61- equivale a la suma de $ </w:t>
      </w:r>
      <w:r w:rsidRPr="006E4B86">
        <w:rPr>
          <w:rFonts w:ascii="Arial" w:hAnsi="Arial" w:cs="Arial"/>
          <w:noProof/>
          <w:sz w:val="22"/>
          <w:szCs w:val="22"/>
          <w:lang w:val="es-CO"/>
        </w:rPr>
        <w:t>1</w:t>
      </w:r>
      <w:r>
        <w:rPr>
          <w:rFonts w:ascii="Arial" w:hAnsi="Arial" w:cs="Arial"/>
          <w:noProof/>
          <w:sz w:val="22"/>
          <w:szCs w:val="22"/>
          <w:lang w:val="es-CO"/>
        </w:rPr>
        <w:t>17</w:t>
      </w:r>
      <w:r w:rsidRPr="006E4B86">
        <w:rPr>
          <w:rFonts w:ascii="Arial" w:hAnsi="Arial" w:cs="Arial"/>
          <w:noProof/>
          <w:sz w:val="22"/>
          <w:szCs w:val="22"/>
          <w:lang w:val="es-CO"/>
        </w:rPr>
        <w:t>.</w:t>
      </w:r>
      <w:r>
        <w:rPr>
          <w:rFonts w:ascii="Arial" w:hAnsi="Arial" w:cs="Arial"/>
          <w:noProof/>
          <w:sz w:val="22"/>
          <w:szCs w:val="22"/>
          <w:lang w:val="es-CO"/>
        </w:rPr>
        <w:t>108.300</w:t>
      </w:r>
      <w:r w:rsidRPr="00036646">
        <w:rPr>
          <w:rFonts w:ascii="Arial" w:hAnsi="Arial" w:cs="Arial"/>
          <w:noProof/>
          <w:sz w:val="22"/>
          <w:szCs w:val="22"/>
          <w:lang w:val="es-CO"/>
        </w:rPr>
        <w:t xml:space="preserve">), </w:t>
      </w:r>
      <w:r w:rsidRPr="00DA7130">
        <w:rPr>
          <w:rFonts w:ascii="Arial" w:hAnsi="Arial" w:cs="Arial"/>
          <w:b/>
          <w:noProof/>
          <w:sz w:val="22"/>
          <w:szCs w:val="22"/>
          <w:u w:val="single"/>
          <w:lang w:val="es-CO"/>
        </w:rPr>
        <w:t>por lo tanto, en caso de una condena, el asegurado debe asumir la totalidad del pago por concepto de deducible.</w:t>
      </w:r>
      <w:r>
        <w:rPr>
          <w:rFonts w:ascii="Arial" w:hAnsi="Arial" w:cs="Arial"/>
          <w:noProof/>
          <w:sz w:val="22"/>
          <w:szCs w:val="22"/>
          <w:lang w:val="es-CO"/>
        </w:rPr>
        <w:t xml:space="preserve"> </w:t>
      </w:r>
    </w:p>
    <w:p w14:paraId="39B459FC" w14:textId="3414FE39" w:rsidR="00EC737C" w:rsidRDefault="00EC737C">
      <w:pPr>
        <w:spacing w:after="0" w:line="360" w:lineRule="auto"/>
        <w:jc w:val="both"/>
        <w:rPr>
          <w:rFonts w:ascii="Arial" w:hAnsi="Arial" w:cs="Arial"/>
        </w:rPr>
      </w:pPr>
    </w:p>
    <w:p w14:paraId="5CBA9A2D" w14:textId="7F58340C" w:rsidR="00CF728B" w:rsidRPr="00063403" w:rsidRDefault="00CF728B" w:rsidP="001D0080">
      <w:pPr>
        <w:pStyle w:val="NormalWeb"/>
        <w:spacing w:before="0" w:beforeAutospacing="0" w:after="0" w:afterAutospacing="0" w:line="360" w:lineRule="auto"/>
        <w:ind w:left="360"/>
        <w:rPr>
          <w:rFonts w:ascii="Arial" w:hAnsi="Arial" w:cs="Arial"/>
          <w:color w:val="000000"/>
          <w:sz w:val="22"/>
          <w:szCs w:val="22"/>
        </w:rPr>
      </w:pPr>
      <w:r w:rsidRPr="00063403">
        <w:rPr>
          <w:rStyle w:val="Textoennegrita"/>
          <w:rFonts w:ascii="Arial" w:hAnsi="Arial" w:cs="Arial"/>
          <w:color w:val="000000"/>
          <w:sz w:val="22"/>
          <w:szCs w:val="22"/>
        </w:rPr>
        <w:t>Póliza</w:t>
      </w:r>
      <w:r w:rsidRPr="00063403">
        <w:rPr>
          <w:rFonts w:ascii="Arial" w:hAnsi="Arial" w:cs="Arial"/>
          <w:color w:val="000000"/>
          <w:sz w:val="22"/>
          <w:szCs w:val="22"/>
        </w:rPr>
        <w:t xml:space="preserve">: Póliza </w:t>
      </w:r>
      <w:r w:rsidR="006920C0" w:rsidRPr="00063403">
        <w:rPr>
          <w:rFonts w:ascii="Arial" w:hAnsi="Arial" w:cs="Arial"/>
          <w:color w:val="000000"/>
          <w:sz w:val="22"/>
          <w:szCs w:val="22"/>
        </w:rPr>
        <w:t xml:space="preserve">No. </w:t>
      </w:r>
      <w:r w:rsidR="006920C0" w:rsidRPr="00063403">
        <w:rPr>
          <w:rFonts w:ascii="Arial" w:hAnsi="Arial" w:cs="Arial"/>
          <w:sz w:val="22"/>
          <w:szCs w:val="22"/>
        </w:rPr>
        <w:t>013000134588.</w:t>
      </w:r>
    </w:p>
    <w:p w14:paraId="7DB9A78E" w14:textId="6357DC6E" w:rsidR="00CF728B" w:rsidRPr="00063403" w:rsidRDefault="00CF728B" w:rsidP="001D0080">
      <w:pPr>
        <w:pStyle w:val="NormalWeb"/>
        <w:spacing w:before="0" w:beforeAutospacing="0" w:after="0" w:afterAutospacing="0" w:line="360" w:lineRule="auto"/>
        <w:ind w:left="360"/>
        <w:rPr>
          <w:rFonts w:ascii="Arial" w:hAnsi="Arial" w:cs="Arial"/>
          <w:color w:val="000000"/>
          <w:sz w:val="22"/>
          <w:szCs w:val="22"/>
        </w:rPr>
      </w:pPr>
      <w:r w:rsidRPr="00063403">
        <w:rPr>
          <w:rStyle w:val="Textoennegrita"/>
          <w:rFonts w:ascii="Arial" w:hAnsi="Arial" w:cs="Arial"/>
          <w:color w:val="000000"/>
          <w:sz w:val="22"/>
          <w:szCs w:val="22"/>
        </w:rPr>
        <w:t>Vigencia Afectada</w:t>
      </w:r>
      <w:r w:rsidRPr="00063403">
        <w:rPr>
          <w:rFonts w:ascii="Arial" w:hAnsi="Arial" w:cs="Arial"/>
          <w:color w:val="000000"/>
          <w:sz w:val="22"/>
          <w:szCs w:val="22"/>
        </w:rPr>
        <w:t xml:space="preserve">: </w:t>
      </w:r>
      <w:r w:rsidR="006920C0" w:rsidRPr="00063403">
        <w:rPr>
          <w:rFonts w:ascii="Arial" w:hAnsi="Arial" w:cs="Arial"/>
          <w:bCs/>
          <w:iCs/>
          <w:sz w:val="22"/>
          <w:szCs w:val="22"/>
        </w:rPr>
        <w:t>9 de octubre de 2022 al 9 de octubre de 2023.</w:t>
      </w:r>
    </w:p>
    <w:p w14:paraId="565DF26A" w14:textId="22653C1C" w:rsidR="00CF728B" w:rsidRPr="00063403" w:rsidRDefault="00CF728B" w:rsidP="001D0080">
      <w:pPr>
        <w:pStyle w:val="NormalWeb"/>
        <w:spacing w:before="0" w:beforeAutospacing="0" w:after="0" w:afterAutospacing="0" w:line="360" w:lineRule="auto"/>
        <w:ind w:left="360"/>
        <w:rPr>
          <w:rFonts w:ascii="Arial" w:hAnsi="Arial" w:cs="Arial"/>
          <w:color w:val="000000"/>
          <w:sz w:val="22"/>
          <w:szCs w:val="22"/>
        </w:rPr>
      </w:pPr>
      <w:r w:rsidRPr="00063403">
        <w:rPr>
          <w:rStyle w:val="Textoennegrita"/>
          <w:rFonts w:ascii="Arial" w:hAnsi="Arial" w:cs="Arial"/>
          <w:color w:val="000000"/>
          <w:sz w:val="22"/>
          <w:szCs w:val="22"/>
        </w:rPr>
        <w:t>Ramo</w:t>
      </w:r>
      <w:r w:rsidRPr="00063403">
        <w:rPr>
          <w:rFonts w:ascii="Arial" w:hAnsi="Arial" w:cs="Arial"/>
          <w:color w:val="000000"/>
          <w:sz w:val="22"/>
          <w:szCs w:val="22"/>
        </w:rPr>
        <w:t xml:space="preserve">: </w:t>
      </w:r>
      <w:r w:rsidR="006920C0" w:rsidRPr="00063403">
        <w:rPr>
          <w:rFonts w:ascii="Arial" w:hAnsi="Arial" w:cs="Arial"/>
          <w:color w:val="000000"/>
          <w:sz w:val="22"/>
          <w:szCs w:val="22"/>
        </w:rPr>
        <w:t>013</w:t>
      </w:r>
    </w:p>
    <w:p w14:paraId="4C3E0C76" w14:textId="02DBC61E" w:rsidR="008F567E" w:rsidRDefault="00CF728B" w:rsidP="001D0080">
      <w:pPr>
        <w:pStyle w:val="NormalWeb"/>
        <w:spacing w:before="0" w:beforeAutospacing="0" w:after="0" w:afterAutospacing="0" w:line="360" w:lineRule="auto"/>
        <w:ind w:left="360"/>
        <w:rPr>
          <w:rFonts w:ascii="Arial" w:hAnsi="Arial" w:cs="Arial"/>
          <w:color w:val="000000"/>
          <w:sz w:val="22"/>
          <w:szCs w:val="22"/>
        </w:rPr>
      </w:pPr>
      <w:r w:rsidRPr="00063403">
        <w:rPr>
          <w:rStyle w:val="Textoennegrita"/>
          <w:rFonts w:ascii="Arial" w:hAnsi="Arial" w:cs="Arial"/>
          <w:color w:val="000000"/>
          <w:sz w:val="22"/>
          <w:szCs w:val="22"/>
        </w:rPr>
        <w:t>Valor Asegurado</w:t>
      </w:r>
      <w:r w:rsidRPr="00063403">
        <w:rPr>
          <w:rFonts w:ascii="Arial" w:hAnsi="Arial" w:cs="Arial"/>
          <w:color w:val="000000"/>
          <w:sz w:val="22"/>
          <w:szCs w:val="22"/>
        </w:rPr>
        <w:t xml:space="preserve">: </w:t>
      </w:r>
      <w:r w:rsidR="006920C0" w:rsidRPr="00063403">
        <w:rPr>
          <w:rFonts w:ascii="Arial" w:hAnsi="Arial" w:cs="Arial"/>
          <w:color w:val="000000"/>
          <w:sz w:val="22"/>
          <w:szCs w:val="22"/>
        </w:rPr>
        <w:t>$50.000 USD</w:t>
      </w:r>
      <w:r w:rsidR="00BF362F">
        <w:rPr>
          <w:rFonts w:ascii="Arial" w:hAnsi="Arial" w:cs="Arial"/>
          <w:color w:val="000000"/>
          <w:sz w:val="22"/>
          <w:szCs w:val="22"/>
        </w:rPr>
        <w:t>.</w:t>
      </w:r>
    </w:p>
    <w:p w14:paraId="316D95F4" w14:textId="3069B640" w:rsidR="00BF362F" w:rsidRPr="00BF362F" w:rsidRDefault="00BF362F" w:rsidP="001D0080">
      <w:pPr>
        <w:pStyle w:val="NormalWeb"/>
        <w:spacing w:before="0" w:beforeAutospacing="0" w:after="0" w:afterAutospacing="0" w:line="360" w:lineRule="auto"/>
        <w:ind w:left="360"/>
        <w:rPr>
          <w:rFonts w:ascii="Arial" w:hAnsi="Arial" w:cs="Arial"/>
          <w:color w:val="000000"/>
          <w:sz w:val="22"/>
          <w:szCs w:val="22"/>
        </w:rPr>
      </w:pPr>
      <w:r w:rsidRPr="004C1BFC">
        <w:rPr>
          <w:rFonts w:ascii="Arial" w:hAnsi="Arial" w:cs="Arial"/>
          <w:b/>
          <w:bCs/>
          <w:color w:val="000000"/>
          <w:sz w:val="22"/>
          <w:szCs w:val="22"/>
        </w:rPr>
        <w:t>Deducible:</w:t>
      </w:r>
      <w:r>
        <w:rPr>
          <w:rFonts w:ascii="Arial" w:hAnsi="Arial" w:cs="Arial"/>
          <w:b/>
          <w:bCs/>
          <w:color w:val="000000"/>
          <w:sz w:val="22"/>
          <w:szCs w:val="22"/>
        </w:rPr>
        <w:t xml:space="preserve"> </w:t>
      </w:r>
      <w:r>
        <w:rPr>
          <w:rFonts w:ascii="Arial" w:hAnsi="Arial" w:cs="Arial"/>
          <w:color w:val="000000"/>
          <w:sz w:val="22"/>
          <w:szCs w:val="22"/>
        </w:rPr>
        <w:t>$30.000 USD.</w:t>
      </w:r>
    </w:p>
    <w:p w14:paraId="5E5261BE" w14:textId="26DF601B" w:rsidR="008F567E" w:rsidRPr="00063403" w:rsidRDefault="008F567E">
      <w:pPr>
        <w:spacing w:after="0" w:line="360" w:lineRule="auto"/>
        <w:jc w:val="both"/>
        <w:rPr>
          <w:rFonts w:ascii="Arial" w:hAnsi="Arial" w:cs="Arial"/>
        </w:rPr>
      </w:pPr>
    </w:p>
    <w:p w14:paraId="197C939D" w14:textId="77777777" w:rsidR="008F567E" w:rsidRPr="00063403" w:rsidRDefault="008F567E">
      <w:pPr>
        <w:spacing w:after="0" w:line="360" w:lineRule="auto"/>
        <w:jc w:val="both"/>
        <w:rPr>
          <w:rFonts w:ascii="Arial" w:hAnsi="Arial" w:cs="Arial"/>
        </w:rPr>
      </w:pPr>
    </w:p>
    <w:p w14:paraId="5B379C7D" w14:textId="77777777" w:rsidR="008F567E" w:rsidRPr="00063403" w:rsidRDefault="008F567E">
      <w:pPr>
        <w:spacing w:after="0" w:line="360" w:lineRule="auto"/>
        <w:jc w:val="both"/>
        <w:rPr>
          <w:rFonts w:ascii="Arial" w:hAnsi="Arial" w:cs="Arial"/>
        </w:rPr>
      </w:pPr>
    </w:p>
    <w:sectPr w:rsidR="008F567E" w:rsidRPr="000634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F64F2"/>
    <w:multiLevelType w:val="hybridMultilevel"/>
    <w:tmpl w:val="18AE218C"/>
    <w:lvl w:ilvl="0" w:tplc="E4EE2148">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20551EF"/>
    <w:multiLevelType w:val="hybridMultilevel"/>
    <w:tmpl w:val="235A99AE"/>
    <w:lvl w:ilvl="0" w:tplc="9124B5AC">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60238DE"/>
    <w:multiLevelType w:val="hybridMultilevel"/>
    <w:tmpl w:val="CA0E2EE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667970C2"/>
    <w:multiLevelType w:val="hybridMultilevel"/>
    <w:tmpl w:val="CD8E3DBA"/>
    <w:lvl w:ilvl="0" w:tplc="F91E8424">
      <w:start w:val="1"/>
      <w:numFmt w:val="bullet"/>
      <w:lvlText w:val="-"/>
      <w:lvlJc w:val="left"/>
      <w:pPr>
        <w:ind w:left="720" w:hanging="360"/>
      </w:pPr>
      <w:rPr>
        <w:rFonts w:ascii="Arial" w:eastAsiaTheme="minorHAnsi" w:hAnsi="Arial" w:cs="Arial" w:hint="default"/>
        <w:b/>
        <w:u w:val="singl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EA32B3D"/>
    <w:multiLevelType w:val="hybridMultilevel"/>
    <w:tmpl w:val="6D5A74CC"/>
    <w:lvl w:ilvl="0" w:tplc="5E8EF8DC">
      <w:start w:val="1"/>
      <w:numFmt w:val="decimal"/>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49065638">
    <w:abstractNumId w:val="1"/>
  </w:num>
  <w:num w:numId="2" w16cid:durableId="689258845">
    <w:abstractNumId w:val="2"/>
  </w:num>
  <w:num w:numId="3" w16cid:durableId="1247570806">
    <w:abstractNumId w:val="3"/>
  </w:num>
  <w:num w:numId="4" w16cid:durableId="1078748268">
    <w:abstractNumId w:val="0"/>
  </w:num>
  <w:num w:numId="5" w16cid:durableId="671374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CEA"/>
    <w:rsid w:val="000416E4"/>
    <w:rsid w:val="00057CD0"/>
    <w:rsid w:val="00060FB8"/>
    <w:rsid w:val="00063403"/>
    <w:rsid w:val="000F3A94"/>
    <w:rsid w:val="000F416B"/>
    <w:rsid w:val="001A7E4E"/>
    <w:rsid w:val="001D0080"/>
    <w:rsid w:val="001F6E57"/>
    <w:rsid w:val="002D5780"/>
    <w:rsid w:val="002D73F2"/>
    <w:rsid w:val="0030506F"/>
    <w:rsid w:val="003D5901"/>
    <w:rsid w:val="00447CEA"/>
    <w:rsid w:val="00476425"/>
    <w:rsid w:val="004C1BFC"/>
    <w:rsid w:val="00553CE9"/>
    <w:rsid w:val="005551D1"/>
    <w:rsid w:val="005763CD"/>
    <w:rsid w:val="00577686"/>
    <w:rsid w:val="00592BC4"/>
    <w:rsid w:val="0065697C"/>
    <w:rsid w:val="006920C0"/>
    <w:rsid w:val="006A3531"/>
    <w:rsid w:val="006E6A47"/>
    <w:rsid w:val="006F5981"/>
    <w:rsid w:val="00776AFE"/>
    <w:rsid w:val="007A5C90"/>
    <w:rsid w:val="008124FC"/>
    <w:rsid w:val="00822536"/>
    <w:rsid w:val="008246CC"/>
    <w:rsid w:val="008D76F8"/>
    <w:rsid w:val="008F567E"/>
    <w:rsid w:val="00953120"/>
    <w:rsid w:val="009569E1"/>
    <w:rsid w:val="009836E6"/>
    <w:rsid w:val="009B2CF0"/>
    <w:rsid w:val="009E33BC"/>
    <w:rsid w:val="00A437F5"/>
    <w:rsid w:val="00A529C4"/>
    <w:rsid w:val="00A67276"/>
    <w:rsid w:val="00B94DF2"/>
    <w:rsid w:val="00BF362F"/>
    <w:rsid w:val="00C05AA7"/>
    <w:rsid w:val="00C11F7F"/>
    <w:rsid w:val="00C15D66"/>
    <w:rsid w:val="00CE2355"/>
    <w:rsid w:val="00CF728B"/>
    <w:rsid w:val="00D4528D"/>
    <w:rsid w:val="00D56759"/>
    <w:rsid w:val="00D61D1C"/>
    <w:rsid w:val="00DB078F"/>
    <w:rsid w:val="00E245E7"/>
    <w:rsid w:val="00E43A5C"/>
    <w:rsid w:val="00E43BA2"/>
    <w:rsid w:val="00EC737C"/>
    <w:rsid w:val="00FA16CF"/>
    <w:rsid w:val="00FD14A0"/>
    <w:rsid w:val="00FD68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EFAB3"/>
  <w15:chartTrackingRefBased/>
  <w15:docId w15:val="{AE8F4456-FB89-4472-A902-46513A54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7CEA"/>
    <w:pPr>
      <w:ind w:left="720"/>
      <w:contextualSpacing/>
    </w:pPr>
  </w:style>
  <w:style w:type="paragraph" w:styleId="NormalWeb">
    <w:name w:val="Normal (Web)"/>
    <w:basedOn w:val="Normal"/>
    <w:uiPriority w:val="99"/>
    <w:semiHidden/>
    <w:unhideWhenUsed/>
    <w:rsid w:val="00CF728B"/>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Textoennegrita">
    <w:name w:val="Strong"/>
    <w:basedOn w:val="Fuentedeprrafopredeter"/>
    <w:uiPriority w:val="22"/>
    <w:qFormat/>
    <w:rsid w:val="00CF728B"/>
    <w:rPr>
      <w:b/>
      <w:bCs/>
    </w:rPr>
  </w:style>
  <w:style w:type="character" w:styleId="Hipervnculo">
    <w:name w:val="Hyperlink"/>
    <w:basedOn w:val="Fuentedeprrafopredeter"/>
    <w:uiPriority w:val="99"/>
    <w:unhideWhenUsed/>
    <w:rsid w:val="00DB078F"/>
    <w:rPr>
      <w:color w:val="0563C1" w:themeColor="hyperlink"/>
      <w:u w:val="single"/>
    </w:rPr>
  </w:style>
  <w:style w:type="character" w:customStyle="1" w:styleId="Mencinsinresolver1">
    <w:name w:val="Mención sin resolver1"/>
    <w:basedOn w:val="Fuentedeprrafopredeter"/>
    <w:uiPriority w:val="99"/>
    <w:semiHidden/>
    <w:unhideWhenUsed/>
    <w:rsid w:val="00DB078F"/>
    <w:rPr>
      <w:color w:val="605E5C"/>
      <w:shd w:val="clear" w:color="auto" w:fill="E1DFDD"/>
    </w:rPr>
  </w:style>
  <w:style w:type="paragraph" w:customStyle="1" w:styleId="Default">
    <w:name w:val="Default"/>
    <w:rsid w:val="006920C0"/>
    <w:pPr>
      <w:autoSpaceDE w:val="0"/>
      <w:autoSpaceDN w:val="0"/>
      <w:adjustRightInd w:val="0"/>
      <w:spacing w:after="0" w:line="240" w:lineRule="auto"/>
    </w:pPr>
    <w:rPr>
      <w:rFonts w:ascii="Arial" w:hAnsi="Arial" w:cs="Arial"/>
      <w:color w:val="000000"/>
      <w:kern w:val="0"/>
      <w:sz w:val="24"/>
      <w:szCs w:val="24"/>
      <w14:ligatures w14:val="none"/>
    </w:rPr>
  </w:style>
  <w:style w:type="character" w:styleId="Refdecomentario">
    <w:name w:val="annotation reference"/>
    <w:basedOn w:val="Fuentedeprrafopredeter"/>
    <w:uiPriority w:val="99"/>
    <w:semiHidden/>
    <w:unhideWhenUsed/>
    <w:rsid w:val="00476425"/>
    <w:rPr>
      <w:sz w:val="16"/>
      <w:szCs w:val="16"/>
    </w:rPr>
  </w:style>
  <w:style w:type="paragraph" w:styleId="Textocomentario">
    <w:name w:val="annotation text"/>
    <w:basedOn w:val="Normal"/>
    <w:link w:val="TextocomentarioCar"/>
    <w:uiPriority w:val="99"/>
    <w:semiHidden/>
    <w:unhideWhenUsed/>
    <w:rsid w:val="0047642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6425"/>
    <w:rPr>
      <w:sz w:val="20"/>
      <w:szCs w:val="20"/>
    </w:rPr>
  </w:style>
  <w:style w:type="paragraph" w:styleId="Asuntodelcomentario">
    <w:name w:val="annotation subject"/>
    <w:basedOn w:val="Textocomentario"/>
    <w:next w:val="Textocomentario"/>
    <w:link w:val="AsuntodelcomentarioCar"/>
    <w:uiPriority w:val="99"/>
    <w:semiHidden/>
    <w:unhideWhenUsed/>
    <w:rsid w:val="00476425"/>
    <w:rPr>
      <w:b/>
      <w:bCs/>
    </w:rPr>
  </w:style>
  <w:style w:type="character" w:customStyle="1" w:styleId="AsuntodelcomentarioCar">
    <w:name w:val="Asunto del comentario Car"/>
    <w:basedOn w:val="TextocomentarioCar"/>
    <w:link w:val="Asuntodelcomentario"/>
    <w:uiPriority w:val="99"/>
    <w:semiHidden/>
    <w:rsid w:val="00476425"/>
    <w:rPr>
      <w:b/>
      <w:bCs/>
      <w:sz w:val="20"/>
      <w:szCs w:val="20"/>
    </w:rPr>
  </w:style>
  <w:style w:type="paragraph" w:styleId="Textodeglobo">
    <w:name w:val="Balloon Text"/>
    <w:basedOn w:val="Normal"/>
    <w:link w:val="TextodegloboCar"/>
    <w:uiPriority w:val="99"/>
    <w:semiHidden/>
    <w:unhideWhenUsed/>
    <w:rsid w:val="004764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6425"/>
    <w:rPr>
      <w:rFonts w:ascii="Segoe UI" w:hAnsi="Segoe UI" w:cs="Segoe UI"/>
      <w:sz w:val="18"/>
      <w:szCs w:val="18"/>
    </w:rPr>
  </w:style>
  <w:style w:type="paragraph" w:styleId="Revisin">
    <w:name w:val="Revision"/>
    <w:hidden/>
    <w:uiPriority w:val="99"/>
    <w:semiHidden/>
    <w:rsid w:val="00C05AA7"/>
    <w:pPr>
      <w:spacing w:after="0" w:line="240" w:lineRule="auto"/>
    </w:pPr>
  </w:style>
  <w:style w:type="paragraph" w:styleId="Sangra2detindependiente">
    <w:name w:val="Body Text Indent 2"/>
    <w:basedOn w:val="Normal"/>
    <w:link w:val="Sangra2detindependienteCar"/>
    <w:uiPriority w:val="99"/>
    <w:unhideWhenUsed/>
    <w:rsid w:val="00BF362F"/>
    <w:pPr>
      <w:spacing w:after="120" w:line="480" w:lineRule="auto"/>
      <w:ind w:left="283"/>
    </w:pPr>
    <w:rPr>
      <w:rFonts w:ascii="Times New Roman" w:eastAsia="Times New Roman" w:hAnsi="Times New Roman" w:cs="Times New Roman"/>
      <w:kern w:val="0"/>
      <w:sz w:val="24"/>
      <w:szCs w:val="24"/>
      <w:lang w:val="es-ES" w:eastAsia="es-ES"/>
      <w14:ligatures w14:val="none"/>
    </w:rPr>
  </w:style>
  <w:style w:type="character" w:customStyle="1" w:styleId="Sangra2detindependienteCar">
    <w:name w:val="Sangría 2 de t. independiente Car"/>
    <w:basedOn w:val="Fuentedeprrafopredeter"/>
    <w:link w:val="Sangra2detindependiente"/>
    <w:uiPriority w:val="99"/>
    <w:rsid w:val="00BF362F"/>
    <w:rPr>
      <w:rFonts w:ascii="Times New Roman" w:eastAsia="Times New Roman"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575296">
      <w:bodyDiv w:val="1"/>
      <w:marLeft w:val="0"/>
      <w:marRight w:val="0"/>
      <w:marTop w:val="0"/>
      <w:marBottom w:val="0"/>
      <w:divBdr>
        <w:top w:val="none" w:sz="0" w:space="0" w:color="auto"/>
        <w:left w:val="none" w:sz="0" w:space="0" w:color="auto"/>
        <w:bottom w:val="none" w:sz="0" w:space="0" w:color="auto"/>
        <w:right w:val="none" w:sz="0" w:space="0" w:color="auto"/>
      </w:divBdr>
      <w:divsChild>
        <w:div w:id="1795515983">
          <w:marLeft w:val="0"/>
          <w:marRight w:val="0"/>
          <w:marTop w:val="0"/>
          <w:marBottom w:val="0"/>
          <w:divBdr>
            <w:top w:val="none" w:sz="0" w:space="0" w:color="auto"/>
            <w:left w:val="none" w:sz="0" w:space="0" w:color="auto"/>
            <w:bottom w:val="none" w:sz="0" w:space="0" w:color="auto"/>
            <w:right w:val="none" w:sz="0" w:space="0" w:color="auto"/>
          </w:divBdr>
        </w:div>
        <w:div w:id="440615773">
          <w:marLeft w:val="0"/>
          <w:marRight w:val="0"/>
          <w:marTop w:val="0"/>
          <w:marBottom w:val="0"/>
          <w:divBdr>
            <w:top w:val="none" w:sz="0" w:space="0" w:color="auto"/>
            <w:left w:val="none" w:sz="0" w:space="0" w:color="auto"/>
            <w:bottom w:val="none" w:sz="0" w:space="0" w:color="auto"/>
            <w:right w:val="none" w:sz="0" w:space="0" w:color="auto"/>
          </w:divBdr>
        </w:div>
        <w:div w:id="1515419782">
          <w:marLeft w:val="0"/>
          <w:marRight w:val="0"/>
          <w:marTop w:val="0"/>
          <w:marBottom w:val="0"/>
          <w:divBdr>
            <w:top w:val="none" w:sz="0" w:space="0" w:color="auto"/>
            <w:left w:val="none" w:sz="0" w:space="0" w:color="auto"/>
            <w:bottom w:val="none" w:sz="0" w:space="0" w:color="auto"/>
            <w:right w:val="none" w:sz="0" w:space="0" w:color="auto"/>
          </w:divBdr>
        </w:div>
        <w:div w:id="1385521375">
          <w:marLeft w:val="0"/>
          <w:marRight w:val="0"/>
          <w:marTop w:val="0"/>
          <w:marBottom w:val="0"/>
          <w:divBdr>
            <w:top w:val="none" w:sz="0" w:space="0" w:color="auto"/>
            <w:left w:val="none" w:sz="0" w:space="0" w:color="auto"/>
            <w:bottom w:val="none" w:sz="0" w:space="0" w:color="auto"/>
            <w:right w:val="none" w:sz="0" w:space="0" w:color="auto"/>
          </w:divBdr>
        </w:div>
        <w:div w:id="1720279267">
          <w:marLeft w:val="0"/>
          <w:marRight w:val="0"/>
          <w:marTop w:val="0"/>
          <w:marBottom w:val="0"/>
          <w:divBdr>
            <w:top w:val="none" w:sz="0" w:space="0" w:color="auto"/>
            <w:left w:val="none" w:sz="0" w:space="0" w:color="auto"/>
            <w:bottom w:val="none" w:sz="0" w:space="0" w:color="auto"/>
            <w:right w:val="none" w:sz="0" w:space="0" w:color="auto"/>
          </w:divBdr>
        </w:div>
      </w:divsChild>
    </w:div>
    <w:div w:id="487986761">
      <w:bodyDiv w:val="1"/>
      <w:marLeft w:val="0"/>
      <w:marRight w:val="0"/>
      <w:marTop w:val="0"/>
      <w:marBottom w:val="0"/>
      <w:divBdr>
        <w:top w:val="none" w:sz="0" w:space="0" w:color="auto"/>
        <w:left w:val="none" w:sz="0" w:space="0" w:color="auto"/>
        <w:bottom w:val="none" w:sz="0" w:space="0" w:color="auto"/>
        <w:right w:val="none" w:sz="0" w:space="0" w:color="auto"/>
      </w:divBdr>
    </w:div>
    <w:div w:id="139585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1522</Words>
  <Characters>8376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Castaño Buitrago</dc:creator>
  <cp:keywords/>
  <dc:description/>
  <cp:lastModifiedBy>Joseph  pinto</cp:lastModifiedBy>
  <cp:revision>3</cp:revision>
  <dcterms:created xsi:type="dcterms:W3CDTF">2024-04-19T22:38:00Z</dcterms:created>
  <dcterms:modified xsi:type="dcterms:W3CDTF">2024-04-19T22:38:00Z</dcterms:modified>
</cp:coreProperties>
</file>