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57ABB" w14:textId="77777777" w:rsidR="00C3016C" w:rsidRPr="00313AA2" w:rsidRDefault="00C3016C" w:rsidP="00C3016C">
      <w:pPr>
        <w:spacing w:line="254" w:lineRule="auto"/>
        <w:jc w:val="both"/>
        <w:rPr>
          <w:rFonts w:asciiTheme="minorHAnsi" w:hAnsiTheme="minorHAnsi" w:cstheme="minorHAnsi"/>
          <w:sz w:val="20"/>
          <w:szCs w:val="20"/>
        </w:rPr>
      </w:pPr>
      <w:r w:rsidRPr="00313AA2">
        <w:rPr>
          <w:rFonts w:asciiTheme="minorHAnsi" w:hAnsiTheme="minorHAnsi" w:cstheme="minorHAnsi"/>
          <w:sz w:val="20"/>
          <w:szCs w:val="20"/>
        </w:rPr>
        <w:t> </w:t>
      </w:r>
    </w:p>
    <w:tbl>
      <w:tblPr>
        <w:tblStyle w:val="Tablaconcuadrcula"/>
        <w:tblW w:w="9983" w:type="dxa"/>
        <w:tblLook w:val="04A0" w:firstRow="1" w:lastRow="0" w:firstColumn="1" w:lastColumn="0" w:noHBand="0" w:noVBand="1"/>
      </w:tblPr>
      <w:tblGrid>
        <w:gridCol w:w="2518"/>
        <w:gridCol w:w="7465"/>
      </w:tblGrid>
      <w:tr w:rsidR="00C3016C" w:rsidRPr="00313AA2" w14:paraId="680EB41E" w14:textId="77777777" w:rsidTr="3452EF96">
        <w:tc>
          <w:tcPr>
            <w:tcW w:w="9983" w:type="dxa"/>
            <w:gridSpan w:val="2"/>
            <w:shd w:val="clear" w:color="auto" w:fill="1F3864" w:themeFill="accent1" w:themeFillShade="80"/>
          </w:tcPr>
          <w:p w14:paraId="2A6B0E42" w14:textId="09A01D5F" w:rsidR="00C3016C" w:rsidRPr="00313AA2" w:rsidRDefault="00C3016C" w:rsidP="00C3016C">
            <w:pPr>
              <w:jc w:val="center"/>
              <w:rPr>
                <w:rFonts w:asciiTheme="minorHAnsi" w:hAnsiTheme="minorHAnsi" w:cstheme="minorHAnsi"/>
                <w:b/>
                <w:sz w:val="20"/>
                <w:szCs w:val="20"/>
                <w:lang w:val="es-ES_tradnl"/>
              </w:rPr>
            </w:pPr>
            <w:r w:rsidRPr="00313AA2">
              <w:rPr>
                <w:rFonts w:asciiTheme="minorHAnsi" w:hAnsiTheme="minorHAnsi" w:cstheme="minorHAnsi"/>
                <w:b/>
                <w:sz w:val="20"/>
                <w:szCs w:val="20"/>
                <w:lang w:val="es-ES_tradnl"/>
              </w:rPr>
              <w:t>INFORME INICIAL DEL PROCESO</w:t>
            </w:r>
          </w:p>
        </w:tc>
      </w:tr>
      <w:tr w:rsidR="00C3016C" w:rsidRPr="00313AA2" w14:paraId="4BC558F4" w14:textId="77777777" w:rsidTr="3452EF96">
        <w:tc>
          <w:tcPr>
            <w:tcW w:w="2518" w:type="dxa"/>
            <w:shd w:val="clear" w:color="auto" w:fill="D9D9D9" w:themeFill="background1" w:themeFillShade="D9"/>
          </w:tcPr>
          <w:p w14:paraId="28F99CFA" w14:textId="77777777" w:rsidR="00C3016C" w:rsidRPr="00313AA2" w:rsidRDefault="00C3016C" w:rsidP="00C359FA">
            <w:pPr>
              <w:rPr>
                <w:rFonts w:asciiTheme="minorHAnsi" w:hAnsiTheme="minorHAnsi" w:cstheme="minorHAnsi"/>
                <w:b/>
                <w:sz w:val="20"/>
                <w:szCs w:val="20"/>
                <w:lang w:val="es-ES_tradnl"/>
              </w:rPr>
            </w:pPr>
            <w:r w:rsidRPr="00313AA2">
              <w:rPr>
                <w:rFonts w:asciiTheme="minorHAnsi" w:hAnsiTheme="minorHAnsi" w:cstheme="minorHAnsi"/>
                <w:b/>
                <w:sz w:val="20"/>
                <w:szCs w:val="20"/>
                <w:lang w:val="es-ES_tradnl"/>
              </w:rPr>
              <w:t>Apoderado:</w:t>
            </w:r>
          </w:p>
        </w:tc>
        <w:tc>
          <w:tcPr>
            <w:tcW w:w="7465" w:type="dxa"/>
          </w:tcPr>
          <w:p w14:paraId="0B07F818" w14:textId="77777777" w:rsidR="00C3016C" w:rsidRPr="00313AA2" w:rsidRDefault="00C3016C" w:rsidP="00C359FA">
            <w:pPr>
              <w:jc w:val="both"/>
              <w:rPr>
                <w:rFonts w:asciiTheme="minorHAnsi" w:hAnsiTheme="minorHAnsi" w:cstheme="minorHAnsi"/>
                <w:sz w:val="20"/>
                <w:szCs w:val="20"/>
                <w:lang w:val="es-ES_tradnl"/>
              </w:rPr>
            </w:pPr>
          </w:p>
        </w:tc>
      </w:tr>
      <w:tr w:rsidR="00C3016C" w:rsidRPr="00313AA2" w14:paraId="05CE423E" w14:textId="77777777" w:rsidTr="3452EF96">
        <w:tc>
          <w:tcPr>
            <w:tcW w:w="2518" w:type="dxa"/>
            <w:shd w:val="clear" w:color="auto" w:fill="D9D9D9" w:themeFill="background1" w:themeFillShade="D9"/>
          </w:tcPr>
          <w:p w14:paraId="6CF2773B" w14:textId="77777777" w:rsidR="00C3016C" w:rsidRPr="00313AA2" w:rsidRDefault="00C3016C" w:rsidP="00C359FA">
            <w:pPr>
              <w:rPr>
                <w:rFonts w:asciiTheme="minorHAnsi" w:hAnsiTheme="minorHAnsi" w:cstheme="minorHAnsi"/>
                <w:b/>
                <w:sz w:val="20"/>
                <w:szCs w:val="20"/>
                <w:lang w:val="es-ES_tradnl"/>
              </w:rPr>
            </w:pPr>
            <w:r w:rsidRPr="00313AA2">
              <w:rPr>
                <w:rFonts w:asciiTheme="minorHAnsi" w:hAnsiTheme="minorHAnsi" w:cstheme="minorHAnsi"/>
                <w:b/>
                <w:sz w:val="20"/>
                <w:szCs w:val="20"/>
                <w:lang w:val="es-ES_tradnl"/>
              </w:rPr>
              <w:t>Tipo y # de Póliza:</w:t>
            </w:r>
          </w:p>
        </w:tc>
        <w:tc>
          <w:tcPr>
            <w:tcW w:w="7465" w:type="dxa"/>
          </w:tcPr>
          <w:p w14:paraId="2CD51689" w14:textId="4A1CC85A" w:rsidR="00C3016C" w:rsidRPr="00313AA2" w:rsidRDefault="001C26BF" w:rsidP="00C359FA">
            <w:pPr>
              <w:jc w:val="both"/>
              <w:rPr>
                <w:rFonts w:asciiTheme="minorHAnsi" w:hAnsiTheme="minorHAnsi" w:cstheme="minorHAnsi"/>
                <w:sz w:val="20"/>
                <w:szCs w:val="20"/>
              </w:rPr>
            </w:pPr>
            <w:r w:rsidRPr="00313AA2">
              <w:rPr>
                <w:rFonts w:asciiTheme="minorHAnsi" w:hAnsiTheme="minorHAnsi" w:cstheme="minorHAnsi"/>
                <w:sz w:val="20"/>
                <w:szCs w:val="20"/>
              </w:rPr>
              <w:t>P</w:t>
            </w:r>
            <w:r w:rsidRPr="001C26BF">
              <w:rPr>
                <w:rFonts w:asciiTheme="minorHAnsi" w:hAnsiTheme="minorHAnsi" w:cstheme="minorHAnsi"/>
                <w:sz w:val="20"/>
                <w:szCs w:val="20"/>
              </w:rPr>
              <w:t>óliza de Responsabilidad Civil Extracontractual No. 420-80- 994000000109.</w:t>
            </w:r>
          </w:p>
        </w:tc>
      </w:tr>
      <w:tr w:rsidR="00C3016C" w:rsidRPr="00313AA2" w14:paraId="3EA02A2A" w14:textId="77777777" w:rsidTr="3452EF96">
        <w:tc>
          <w:tcPr>
            <w:tcW w:w="2518" w:type="dxa"/>
            <w:shd w:val="clear" w:color="auto" w:fill="D9D9D9" w:themeFill="background1" w:themeFillShade="D9"/>
          </w:tcPr>
          <w:p w14:paraId="54CFE80A" w14:textId="77777777" w:rsidR="00C3016C" w:rsidRPr="00313AA2" w:rsidRDefault="00C3016C" w:rsidP="00C359FA">
            <w:pPr>
              <w:rPr>
                <w:rFonts w:asciiTheme="minorHAnsi" w:hAnsiTheme="minorHAnsi" w:cstheme="minorHAnsi"/>
                <w:b/>
                <w:sz w:val="20"/>
                <w:szCs w:val="20"/>
                <w:lang w:val="es-ES_tradnl"/>
              </w:rPr>
            </w:pPr>
            <w:r w:rsidRPr="00313AA2">
              <w:rPr>
                <w:rFonts w:asciiTheme="minorHAnsi" w:hAnsiTheme="minorHAnsi" w:cstheme="minorHAnsi"/>
                <w:b/>
                <w:sz w:val="20"/>
                <w:szCs w:val="20"/>
                <w:lang w:val="es-ES_tradnl"/>
              </w:rPr>
              <w:t>Amparos afectados:</w:t>
            </w:r>
          </w:p>
        </w:tc>
        <w:tc>
          <w:tcPr>
            <w:tcW w:w="7465" w:type="dxa"/>
          </w:tcPr>
          <w:p w14:paraId="4705A538" w14:textId="4619AD6B" w:rsidR="00C3016C" w:rsidRPr="00313AA2" w:rsidRDefault="001C26BF" w:rsidP="00C359FA">
            <w:pPr>
              <w:tabs>
                <w:tab w:val="left" w:pos="5740"/>
              </w:tabs>
              <w:jc w:val="both"/>
              <w:rPr>
                <w:rFonts w:asciiTheme="minorHAnsi" w:hAnsiTheme="minorHAnsi" w:cstheme="minorHAnsi"/>
                <w:sz w:val="20"/>
                <w:szCs w:val="20"/>
                <w:lang w:val="es-ES_tradnl"/>
              </w:rPr>
            </w:pPr>
            <w:r w:rsidRPr="00313AA2">
              <w:rPr>
                <w:rFonts w:asciiTheme="minorHAnsi" w:hAnsiTheme="minorHAnsi" w:cstheme="minorHAnsi"/>
                <w:sz w:val="20"/>
                <w:szCs w:val="20"/>
                <w:lang w:val="es-ES_tradnl"/>
              </w:rPr>
              <w:t>Predios, labores y operaciones.</w:t>
            </w:r>
          </w:p>
        </w:tc>
      </w:tr>
      <w:tr w:rsidR="001C26BF" w:rsidRPr="00313AA2" w14:paraId="6EEEE1EE" w14:textId="77777777" w:rsidTr="3452EF96">
        <w:tc>
          <w:tcPr>
            <w:tcW w:w="2518" w:type="dxa"/>
            <w:shd w:val="clear" w:color="auto" w:fill="D9D9D9" w:themeFill="background1" w:themeFillShade="D9"/>
          </w:tcPr>
          <w:p w14:paraId="217E586A" w14:textId="77777777" w:rsidR="001C26BF" w:rsidRPr="00313AA2" w:rsidRDefault="001C26BF" w:rsidP="001C26BF">
            <w:pPr>
              <w:rPr>
                <w:rFonts w:asciiTheme="minorHAnsi" w:hAnsiTheme="minorHAnsi" w:cstheme="minorHAnsi"/>
                <w:b/>
                <w:sz w:val="20"/>
                <w:szCs w:val="20"/>
                <w:lang w:val="es-ES_tradnl"/>
              </w:rPr>
            </w:pPr>
            <w:r w:rsidRPr="00313AA2">
              <w:rPr>
                <w:rFonts w:asciiTheme="minorHAnsi" w:hAnsiTheme="minorHAnsi" w:cstheme="minorHAnsi"/>
                <w:b/>
                <w:sz w:val="20"/>
                <w:szCs w:val="20"/>
                <w:lang w:val="es-ES_tradnl"/>
              </w:rPr>
              <w:t>Tomador:</w:t>
            </w:r>
          </w:p>
        </w:tc>
        <w:tc>
          <w:tcPr>
            <w:tcW w:w="7465" w:type="dxa"/>
          </w:tcPr>
          <w:p w14:paraId="0712951B" w14:textId="7AEABA28" w:rsidR="001C26BF" w:rsidRPr="00313AA2" w:rsidRDefault="001C26BF" w:rsidP="001C26BF">
            <w:pPr>
              <w:jc w:val="both"/>
              <w:rPr>
                <w:rFonts w:asciiTheme="minorHAnsi" w:hAnsiTheme="minorHAnsi" w:cstheme="minorHAnsi"/>
                <w:sz w:val="20"/>
                <w:szCs w:val="20"/>
                <w:lang w:val="es-ES_tradnl"/>
              </w:rPr>
            </w:pPr>
            <w:r w:rsidRPr="00313AA2">
              <w:rPr>
                <w:rFonts w:asciiTheme="minorHAnsi" w:eastAsia="Times New Roman" w:hAnsiTheme="minorHAnsi" w:cstheme="minorHAnsi"/>
                <w:color w:val="000000"/>
                <w:sz w:val="20"/>
                <w:szCs w:val="20"/>
                <w:bdr w:val="none" w:sz="0" w:space="0" w:color="auto" w:frame="1"/>
              </w:rPr>
              <w:t>Distrito Especial Deportivo, Empresarial, Turístico y Cultural de Santiago de Cali</w:t>
            </w:r>
          </w:p>
        </w:tc>
      </w:tr>
      <w:tr w:rsidR="001C26BF" w:rsidRPr="00313AA2" w14:paraId="30CA897D" w14:textId="77777777" w:rsidTr="3452EF96">
        <w:tc>
          <w:tcPr>
            <w:tcW w:w="2518" w:type="dxa"/>
            <w:shd w:val="clear" w:color="auto" w:fill="D9D9D9" w:themeFill="background1" w:themeFillShade="D9"/>
          </w:tcPr>
          <w:p w14:paraId="5D5E5F58" w14:textId="77777777" w:rsidR="001C26BF" w:rsidRPr="00313AA2" w:rsidRDefault="001C26BF" w:rsidP="001C26BF">
            <w:pPr>
              <w:rPr>
                <w:rFonts w:asciiTheme="minorHAnsi" w:hAnsiTheme="minorHAnsi" w:cstheme="minorHAnsi"/>
                <w:b/>
                <w:sz w:val="20"/>
                <w:szCs w:val="20"/>
                <w:lang w:val="es-ES_tradnl"/>
              </w:rPr>
            </w:pPr>
            <w:r w:rsidRPr="00313AA2">
              <w:rPr>
                <w:rFonts w:asciiTheme="minorHAnsi" w:hAnsiTheme="minorHAnsi" w:cstheme="minorHAnsi"/>
                <w:b/>
                <w:sz w:val="20"/>
                <w:szCs w:val="20"/>
                <w:lang w:val="es-ES_tradnl"/>
              </w:rPr>
              <w:t>Asegurado:</w:t>
            </w:r>
          </w:p>
        </w:tc>
        <w:tc>
          <w:tcPr>
            <w:tcW w:w="7465" w:type="dxa"/>
          </w:tcPr>
          <w:p w14:paraId="087CA4CA" w14:textId="3E992FE9" w:rsidR="001C26BF" w:rsidRPr="00313AA2" w:rsidRDefault="001C26BF" w:rsidP="001C26BF">
            <w:pPr>
              <w:jc w:val="both"/>
              <w:rPr>
                <w:rFonts w:asciiTheme="minorHAnsi" w:hAnsiTheme="minorHAnsi" w:cstheme="minorHAnsi"/>
                <w:sz w:val="20"/>
                <w:szCs w:val="20"/>
                <w:lang w:val="es-ES_tradnl"/>
              </w:rPr>
            </w:pPr>
            <w:r w:rsidRPr="00313AA2">
              <w:rPr>
                <w:rFonts w:asciiTheme="minorHAnsi" w:eastAsia="Times New Roman" w:hAnsiTheme="minorHAnsi" w:cstheme="minorHAnsi"/>
                <w:color w:val="000000"/>
                <w:sz w:val="20"/>
                <w:szCs w:val="20"/>
                <w:bdr w:val="none" w:sz="0" w:space="0" w:color="auto" w:frame="1"/>
              </w:rPr>
              <w:t>Distrito Especial Deportivo, Empresarial, Turístico y Cultural de Santiago de Cali</w:t>
            </w:r>
          </w:p>
        </w:tc>
      </w:tr>
      <w:tr w:rsidR="001C26BF" w:rsidRPr="00313AA2" w14:paraId="5D17C2C5" w14:textId="77777777" w:rsidTr="3452EF96">
        <w:tc>
          <w:tcPr>
            <w:tcW w:w="2518" w:type="dxa"/>
            <w:shd w:val="clear" w:color="auto" w:fill="D9D9D9" w:themeFill="background1" w:themeFillShade="D9"/>
          </w:tcPr>
          <w:p w14:paraId="65094B69" w14:textId="77777777" w:rsidR="001C26BF" w:rsidRPr="00313AA2" w:rsidRDefault="001C26BF" w:rsidP="001C26BF">
            <w:pPr>
              <w:rPr>
                <w:rFonts w:asciiTheme="minorHAnsi" w:hAnsiTheme="minorHAnsi" w:cstheme="minorHAnsi"/>
                <w:b/>
                <w:sz w:val="20"/>
                <w:szCs w:val="20"/>
                <w:lang w:val="es-ES_tradnl"/>
              </w:rPr>
            </w:pPr>
            <w:r w:rsidRPr="00313AA2">
              <w:rPr>
                <w:rFonts w:asciiTheme="minorHAnsi" w:hAnsiTheme="minorHAnsi" w:cstheme="minorHAnsi"/>
                <w:b/>
                <w:sz w:val="20"/>
                <w:szCs w:val="20"/>
                <w:lang w:val="es-ES_tradnl"/>
              </w:rPr>
              <w:t>Tipo de Proceso:</w:t>
            </w:r>
          </w:p>
        </w:tc>
        <w:tc>
          <w:tcPr>
            <w:tcW w:w="7465" w:type="dxa"/>
          </w:tcPr>
          <w:p w14:paraId="309EF488" w14:textId="49AE120F" w:rsidR="001C26BF" w:rsidRPr="00313AA2" w:rsidRDefault="001C26BF" w:rsidP="001C26BF">
            <w:pPr>
              <w:jc w:val="both"/>
              <w:rPr>
                <w:rFonts w:asciiTheme="minorHAnsi" w:hAnsiTheme="minorHAnsi" w:cstheme="minorHAnsi"/>
                <w:sz w:val="20"/>
                <w:szCs w:val="20"/>
                <w:lang w:val="es-ES_tradnl"/>
              </w:rPr>
            </w:pPr>
            <w:r w:rsidRPr="00313AA2">
              <w:rPr>
                <w:rFonts w:asciiTheme="minorHAnsi" w:hAnsiTheme="minorHAnsi" w:cstheme="minorHAnsi"/>
                <w:sz w:val="20"/>
                <w:szCs w:val="20"/>
                <w:lang w:val="es-ES_tradnl"/>
              </w:rPr>
              <w:t>Reparación Directa</w:t>
            </w:r>
          </w:p>
        </w:tc>
      </w:tr>
      <w:tr w:rsidR="001C26BF" w:rsidRPr="00313AA2" w14:paraId="5DB3C2DA" w14:textId="77777777" w:rsidTr="3452EF96">
        <w:tc>
          <w:tcPr>
            <w:tcW w:w="2518" w:type="dxa"/>
            <w:shd w:val="clear" w:color="auto" w:fill="D9D9D9" w:themeFill="background1" w:themeFillShade="D9"/>
          </w:tcPr>
          <w:p w14:paraId="7397F6B3" w14:textId="77777777" w:rsidR="001C26BF" w:rsidRPr="00313AA2" w:rsidRDefault="001C26BF" w:rsidP="001C26BF">
            <w:pPr>
              <w:rPr>
                <w:rFonts w:asciiTheme="minorHAnsi" w:hAnsiTheme="minorHAnsi" w:cstheme="minorHAnsi"/>
                <w:b/>
                <w:sz w:val="20"/>
                <w:szCs w:val="20"/>
                <w:lang w:val="es-ES_tradnl"/>
              </w:rPr>
            </w:pPr>
            <w:r w:rsidRPr="00313AA2">
              <w:rPr>
                <w:rFonts w:asciiTheme="minorHAnsi" w:hAnsiTheme="minorHAnsi" w:cstheme="minorHAnsi"/>
                <w:b/>
                <w:sz w:val="20"/>
                <w:szCs w:val="20"/>
                <w:lang w:val="es-ES_tradnl"/>
              </w:rPr>
              <w:t>Jurisdicción:</w:t>
            </w:r>
          </w:p>
        </w:tc>
        <w:tc>
          <w:tcPr>
            <w:tcW w:w="7465" w:type="dxa"/>
          </w:tcPr>
          <w:p w14:paraId="27E029E3" w14:textId="331B835D" w:rsidR="001C26BF" w:rsidRPr="00313AA2" w:rsidRDefault="001C26BF" w:rsidP="001C26BF">
            <w:pPr>
              <w:jc w:val="both"/>
              <w:rPr>
                <w:rFonts w:asciiTheme="minorHAnsi" w:hAnsiTheme="minorHAnsi" w:cstheme="minorHAnsi"/>
                <w:sz w:val="20"/>
                <w:szCs w:val="20"/>
                <w:lang w:val="es-ES_tradnl"/>
              </w:rPr>
            </w:pPr>
            <w:r w:rsidRPr="00313AA2">
              <w:rPr>
                <w:rFonts w:asciiTheme="minorHAnsi" w:hAnsiTheme="minorHAnsi" w:cstheme="minorHAnsi"/>
                <w:sz w:val="20"/>
                <w:szCs w:val="20"/>
                <w:lang w:val="es-ES_tradnl"/>
              </w:rPr>
              <w:t>Contencioso Administrativa</w:t>
            </w:r>
          </w:p>
        </w:tc>
      </w:tr>
      <w:tr w:rsidR="001C26BF" w:rsidRPr="00313AA2" w14:paraId="28C51AE9" w14:textId="77777777" w:rsidTr="3452EF96">
        <w:tc>
          <w:tcPr>
            <w:tcW w:w="2518" w:type="dxa"/>
            <w:shd w:val="clear" w:color="auto" w:fill="D9D9D9" w:themeFill="background1" w:themeFillShade="D9"/>
          </w:tcPr>
          <w:p w14:paraId="544719C8" w14:textId="77777777" w:rsidR="001C26BF" w:rsidRPr="00313AA2" w:rsidRDefault="001C26BF" w:rsidP="001C26BF">
            <w:pPr>
              <w:rPr>
                <w:rFonts w:asciiTheme="minorHAnsi" w:hAnsiTheme="minorHAnsi" w:cstheme="minorHAnsi"/>
                <w:b/>
                <w:sz w:val="20"/>
                <w:szCs w:val="20"/>
                <w:lang w:val="es-ES_tradnl"/>
              </w:rPr>
            </w:pPr>
            <w:r w:rsidRPr="00313AA2">
              <w:rPr>
                <w:rFonts w:asciiTheme="minorHAnsi" w:hAnsiTheme="minorHAnsi" w:cstheme="minorHAnsi"/>
                <w:b/>
                <w:sz w:val="20"/>
                <w:szCs w:val="20"/>
                <w:lang w:val="es-ES_tradnl"/>
              </w:rPr>
              <w:t>Despacho:</w:t>
            </w:r>
          </w:p>
        </w:tc>
        <w:tc>
          <w:tcPr>
            <w:tcW w:w="7465" w:type="dxa"/>
          </w:tcPr>
          <w:p w14:paraId="46B4FFC6" w14:textId="4A1808D5" w:rsidR="001C26BF" w:rsidRPr="00313AA2" w:rsidRDefault="001C26BF" w:rsidP="001C26BF">
            <w:pPr>
              <w:jc w:val="both"/>
              <w:rPr>
                <w:rFonts w:asciiTheme="minorHAnsi" w:hAnsiTheme="minorHAnsi" w:cstheme="minorHAnsi"/>
                <w:sz w:val="20"/>
                <w:szCs w:val="20"/>
                <w:lang w:val="es-ES_tradnl"/>
              </w:rPr>
            </w:pPr>
            <w:r w:rsidRPr="00313AA2">
              <w:rPr>
                <w:rFonts w:asciiTheme="minorHAnsi" w:hAnsiTheme="minorHAnsi" w:cstheme="minorHAnsi"/>
                <w:sz w:val="20"/>
                <w:szCs w:val="20"/>
                <w:lang w:val="es-ES_tradnl"/>
              </w:rPr>
              <w:t>Juzgado Primero Administrativo del Circuito de Cali</w:t>
            </w:r>
          </w:p>
        </w:tc>
      </w:tr>
      <w:tr w:rsidR="001C26BF" w:rsidRPr="00313AA2" w14:paraId="1E19F9F0" w14:textId="77777777" w:rsidTr="3452EF96">
        <w:tc>
          <w:tcPr>
            <w:tcW w:w="2518" w:type="dxa"/>
            <w:shd w:val="clear" w:color="auto" w:fill="D9D9D9" w:themeFill="background1" w:themeFillShade="D9"/>
          </w:tcPr>
          <w:p w14:paraId="2CA6172A" w14:textId="77777777" w:rsidR="001C26BF" w:rsidRPr="00313AA2" w:rsidRDefault="001C26BF" w:rsidP="001C26BF">
            <w:pPr>
              <w:rPr>
                <w:rFonts w:asciiTheme="minorHAnsi" w:hAnsiTheme="minorHAnsi" w:cstheme="minorHAnsi"/>
                <w:b/>
                <w:sz w:val="20"/>
                <w:szCs w:val="20"/>
                <w:lang w:val="es-ES_tradnl"/>
              </w:rPr>
            </w:pPr>
            <w:r w:rsidRPr="00313AA2">
              <w:rPr>
                <w:rFonts w:asciiTheme="minorHAnsi" w:hAnsiTheme="minorHAnsi" w:cstheme="minorHAnsi"/>
                <w:b/>
                <w:sz w:val="20"/>
                <w:szCs w:val="20"/>
                <w:lang w:val="es-ES_tradnl"/>
              </w:rPr>
              <w:t>Ciudad:</w:t>
            </w:r>
          </w:p>
        </w:tc>
        <w:tc>
          <w:tcPr>
            <w:tcW w:w="7465" w:type="dxa"/>
          </w:tcPr>
          <w:p w14:paraId="7AD37AC6" w14:textId="0A651255" w:rsidR="001C26BF" w:rsidRPr="00313AA2" w:rsidRDefault="001C26BF" w:rsidP="001C26BF">
            <w:pPr>
              <w:jc w:val="both"/>
              <w:rPr>
                <w:rFonts w:asciiTheme="minorHAnsi" w:hAnsiTheme="minorHAnsi" w:cstheme="minorHAnsi"/>
                <w:sz w:val="20"/>
                <w:szCs w:val="20"/>
                <w:lang w:val="es-ES_tradnl"/>
              </w:rPr>
            </w:pPr>
            <w:r w:rsidRPr="00313AA2">
              <w:rPr>
                <w:rFonts w:asciiTheme="minorHAnsi" w:hAnsiTheme="minorHAnsi" w:cstheme="minorHAnsi"/>
                <w:sz w:val="20"/>
                <w:szCs w:val="20"/>
                <w:lang w:val="es-ES_tradnl"/>
              </w:rPr>
              <w:t>Santiago de Cali</w:t>
            </w:r>
          </w:p>
        </w:tc>
      </w:tr>
      <w:tr w:rsidR="001C26BF" w:rsidRPr="00313AA2" w14:paraId="7ED4A0CC" w14:textId="77777777" w:rsidTr="3452EF96">
        <w:tc>
          <w:tcPr>
            <w:tcW w:w="2518" w:type="dxa"/>
            <w:shd w:val="clear" w:color="auto" w:fill="D9D9D9" w:themeFill="background1" w:themeFillShade="D9"/>
          </w:tcPr>
          <w:p w14:paraId="65963757" w14:textId="77777777" w:rsidR="001C26BF" w:rsidRPr="00313AA2" w:rsidRDefault="001C26BF" w:rsidP="001C26BF">
            <w:pPr>
              <w:rPr>
                <w:rFonts w:asciiTheme="minorHAnsi" w:hAnsiTheme="minorHAnsi" w:cstheme="minorHAnsi"/>
                <w:b/>
                <w:sz w:val="20"/>
                <w:szCs w:val="20"/>
                <w:lang w:val="es-ES_tradnl"/>
              </w:rPr>
            </w:pPr>
            <w:r w:rsidRPr="00313AA2">
              <w:rPr>
                <w:rFonts w:asciiTheme="minorHAnsi" w:hAnsiTheme="minorHAnsi" w:cstheme="minorHAnsi"/>
                <w:b/>
                <w:sz w:val="20"/>
                <w:szCs w:val="20"/>
                <w:lang w:val="es-ES_tradnl"/>
              </w:rPr>
              <w:t>Radicado (23 dígitos):</w:t>
            </w:r>
          </w:p>
        </w:tc>
        <w:tc>
          <w:tcPr>
            <w:tcW w:w="7465" w:type="dxa"/>
          </w:tcPr>
          <w:p w14:paraId="4ED5E590" w14:textId="3C4E20D2" w:rsidR="001C26BF" w:rsidRPr="00313AA2" w:rsidRDefault="001C26BF" w:rsidP="001C26BF">
            <w:pPr>
              <w:ind w:right="90"/>
              <w:rPr>
                <w:rFonts w:asciiTheme="minorHAnsi" w:hAnsiTheme="minorHAnsi" w:cstheme="minorHAnsi"/>
                <w:color w:val="000000"/>
                <w:sz w:val="20"/>
                <w:szCs w:val="20"/>
              </w:rPr>
            </w:pPr>
            <w:r w:rsidRPr="00313AA2">
              <w:rPr>
                <w:rFonts w:asciiTheme="minorHAnsi" w:hAnsiTheme="minorHAnsi" w:cstheme="minorHAnsi"/>
                <w:color w:val="000000"/>
                <w:sz w:val="20"/>
                <w:szCs w:val="20"/>
              </w:rPr>
              <w:t>76001333301620220011000 acumulado al proceso</w:t>
            </w:r>
            <w:r w:rsidRPr="00313AA2">
              <w:rPr>
                <w:rFonts w:asciiTheme="minorHAnsi" w:hAnsiTheme="minorHAnsi" w:cstheme="minorHAnsi"/>
                <w:color w:val="000000"/>
                <w:sz w:val="20"/>
                <w:szCs w:val="20"/>
              </w:rPr>
              <w:t xml:space="preserve"> 7</w:t>
            </w:r>
            <w:r w:rsidRPr="00313AA2">
              <w:rPr>
                <w:rFonts w:asciiTheme="minorHAnsi" w:hAnsiTheme="minorHAnsi" w:cstheme="minorHAnsi"/>
                <w:color w:val="000000"/>
                <w:sz w:val="20"/>
                <w:szCs w:val="20"/>
              </w:rPr>
              <w:t>6001333300120220011100</w:t>
            </w:r>
          </w:p>
        </w:tc>
      </w:tr>
      <w:tr w:rsidR="001C26BF" w:rsidRPr="00313AA2" w14:paraId="365EB3D3" w14:textId="77777777" w:rsidTr="3452EF96">
        <w:tc>
          <w:tcPr>
            <w:tcW w:w="2518" w:type="dxa"/>
            <w:shd w:val="clear" w:color="auto" w:fill="D9D9D9" w:themeFill="background1" w:themeFillShade="D9"/>
          </w:tcPr>
          <w:p w14:paraId="3E29A9FF" w14:textId="77777777" w:rsidR="001C26BF" w:rsidRPr="00313AA2" w:rsidRDefault="001C26BF" w:rsidP="001C26BF">
            <w:pPr>
              <w:rPr>
                <w:rFonts w:asciiTheme="minorHAnsi" w:hAnsiTheme="minorHAnsi" w:cstheme="minorHAnsi"/>
                <w:b/>
                <w:sz w:val="20"/>
                <w:szCs w:val="20"/>
                <w:lang w:val="es-ES_tradnl"/>
              </w:rPr>
            </w:pPr>
            <w:r w:rsidRPr="00313AA2">
              <w:rPr>
                <w:rFonts w:asciiTheme="minorHAnsi" w:hAnsiTheme="minorHAnsi" w:cstheme="minorHAnsi"/>
                <w:b/>
                <w:sz w:val="20"/>
                <w:szCs w:val="20"/>
                <w:lang w:val="es-ES_tradnl"/>
              </w:rPr>
              <w:t>Demandantes:</w:t>
            </w:r>
          </w:p>
        </w:tc>
        <w:tc>
          <w:tcPr>
            <w:tcW w:w="7465" w:type="dxa"/>
          </w:tcPr>
          <w:p w14:paraId="5F6B6717" w14:textId="40CC8B16" w:rsidR="001C26BF" w:rsidRPr="00313AA2" w:rsidRDefault="001C26BF" w:rsidP="001C26BF">
            <w:pPr>
              <w:jc w:val="both"/>
              <w:rPr>
                <w:rFonts w:asciiTheme="minorHAnsi" w:hAnsiTheme="minorHAnsi" w:cstheme="minorHAnsi"/>
                <w:sz w:val="20"/>
                <w:szCs w:val="20"/>
                <w:lang w:val="es-ES_tradnl"/>
              </w:rPr>
            </w:pPr>
            <w:r w:rsidRPr="00313AA2">
              <w:rPr>
                <w:rFonts w:asciiTheme="minorHAnsi" w:hAnsiTheme="minorHAnsi" w:cstheme="minorHAnsi"/>
                <w:sz w:val="20"/>
                <w:szCs w:val="20"/>
                <w:lang w:val="es-ES_tradnl"/>
              </w:rPr>
              <w:t xml:space="preserve">Eduardo </w:t>
            </w:r>
            <w:proofErr w:type="spellStart"/>
            <w:r w:rsidRPr="00313AA2">
              <w:rPr>
                <w:rFonts w:asciiTheme="minorHAnsi" w:hAnsiTheme="minorHAnsi" w:cstheme="minorHAnsi"/>
                <w:sz w:val="20"/>
                <w:szCs w:val="20"/>
                <w:lang w:val="es-ES_tradnl"/>
              </w:rPr>
              <w:t>Edinson</w:t>
            </w:r>
            <w:proofErr w:type="spellEnd"/>
            <w:r w:rsidRPr="00313AA2">
              <w:rPr>
                <w:rFonts w:asciiTheme="minorHAnsi" w:hAnsiTheme="minorHAnsi" w:cstheme="minorHAnsi"/>
                <w:sz w:val="20"/>
                <w:szCs w:val="20"/>
                <w:lang w:val="es-ES_tradnl"/>
              </w:rPr>
              <w:t xml:space="preserve"> </w:t>
            </w:r>
            <w:proofErr w:type="spellStart"/>
            <w:r w:rsidRPr="00313AA2">
              <w:rPr>
                <w:rFonts w:asciiTheme="minorHAnsi" w:hAnsiTheme="minorHAnsi" w:cstheme="minorHAnsi"/>
                <w:sz w:val="20"/>
                <w:szCs w:val="20"/>
                <w:lang w:val="es-ES_tradnl"/>
              </w:rPr>
              <w:t>Bolivar</w:t>
            </w:r>
            <w:proofErr w:type="spellEnd"/>
            <w:r w:rsidRPr="00313AA2">
              <w:rPr>
                <w:rFonts w:asciiTheme="minorHAnsi" w:hAnsiTheme="minorHAnsi" w:cstheme="minorHAnsi"/>
                <w:sz w:val="20"/>
                <w:szCs w:val="20"/>
                <w:lang w:val="es-ES_tradnl"/>
              </w:rPr>
              <w:t xml:space="preserve"> Quimbaya</w:t>
            </w:r>
          </w:p>
        </w:tc>
      </w:tr>
      <w:tr w:rsidR="001C26BF" w:rsidRPr="00313AA2" w14:paraId="26F1C674" w14:textId="77777777" w:rsidTr="3452EF96">
        <w:tc>
          <w:tcPr>
            <w:tcW w:w="2518" w:type="dxa"/>
            <w:shd w:val="clear" w:color="auto" w:fill="D9D9D9" w:themeFill="background1" w:themeFillShade="D9"/>
          </w:tcPr>
          <w:p w14:paraId="6A2570A7" w14:textId="77777777" w:rsidR="001C26BF" w:rsidRPr="00313AA2" w:rsidRDefault="001C26BF" w:rsidP="001C26BF">
            <w:pPr>
              <w:rPr>
                <w:rFonts w:asciiTheme="minorHAnsi" w:hAnsiTheme="minorHAnsi" w:cstheme="minorHAnsi"/>
                <w:b/>
                <w:sz w:val="20"/>
                <w:szCs w:val="20"/>
                <w:lang w:val="es-ES_tradnl"/>
              </w:rPr>
            </w:pPr>
            <w:r w:rsidRPr="00313AA2">
              <w:rPr>
                <w:rFonts w:asciiTheme="minorHAnsi" w:hAnsiTheme="minorHAnsi" w:cstheme="minorHAnsi"/>
                <w:b/>
                <w:sz w:val="20"/>
                <w:szCs w:val="20"/>
                <w:lang w:val="es-ES_tradnl"/>
              </w:rPr>
              <w:t>Demandados:</w:t>
            </w:r>
          </w:p>
        </w:tc>
        <w:tc>
          <w:tcPr>
            <w:tcW w:w="7465" w:type="dxa"/>
          </w:tcPr>
          <w:p w14:paraId="370C2804" w14:textId="15DFB99A" w:rsidR="001C26BF" w:rsidRPr="002D3D0E" w:rsidRDefault="002D3D0E" w:rsidP="001C26BF">
            <w:pPr>
              <w:pStyle w:val="Prrafodelista"/>
              <w:widowControl w:val="0"/>
              <w:numPr>
                <w:ilvl w:val="0"/>
                <w:numId w:val="5"/>
              </w:numPr>
              <w:spacing w:line="264" w:lineRule="exact"/>
              <w:ind w:left="236" w:right="90" w:hanging="141"/>
              <w:jc w:val="both"/>
              <w:rPr>
                <w:rFonts w:asciiTheme="minorHAnsi" w:hAnsiTheme="minorHAnsi" w:cstheme="minorHAnsi"/>
                <w:color w:val="000000"/>
                <w:sz w:val="20"/>
                <w:szCs w:val="20"/>
              </w:rPr>
            </w:pPr>
            <w:r w:rsidRPr="002D3D0E">
              <w:rPr>
                <w:rFonts w:asciiTheme="minorHAnsi" w:hAnsiTheme="minorHAnsi" w:cstheme="minorHAnsi"/>
                <w:color w:val="000000"/>
                <w:sz w:val="20"/>
                <w:szCs w:val="20"/>
              </w:rPr>
              <w:t xml:space="preserve">Distrito Especial Deportivo, Empresarial, Turístico </w:t>
            </w:r>
            <w:r>
              <w:rPr>
                <w:rFonts w:asciiTheme="minorHAnsi" w:hAnsiTheme="minorHAnsi" w:cstheme="minorHAnsi"/>
                <w:color w:val="000000"/>
                <w:sz w:val="20"/>
                <w:szCs w:val="20"/>
              </w:rPr>
              <w:t>y</w:t>
            </w:r>
            <w:r w:rsidRPr="002D3D0E">
              <w:rPr>
                <w:rFonts w:asciiTheme="minorHAnsi" w:hAnsiTheme="minorHAnsi" w:cstheme="minorHAnsi"/>
                <w:color w:val="000000"/>
                <w:sz w:val="20"/>
                <w:szCs w:val="20"/>
              </w:rPr>
              <w:t xml:space="preserve"> Cultural </w:t>
            </w:r>
            <w:r>
              <w:rPr>
                <w:rFonts w:asciiTheme="minorHAnsi" w:hAnsiTheme="minorHAnsi" w:cstheme="minorHAnsi"/>
                <w:color w:val="000000"/>
                <w:sz w:val="20"/>
                <w:szCs w:val="20"/>
              </w:rPr>
              <w:t>de</w:t>
            </w:r>
            <w:r w:rsidRPr="002D3D0E">
              <w:rPr>
                <w:rFonts w:asciiTheme="minorHAnsi" w:hAnsiTheme="minorHAnsi" w:cstheme="minorHAnsi"/>
                <w:color w:val="000000"/>
                <w:sz w:val="20"/>
                <w:szCs w:val="20"/>
              </w:rPr>
              <w:t xml:space="preserve"> Santiago </w:t>
            </w:r>
            <w:r>
              <w:rPr>
                <w:rFonts w:asciiTheme="minorHAnsi" w:hAnsiTheme="minorHAnsi" w:cstheme="minorHAnsi"/>
                <w:color w:val="000000"/>
                <w:sz w:val="20"/>
                <w:szCs w:val="20"/>
              </w:rPr>
              <w:t>d</w:t>
            </w:r>
            <w:r w:rsidRPr="002D3D0E">
              <w:rPr>
                <w:rFonts w:asciiTheme="minorHAnsi" w:hAnsiTheme="minorHAnsi" w:cstheme="minorHAnsi"/>
                <w:color w:val="000000"/>
                <w:sz w:val="20"/>
                <w:szCs w:val="20"/>
              </w:rPr>
              <w:t>e Cali</w:t>
            </w:r>
          </w:p>
          <w:p w14:paraId="4E805EB4" w14:textId="21118B0D" w:rsidR="001C26BF" w:rsidRPr="002D3D0E" w:rsidRDefault="002D3D0E" w:rsidP="001C26BF">
            <w:pPr>
              <w:pStyle w:val="Prrafodelista"/>
              <w:widowControl w:val="0"/>
              <w:numPr>
                <w:ilvl w:val="0"/>
                <w:numId w:val="5"/>
              </w:numPr>
              <w:spacing w:line="264" w:lineRule="exact"/>
              <w:ind w:left="236" w:right="90" w:hanging="141"/>
              <w:jc w:val="both"/>
              <w:rPr>
                <w:rFonts w:asciiTheme="minorHAnsi" w:hAnsiTheme="minorHAnsi" w:cstheme="minorHAnsi"/>
                <w:color w:val="000000"/>
                <w:sz w:val="20"/>
                <w:szCs w:val="20"/>
              </w:rPr>
            </w:pPr>
            <w:r w:rsidRPr="002D3D0E">
              <w:rPr>
                <w:rFonts w:asciiTheme="minorHAnsi" w:hAnsiTheme="minorHAnsi" w:cstheme="minorHAnsi"/>
                <w:color w:val="000000"/>
                <w:sz w:val="20"/>
                <w:szCs w:val="20"/>
              </w:rPr>
              <w:t>Metro Cali S.A.</w:t>
            </w:r>
          </w:p>
          <w:p w14:paraId="395FB00D" w14:textId="41F423A3" w:rsidR="001C26BF" w:rsidRPr="00313AA2" w:rsidRDefault="002D3D0E" w:rsidP="001C26BF">
            <w:pPr>
              <w:pStyle w:val="Prrafodelista"/>
              <w:widowControl w:val="0"/>
              <w:numPr>
                <w:ilvl w:val="0"/>
                <w:numId w:val="5"/>
              </w:numPr>
              <w:spacing w:line="264" w:lineRule="exact"/>
              <w:ind w:left="236" w:right="90" w:hanging="141"/>
              <w:jc w:val="both"/>
              <w:rPr>
                <w:rFonts w:asciiTheme="minorHAnsi" w:hAnsiTheme="minorHAnsi" w:cstheme="minorHAnsi"/>
                <w:color w:val="000000"/>
                <w:sz w:val="20"/>
                <w:szCs w:val="20"/>
              </w:rPr>
            </w:pPr>
            <w:r w:rsidRPr="002D3D0E">
              <w:rPr>
                <w:rFonts w:asciiTheme="minorHAnsi" w:hAnsiTheme="minorHAnsi" w:cstheme="minorHAnsi"/>
                <w:color w:val="000000"/>
                <w:sz w:val="20"/>
                <w:szCs w:val="20"/>
              </w:rPr>
              <w:t xml:space="preserve">Empresa De Transporte Masivo </w:t>
            </w:r>
            <w:r>
              <w:rPr>
                <w:rFonts w:asciiTheme="minorHAnsi" w:hAnsiTheme="minorHAnsi" w:cstheme="minorHAnsi"/>
                <w:color w:val="000000"/>
                <w:sz w:val="20"/>
                <w:szCs w:val="20"/>
              </w:rPr>
              <w:t>ETM</w:t>
            </w:r>
            <w:r w:rsidRPr="002D3D0E">
              <w:rPr>
                <w:rFonts w:asciiTheme="minorHAnsi" w:hAnsiTheme="minorHAnsi" w:cstheme="minorHAnsi"/>
                <w:color w:val="000000"/>
                <w:sz w:val="20"/>
                <w:szCs w:val="20"/>
              </w:rPr>
              <w:t xml:space="preserve"> S. A</w:t>
            </w:r>
          </w:p>
        </w:tc>
      </w:tr>
      <w:tr w:rsidR="001C26BF" w:rsidRPr="00313AA2" w14:paraId="737C3CF7" w14:textId="77777777" w:rsidTr="3452EF96">
        <w:tc>
          <w:tcPr>
            <w:tcW w:w="2518" w:type="dxa"/>
            <w:shd w:val="clear" w:color="auto" w:fill="D9D9D9" w:themeFill="background1" w:themeFillShade="D9"/>
          </w:tcPr>
          <w:p w14:paraId="245720EA" w14:textId="0EE18B14" w:rsidR="001C26BF" w:rsidRPr="00313AA2" w:rsidRDefault="001C26BF" w:rsidP="001C26BF">
            <w:pPr>
              <w:rPr>
                <w:rFonts w:asciiTheme="minorHAnsi" w:hAnsiTheme="minorHAnsi" w:cstheme="minorHAnsi"/>
                <w:b/>
                <w:bCs/>
                <w:sz w:val="20"/>
                <w:szCs w:val="20"/>
                <w:lang w:val="es-ES"/>
              </w:rPr>
            </w:pPr>
            <w:r w:rsidRPr="00313AA2">
              <w:rPr>
                <w:rFonts w:asciiTheme="minorHAnsi" w:hAnsiTheme="minorHAnsi" w:cstheme="minorHAnsi"/>
                <w:b/>
                <w:bCs/>
                <w:sz w:val="20"/>
                <w:szCs w:val="20"/>
                <w:lang w:val="es-ES"/>
              </w:rPr>
              <w:t>Tipo de vinculación de HDI (directa, llamamiento en garantía, litisconsorte):</w:t>
            </w:r>
          </w:p>
        </w:tc>
        <w:tc>
          <w:tcPr>
            <w:tcW w:w="7465" w:type="dxa"/>
          </w:tcPr>
          <w:p w14:paraId="3D968381" w14:textId="512C74CF" w:rsidR="001C26BF" w:rsidRPr="00313AA2" w:rsidRDefault="001C26BF" w:rsidP="001C26BF">
            <w:pPr>
              <w:jc w:val="both"/>
              <w:rPr>
                <w:rFonts w:asciiTheme="minorHAnsi" w:hAnsiTheme="minorHAnsi" w:cstheme="minorHAnsi"/>
                <w:sz w:val="20"/>
                <w:szCs w:val="20"/>
                <w:lang w:val="es-ES_tradnl"/>
              </w:rPr>
            </w:pPr>
            <w:r w:rsidRPr="00313AA2">
              <w:rPr>
                <w:rFonts w:asciiTheme="minorHAnsi" w:hAnsiTheme="minorHAnsi" w:cstheme="minorHAnsi"/>
                <w:sz w:val="20"/>
                <w:szCs w:val="20"/>
                <w:lang w:val="es-ES_tradnl"/>
              </w:rPr>
              <w:t>Llamamiento en garantía realizado por el Distrito Especial de Santiago de Cali</w:t>
            </w:r>
          </w:p>
          <w:p w14:paraId="523FC52D" w14:textId="77777777" w:rsidR="001C26BF" w:rsidRPr="00313AA2" w:rsidRDefault="001C26BF" w:rsidP="001C26BF">
            <w:pPr>
              <w:jc w:val="center"/>
              <w:rPr>
                <w:rFonts w:asciiTheme="minorHAnsi" w:hAnsiTheme="minorHAnsi" w:cstheme="minorHAnsi"/>
                <w:sz w:val="20"/>
                <w:szCs w:val="20"/>
                <w:lang w:val="es-ES_tradnl"/>
              </w:rPr>
            </w:pPr>
          </w:p>
        </w:tc>
      </w:tr>
      <w:tr w:rsidR="001C26BF" w:rsidRPr="00313AA2" w14:paraId="310FFED0" w14:textId="77777777" w:rsidTr="3452EF96">
        <w:tc>
          <w:tcPr>
            <w:tcW w:w="2518" w:type="dxa"/>
            <w:shd w:val="clear" w:color="auto" w:fill="D9D9D9" w:themeFill="background1" w:themeFillShade="D9"/>
          </w:tcPr>
          <w:p w14:paraId="003BC5F9" w14:textId="77777777" w:rsidR="001C26BF" w:rsidRPr="00313AA2" w:rsidRDefault="001C26BF" w:rsidP="001C26BF">
            <w:pPr>
              <w:rPr>
                <w:rFonts w:asciiTheme="minorHAnsi" w:hAnsiTheme="minorHAnsi" w:cstheme="minorHAnsi"/>
                <w:b/>
                <w:sz w:val="20"/>
                <w:szCs w:val="20"/>
                <w:lang w:val="es-ES_tradnl"/>
              </w:rPr>
            </w:pPr>
            <w:r w:rsidRPr="00313AA2">
              <w:rPr>
                <w:rFonts w:asciiTheme="minorHAnsi" w:hAnsiTheme="minorHAnsi" w:cstheme="minorHAnsi"/>
                <w:b/>
                <w:sz w:val="20"/>
                <w:szCs w:val="20"/>
                <w:lang w:val="es-ES_tradnl"/>
              </w:rPr>
              <w:t>Resumen de los hechos:</w:t>
            </w:r>
          </w:p>
        </w:tc>
        <w:tc>
          <w:tcPr>
            <w:tcW w:w="7465" w:type="dxa"/>
          </w:tcPr>
          <w:p w14:paraId="102686D9" w14:textId="5888077B" w:rsidR="001C26BF" w:rsidRPr="00313AA2" w:rsidRDefault="001C26BF" w:rsidP="001C26BF">
            <w:pPr>
              <w:jc w:val="both"/>
              <w:rPr>
                <w:rFonts w:asciiTheme="minorHAnsi" w:hAnsiTheme="minorHAnsi" w:cstheme="minorHAnsi"/>
                <w:sz w:val="20"/>
                <w:szCs w:val="20"/>
                <w:lang w:val="es-ES_tradnl"/>
              </w:rPr>
            </w:pPr>
            <w:r w:rsidRPr="00313AA2">
              <w:rPr>
                <w:rFonts w:asciiTheme="minorHAnsi" w:eastAsia="Calibri" w:hAnsiTheme="minorHAnsi" w:cstheme="minorHAnsi"/>
                <w:sz w:val="20"/>
                <w:szCs w:val="20"/>
              </w:rPr>
              <w:t xml:space="preserve">Según los hechos de la demanda, </w:t>
            </w:r>
            <w:r w:rsidRPr="00313AA2">
              <w:rPr>
                <w:rFonts w:asciiTheme="minorHAnsi" w:hAnsiTheme="minorHAnsi" w:cstheme="minorHAnsi"/>
                <w:color w:val="000000"/>
                <w:sz w:val="20"/>
                <w:szCs w:val="20"/>
              </w:rPr>
              <w:t xml:space="preserve">día 30 de diciembre de 2019, aproximadamente a las 11:15 a.m., el señor Eduardo </w:t>
            </w:r>
            <w:proofErr w:type="spellStart"/>
            <w:r w:rsidRPr="00313AA2">
              <w:rPr>
                <w:rFonts w:asciiTheme="minorHAnsi" w:hAnsiTheme="minorHAnsi" w:cstheme="minorHAnsi"/>
                <w:color w:val="000000"/>
                <w:sz w:val="20"/>
                <w:szCs w:val="20"/>
              </w:rPr>
              <w:t>Edinson</w:t>
            </w:r>
            <w:proofErr w:type="spellEnd"/>
            <w:r w:rsidRPr="00313AA2">
              <w:rPr>
                <w:rFonts w:asciiTheme="minorHAnsi" w:hAnsiTheme="minorHAnsi" w:cstheme="minorHAnsi"/>
                <w:color w:val="000000"/>
                <w:sz w:val="20"/>
                <w:szCs w:val="20"/>
              </w:rPr>
              <w:t xml:space="preserve"> Bolívar Quimbaya, quien se movilizaba en motocicleta de placas IBA-99D, al efectuar un cruce en la calle 18 con carrera 15 de Cali, fue impactado por el vehículo de transporte público MIO, placas VCQ 864, propiedad de la Empresa de Transporte Masivo ETM S.A. y administrado por METROCALI S.A., conducido por el señor Carlos Alberto </w:t>
            </w:r>
            <w:proofErr w:type="spellStart"/>
            <w:r w:rsidRPr="00313AA2">
              <w:rPr>
                <w:rFonts w:asciiTheme="minorHAnsi" w:hAnsiTheme="minorHAnsi" w:cstheme="minorHAnsi"/>
                <w:color w:val="000000"/>
                <w:sz w:val="20"/>
                <w:szCs w:val="20"/>
              </w:rPr>
              <w:t>Rebellón</w:t>
            </w:r>
            <w:proofErr w:type="spellEnd"/>
            <w:r w:rsidRPr="00313AA2">
              <w:rPr>
                <w:rFonts w:asciiTheme="minorHAnsi" w:hAnsiTheme="minorHAnsi" w:cstheme="minorHAnsi"/>
                <w:color w:val="000000"/>
                <w:sz w:val="20"/>
                <w:szCs w:val="20"/>
              </w:rPr>
              <w:t xml:space="preserve"> Calderón, por lo que resultó lesionado con </w:t>
            </w:r>
            <w:r w:rsidRPr="00313AA2">
              <w:rPr>
                <w:rFonts w:asciiTheme="minorHAnsi" w:hAnsiTheme="minorHAnsi" w:cstheme="minorHAnsi"/>
                <w:sz w:val="20"/>
                <w:szCs w:val="20"/>
              </w:rPr>
              <w:t>trauma en rodilla, pierna, tobillo y pie izquierdo más heridas complejas en tobillo y pierna izquierda. E</w:t>
            </w:r>
            <w:r w:rsidRPr="00313AA2">
              <w:rPr>
                <w:rFonts w:asciiTheme="minorHAnsi" w:hAnsiTheme="minorHAnsi" w:cstheme="minorHAnsi"/>
                <w:color w:val="000000"/>
                <w:sz w:val="20"/>
                <w:szCs w:val="20"/>
              </w:rPr>
              <w:t>l Informe Policial de Accidentes de Tránsito No. A001110041, estableció como hipótesis del accidente la No. 142 “semáforo en rojo para cualquiera de las partes”</w:t>
            </w:r>
          </w:p>
        </w:tc>
      </w:tr>
      <w:tr w:rsidR="001C26BF" w:rsidRPr="00313AA2" w14:paraId="0E406DF4" w14:textId="77777777" w:rsidTr="3452EF96">
        <w:tc>
          <w:tcPr>
            <w:tcW w:w="2518" w:type="dxa"/>
            <w:shd w:val="clear" w:color="auto" w:fill="D9D9D9" w:themeFill="background1" w:themeFillShade="D9"/>
          </w:tcPr>
          <w:p w14:paraId="4DAF3A73" w14:textId="77777777" w:rsidR="001C26BF" w:rsidRPr="00313AA2" w:rsidRDefault="001C26BF" w:rsidP="001C26BF">
            <w:pPr>
              <w:rPr>
                <w:rFonts w:asciiTheme="minorHAnsi" w:hAnsiTheme="minorHAnsi" w:cstheme="minorHAnsi"/>
                <w:b/>
                <w:sz w:val="20"/>
                <w:szCs w:val="20"/>
                <w:lang w:val="es-ES_tradnl"/>
              </w:rPr>
            </w:pPr>
            <w:r w:rsidRPr="00313AA2">
              <w:rPr>
                <w:rFonts w:asciiTheme="minorHAnsi" w:hAnsiTheme="minorHAnsi" w:cstheme="minorHAnsi"/>
                <w:b/>
                <w:sz w:val="20"/>
                <w:szCs w:val="20"/>
                <w:lang w:val="es-ES_tradnl"/>
              </w:rPr>
              <w:t>Descripción de las pretensiones:</w:t>
            </w:r>
          </w:p>
        </w:tc>
        <w:tc>
          <w:tcPr>
            <w:tcW w:w="7465" w:type="dxa"/>
          </w:tcPr>
          <w:p w14:paraId="1EDB9799" w14:textId="69537922" w:rsidR="001C26BF" w:rsidRPr="00313AA2" w:rsidRDefault="001C26BF" w:rsidP="001C26BF">
            <w:pPr>
              <w:ind w:right="90"/>
              <w:jc w:val="both"/>
              <w:rPr>
                <w:rFonts w:asciiTheme="minorHAnsi" w:hAnsiTheme="minorHAnsi" w:cstheme="minorHAnsi"/>
                <w:color w:val="000000"/>
                <w:sz w:val="20"/>
                <w:szCs w:val="20"/>
              </w:rPr>
            </w:pPr>
            <w:r w:rsidRPr="00313AA2">
              <w:rPr>
                <w:rFonts w:asciiTheme="minorHAnsi" w:eastAsia="Calibri" w:hAnsiTheme="minorHAnsi" w:cstheme="minorHAnsi"/>
                <w:sz w:val="20"/>
                <w:szCs w:val="20"/>
              </w:rPr>
              <w:t>La parte actora pretende el pago de $ 670.075.000</w:t>
            </w:r>
            <w:r w:rsidRPr="00313AA2">
              <w:rPr>
                <w:rFonts w:asciiTheme="minorHAnsi" w:eastAsia="Calibri" w:hAnsiTheme="minorHAnsi" w:cstheme="minorHAnsi"/>
                <w:b/>
                <w:bCs/>
                <w:sz w:val="20"/>
                <w:szCs w:val="20"/>
              </w:rPr>
              <w:t xml:space="preserve"> </w:t>
            </w:r>
            <w:r w:rsidRPr="00313AA2">
              <w:rPr>
                <w:rFonts w:asciiTheme="minorHAnsi" w:hAnsiTheme="minorHAnsi" w:cstheme="minorHAnsi"/>
                <w:color w:val="000000"/>
                <w:sz w:val="20"/>
                <w:szCs w:val="20"/>
              </w:rPr>
              <w:t xml:space="preserve">a favor de Eduardo </w:t>
            </w:r>
            <w:proofErr w:type="spellStart"/>
            <w:r w:rsidRPr="00313AA2">
              <w:rPr>
                <w:rFonts w:asciiTheme="minorHAnsi" w:hAnsiTheme="minorHAnsi" w:cstheme="minorHAnsi"/>
                <w:color w:val="000000"/>
                <w:sz w:val="20"/>
                <w:szCs w:val="20"/>
              </w:rPr>
              <w:t>Edinson</w:t>
            </w:r>
            <w:proofErr w:type="spellEnd"/>
            <w:r w:rsidRPr="00313AA2">
              <w:rPr>
                <w:rFonts w:asciiTheme="minorHAnsi" w:hAnsiTheme="minorHAnsi" w:cstheme="minorHAnsi"/>
                <w:color w:val="000000"/>
                <w:sz w:val="20"/>
                <w:szCs w:val="20"/>
              </w:rPr>
              <w:t xml:space="preserve"> Bolívar Quimbaya (único demandante), por los siguientes conceptos:</w:t>
            </w:r>
          </w:p>
          <w:p w14:paraId="386EE5EB" w14:textId="77777777" w:rsidR="001C26BF" w:rsidRPr="00313AA2" w:rsidRDefault="001C26BF" w:rsidP="001C26BF">
            <w:pPr>
              <w:ind w:right="90"/>
              <w:jc w:val="both"/>
              <w:rPr>
                <w:rFonts w:asciiTheme="minorHAnsi" w:hAnsiTheme="minorHAnsi" w:cstheme="minorHAnsi"/>
                <w:color w:val="000000"/>
                <w:sz w:val="20"/>
                <w:szCs w:val="20"/>
              </w:rPr>
            </w:pPr>
          </w:p>
          <w:p w14:paraId="695AC1C4" w14:textId="77777777" w:rsidR="001C26BF" w:rsidRPr="00313AA2" w:rsidRDefault="001C26BF" w:rsidP="001C26BF">
            <w:pPr>
              <w:pStyle w:val="Prrafodelista"/>
              <w:widowControl w:val="0"/>
              <w:numPr>
                <w:ilvl w:val="0"/>
                <w:numId w:val="6"/>
              </w:numPr>
              <w:spacing w:after="200" w:line="276" w:lineRule="auto"/>
              <w:ind w:right="90"/>
              <w:jc w:val="both"/>
              <w:rPr>
                <w:rFonts w:asciiTheme="minorHAnsi" w:hAnsiTheme="minorHAnsi" w:cstheme="minorHAnsi"/>
                <w:color w:val="000000"/>
                <w:sz w:val="20"/>
                <w:szCs w:val="20"/>
              </w:rPr>
            </w:pPr>
            <w:r w:rsidRPr="00313AA2">
              <w:rPr>
                <w:rFonts w:asciiTheme="minorHAnsi" w:hAnsiTheme="minorHAnsi" w:cstheme="minorHAnsi"/>
                <w:color w:val="000000"/>
                <w:sz w:val="20"/>
                <w:szCs w:val="20"/>
              </w:rPr>
              <w:t>Perjuicios morales 100 SMLMV (hoy $142.350.000)</w:t>
            </w:r>
          </w:p>
          <w:p w14:paraId="59C871C4" w14:textId="77777777" w:rsidR="001C26BF" w:rsidRPr="00313AA2" w:rsidRDefault="001C26BF" w:rsidP="001C26BF">
            <w:pPr>
              <w:pStyle w:val="Prrafodelista"/>
              <w:widowControl w:val="0"/>
              <w:numPr>
                <w:ilvl w:val="0"/>
                <w:numId w:val="6"/>
              </w:numPr>
              <w:spacing w:after="200" w:line="276" w:lineRule="auto"/>
              <w:ind w:right="90"/>
              <w:jc w:val="both"/>
              <w:rPr>
                <w:rFonts w:asciiTheme="minorHAnsi" w:hAnsiTheme="minorHAnsi" w:cstheme="minorHAnsi"/>
                <w:color w:val="000000"/>
                <w:sz w:val="20"/>
                <w:szCs w:val="20"/>
              </w:rPr>
            </w:pPr>
            <w:r w:rsidRPr="00313AA2">
              <w:rPr>
                <w:rFonts w:asciiTheme="minorHAnsi" w:hAnsiTheme="minorHAnsi" w:cstheme="minorHAnsi"/>
                <w:color w:val="000000"/>
                <w:sz w:val="20"/>
                <w:szCs w:val="20"/>
              </w:rPr>
              <w:t>Daño emergente: $10.000.000 (honorarios de abogado) + $1.500.000 (reparación y gastos del vehículo).</w:t>
            </w:r>
          </w:p>
          <w:p w14:paraId="79C145D0" w14:textId="77777777" w:rsidR="001C26BF" w:rsidRPr="00313AA2" w:rsidRDefault="001C26BF" w:rsidP="001C26BF">
            <w:pPr>
              <w:pStyle w:val="Prrafodelista"/>
              <w:widowControl w:val="0"/>
              <w:numPr>
                <w:ilvl w:val="0"/>
                <w:numId w:val="6"/>
              </w:numPr>
              <w:spacing w:after="200" w:line="276" w:lineRule="auto"/>
              <w:ind w:right="90"/>
              <w:jc w:val="both"/>
              <w:rPr>
                <w:rFonts w:asciiTheme="minorHAnsi" w:hAnsiTheme="minorHAnsi" w:cstheme="minorHAnsi"/>
                <w:color w:val="000000"/>
                <w:sz w:val="20"/>
                <w:szCs w:val="20"/>
              </w:rPr>
            </w:pPr>
            <w:r w:rsidRPr="00313AA2">
              <w:rPr>
                <w:rFonts w:asciiTheme="minorHAnsi" w:hAnsiTheme="minorHAnsi" w:cstheme="minorHAnsi"/>
                <w:color w:val="000000"/>
                <w:sz w:val="20"/>
                <w:szCs w:val="20"/>
              </w:rPr>
              <w:t>Lucro cesante consolidado: $18.000.000.</w:t>
            </w:r>
          </w:p>
          <w:p w14:paraId="06A0460F" w14:textId="77777777" w:rsidR="001C26BF" w:rsidRPr="00313AA2" w:rsidRDefault="001C26BF" w:rsidP="001C26BF">
            <w:pPr>
              <w:pStyle w:val="Prrafodelista"/>
              <w:widowControl w:val="0"/>
              <w:numPr>
                <w:ilvl w:val="0"/>
                <w:numId w:val="6"/>
              </w:numPr>
              <w:spacing w:after="200" w:line="276" w:lineRule="auto"/>
              <w:ind w:right="90"/>
              <w:jc w:val="both"/>
              <w:rPr>
                <w:rFonts w:asciiTheme="minorHAnsi" w:hAnsiTheme="minorHAnsi" w:cstheme="minorHAnsi"/>
                <w:color w:val="000000"/>
                <w:sz w:val="20"/>
                <w:szCs w:val="20"/>
              </w:rPr>
            </w:pPr>
            <w:r w:rsidRPr="00313AA2">
              <w:rPr>
                <w:rFonts w:asciiTheme="minorHAnsi" w:hAnsiTheme="minorHAnsi" w:cstheme="minorHAnsi"/>
                <w:color w:val="000000"/>
                <w:sz w:val="20"/>
                <w:szCs w:val="20"/>
              </w:rPr>
              <w:t>Lucro cesante futuro: Solicita condena en abstracto</w:t>
            </w:r>
          </w:p>
          <w:p w14:paraId="4DAC6CEA" w14:textId="77777777" w:rsidR="001C26BF" w:rsidRPr="00313AA2" w:rsidRDefault="001C26BF" w:rsidP="001C26BF">
            <w:pPr>
              <w:pStyle w:val="Prrafodelista"/>
              <w:widowControl w:val="0"/>
              <w:numPr>
                <w:ilvl w:val="0"/>
                <w:numId w:val="6"/>
              </w:numPr>
              <w:spacing w:after="200" w:line="276" w:lineRule="auto"/>
              <w:ind w:right="90"/>
              <w:jc w:val="both"/>
              <w:rPr>
                <w:rFonts w:asciiTheme="minorHAnsi" w:hAnsiTheme="minorHAnsi" w:cstheme="minorHAnsi"/>
                <w:color w:val="000000"/>
                <w:sz w:val="20"/>
                <w:szCs w:val="20"/>
              </w:rPr>
            </w:pPr>
            <w:r w:rsidRPr="00313AA2">
              <w:rPr>
                <w:rFonts w:asciiTheme="minorHAnsi" w:hAnsiTheme="minorHAnsi" w:cstheme="minorHAnsi"/>
                <w:color w:val="000000"/>
                <w:sz w:val="20"/>
                <w:szCs w:val="20"/>
              </w:rPr>
              <w:t>Daño psicológico: 100 SMLMV (hoy $142.350.000)</w:t>
            </w:r>
          </w:p>
          <w:p w14:paraId="3920EB58" w14:textId="77777777" w:rsidR="001C26BF" w:rsidRPr="00313AA2" w:rsidRDefault="001C26BF" w:rsidP="001C26BF">
            <w:pPr>
              <w:pStyle w:val="Prrafodelista"/>
              <w:widowControl w:val="0"/>
              <w:numPr>
                <w:ilvl w:val="0"/>
                <w:numId w:val="6"/>
              </w:numPr>
              <w:spacing w:after="200" w:line="276" w:lineRule="auto"/>
              <w:ind w:right="90"/>
              <w:jc w:val="both"/>
              <w:rPr>
                <w:rFonts w:asciiTheme="minorHAnsi" w:hAnsiTheme="minorHAnsi" w:cstheme="minorHAnsi"/>
                <w:sz w:val="20"/>
                <w:szCs w:val="20"/>
                <w:lang w:val="es-ES_tradnl"/>
              </w:rPr>
            </w:pPr>
            <w:r w:rsidRPr="00313AA2">
              <w:rPr>
                <w:rFonts w:asciiTheme="minorHAnsi" w:hAnsiTheme="minorHAnsi" w:cstheme="minorHAnsi"/>
                <w:color w:val="000000"/>
                <w:sz w:val="20"/>
                <w:szCs w:val="20"/>
              </w:rPr>
              <w:t>Daño a la salud: 100 SMLMV (hoy $142.350.000)</w:t>
            </w:r>
          </w:p>
          <w:p w14:paraId="5662255E" w14:textId="3F299409" w:rsidR="001C26BF" w:rsidRPr="00313AA2" w:rsidRDefault="001C26BF" w:rsidP="001C26BF">
            <w:pPr>
              <w:pStyle w:val="Prrafodelista"/>
              <w:widowControl w:val="0"/>
              <w:numPr>
                <w:ilvl w:val="0"/>
                <w:numId w:val="6"/>
              </w:numPr>
              <w:spacing w:after="200" w:line="276" w:lineRule="auto"/>
              <w:ind w:right="90"/>
              <w:jc w:val="both"/>
              <w:rPr>
                <w:rFonts w:asciiTheme="minorHAnsi" w:hAnsiTheme="minorHAnsi" w:cstheme="minorHAnsi"/>
                <w:sz w:val="20"/>
                <w:szCs w:val="20"/>
                <w:lang w:val="es-ES_tradnl"/>
              </w:rPr>
            </w:pPr>
            <w:r w:rsidRPr="00313AA2">
              <w:rPr>
                <w:rFonts w:asciiTheme="minorHAnsi" w:hAnsiTheme="minorHAnsi" w:cstheme="minorHAnsi"/>
                <w:color w:val="000000"/>
                <w:sz w:val="20"/>
                <w:szCs w:val="20"/>
              </w:rPr>
              <w:t>Alteración grave de las condiciones de existencia: 150 SMLMV (hoy $213.525.000).</w:t>
            </w:r>
          </w:p>
        </w:tc>
      </w:tr>
      <w:tr w:rsidR="001C26BF" w:rsidRPr="00313AA2" w14:paraId="704DFB9E" w14:textId="77777777" w:rsidTr="3452EF96">
        <w:tc>
          <w:tcPr>
            <w:tcW w:w="2518" w:type="dxa"/>
            <w:shd w:val="clear" w:color="auto" w:fill="D9D9D9" w:themeFill="background1" w:themeFillShade="D9"/>
          </w:tcPr>
          <w:p w14:paraId="58C6E535" w14:textId="77777777" w:rsidR="001C26BF" w:rsidRPr="00313AA2" w:rsidRDefault="001C26BF" w:rsidP="001C26BF">
            <w:pPr>
              <w:rPr>
                <w:rFonts w:asciiTheme="minorHAnsi" w:hAnsiTheme="minorHAnsi" w:cstheme="minorHAnsi"/>
                <w:b/>
                <w:sz w:val="20"/>
                <w:szCs w:val="20"/>
                <w:lang w:val="es-ES_tradnl"/>
              </w:rPr>
            </w:pPr>
            <w:r w:rsidRPr="00313AA2">
              <w:rPr>
                <w:rFonts w:asciiTheme="minorHAnsi" w:hAnsiTheme="minorHAnsi" w:cstheme="minorHAnsi"/>
                <w:b/>
                <w:sz w:val="20"/>
                <w:szCs w:val="20"/>
                <w:lang w:val="es-ES_tradnl"/>
              </w:rPr>
              <w:t>Pretensiones cuantificadas ($):</w:t>
            </w:r>
          </w:p>
        </w:tc>
        <w:tc>
          <w:tcPr>
            <w:tcW w:w="7465" w:type="dxa"/>
          </w:tcPr>
          <w:p w14:paraId="61540B9A" w14:textId="6E3736A4" w:rsidR="001C26BF" w:rsidRPr="00313AA2" w:rsidRDefault="001C26BF" w:rsidP="001C26BF">
            <w:pPr>
              <w:jc w:val="both"/>
              <w:rPr>
                <w:rFonts w:asciiTheme="minorHAnsi" w:hAnsiTheme="minorHAnsi" w:cstheme="minorHAnsi"/>
                <w:sz w:val="20"/>
                <w:szCs w:val="20"/>
                <w:lang w:val="es-ES_tradnl"/>
              </w:rPr>
            </w:pPr>
            <w:r w:rsidRPr="00313AA2">
              <w:rPr>
                <w:rFonts w:asciiTheme="minorHAnsi" w:eastAsia="Calibri" w:hAnsiTheme="minorHAnsi" w:cstheme="minorHAnsi"/>
                <w:sz w:val="20"/>
                <w:szCs w:val="20"/>
              </w:rPr>
              <w:t xml:space="preserve">$ </w:t>
            </w:r>
            <w:r w:rsidRPr="00313AA2">
              <w:rPr>
                <w:rFonts w:asciiTheme="minorHAnsi" w:eastAsia="Calibri" w:hAnsiTheme="minorHAnsi" w:cstheme="minorHAnsi"/>
                <w:sz w:val="20"/>
                <w:szCs w:val="20"/>
              </w:rPr>
              <w:t>670.075.000</w:t>
            </w:r>
          </w:p>
        </w:tc>
      </w:tr>
      <w:tr w:rsidR="001C26BF" w:rsidRPr="00313AA2" w14:paraId="0B60EBC1" w14:textId="77777777" w:rsidTr="3452EF96">
        <w:tc>
          <w:tcPr>
            <w:tcW w:w="2518" w:type="dxa"/>
            <w:shd w:val="clear" w:color="auto" w:fill="D9D9D9" w:themeFill="background1" w:themeFillShade="D9"/>
          </w:tcPr>
          <w:p w14:paraId="7ABAD315" w14:textId="77777777" w:rsidR="001C26BF" w:rsidRPr="00313AA2" w:rsidRDefault="001C26BF" w:rsidP="001C26BF">
            <w:pPr>
              <w:rPr>
                <w:rFonts w:asciiTheme="minorHAnsi" w:hAnsiTheme="minorHAnsi" w:cstheme="minorHAnsi"/>
                <w:b/>
                <w:sz w:val="20"/>
                <w:szCs w:val="20"/>
                <w:lang w:val="es-ES_tradnl"/>
              </w:rPr>
            </w:pPr>
            <w:r w:rsidRPr="00313AA2">
              <w:rPr>
                <w:rFonts w:asciiTheme="minorHAnsi" w:hAnsiTheme="minorHAnsi" w:cstheme="minorHAnsi"/>
                <w:b/>
                <w:sz w:val="20"/>
                <w:szCs w:val="20"/>
                <w:lang w:val="es-ES_tradnl"/>
              </w:rPr>
              <w:t>Valor asegurado amparos afectados:</w:t>
            </w:r>
          </w:p>
        </w:tc>
        <w:tc>
          <w:tcPr>
            <w:tcW w:w="7465" w:type="dxa"/>
          </w:tcPr>
          <w:p w14:paraId="6C40C20A" w14:textId="1F105DC2" w:rsidR="001C26BF" w:rsidRPr="00313AA2" w:rsidRDefault="001C26BF" w:rsidP="001C26BF">
            <w:pPr>
              <w:jc w:val="both"/>
              <w:rPr>
                <w:rFonts w:asciiTheme="minorHAnsi" w:hAnsiTheme="minorHAnsi" w:cstheme="minorHAnsi"/>
                <w:sz w:val="20"/>
                <w:szCs w:val="20"/>
                <w:lang w:val="es-ES_tradnl"/>
              </w:rPr>
            </w:pPr>
            <w:r w:rsidRPr="00313AA2">
              <w:rPr>
                <w:rFonts w:asciiTheme="minorHAnsi" w:hAnsiTheme="minorHAnsi" w:cstheme="minorHAnsi"/>
                <w:sz w:val="20"/>
                <w:szCs w:val="20"/>
                <w:lang w:val="es-ES_tradnl"/>
              </w:rPr>
              <w:t xml:space="preserve"> Predios, labores y operaciones: $7.000.000.000</w:t>
            </w:r>
          </w:p>
        </w:tc>
      </w:tr>
      <w:tr w:rsidR="001C26BF" w:rsidRPr="00313AA2" w14:paraId="47DED08D" w14:textId="77777777" w:rsidTr="3452EF96">
        <w:tc>
          <w:tcPr>
            <w:tcW w:w="2518" w:type="dxa"/>
            <w:shd w:val="clear" w:color="auto" w:fill="D9D9D9" w:themeFill="background1" w:themeFillShade="D9"/>
          </w:tcPr>
          <w:p w14:paraId="2040F0CE" w14:textId="77777777" w:rsidR="001C26BF" w:rsidRPr="00313AA2" w:rsidRDefault="001C26BF" w:rsidP="001C26BF">
            <w:pPr>
              <w:rPr>
                <w:rFonts w:asciiTheme="minorHAnsi" w:hAnsiTheme="minorHAnsi" w:cstheme="minorHAnsi"/>
                <w:b/>
                <w:sz w:val="20"/>
                <w:szCs w:val="20"/>
                <w:lang w:val="es-ES_tradnl"/>
              </w:rPr>
            </w:pPr>
            <w:r w:rsidRPr="00313AA2">
              <w:rPr>
                <w:rFonts w:asciiTheme="minorHAnsi" w:hAnsiTheme="minorHAnsi" w:cstheme="minorHAnsi"/>
                <w:b/>
                <w:sz w:val="20"/>
                <w:szCs w:val="20"/>
                <w:lang w:val="es-ES_tradnl"/>
              </w:rPr>
              <w:t>Valoración objetiva de las pretensiones:</w:t>
            </w:r>
          </w:p>
        </w:tc>
        <w:tc>
          <w:tcPr>
            <w:tcW w:w="7465" w:type="dxa"/>
          </w:tcPr>
          <w:p w14:paraId="40225BA0" w14:textId="641B6818" w:rsidR="001401EA" w:rsidRPr="002D3D0E" w:rsidRDefault="001401EA" w:rsidP="001401EA">
            <w:pPr>
              <w:jc w:val="both"/>
              <w:rPr>
                <w:rFonts w:asciiTheme="minorHAnsi" w:hAnsiTheme="minorHAnsi" w:cstheme="minorHAnsi"/>
                <w:b/>
                <w:bCs/>
                <w:sz w:val="20"/>
                <w:szCs w:val="20"/>
              </w:rPr>
            </w:pPr>
            <w:r w:rsidRPr="002D3D0E">
              <w:rPr>
                <w:rFonts w:asciiTheme="minorHAnsi" w:hAnsiTheme="minorHAnsi" w:cstheme="minorHAnsi"/>
                <w:b/>
                <w:bCs/>
                <w:sz w:val="20"/>
                <w:szCs w:val="20"/>
              </w:rPr>
              <w:t>Liquidación objetiva $ 2.927.325,5</w:t>
            </w:r>
          </w:p>
          <w:p w14:paraId="0CD46B3F" w14:textId="77777777" w:rsidR="001401EA" w:rsidRPr="002D3D0E" w:rsidRDefault="001401EA" w:rsidP="001401EA">
            <w:pPr>
              <w:jc w:val="both"/>
              <w:rPr>
                <w:rFonts w:asciiTheme="minorHAnsi" w:hAnsiTheme="minorHAnsi" w:cstheme="minorHAnsi"/>
                <w:sz w:val="20"/>
                <w:szCs w:val="20"/>
              </w:rPr>
            </w:pPr>
          </w:p>
          <w:p w14:paraId="78A35D2B" w14:textId="194BAEDE" w:rsidR="001401EA" w:rsidRPr="002D3D0E" w:rsidRDefault="001401EA" w:rsidP="001401EA">
            <w:pPr>
              <w:jc w:val="both"/>
              <w:rPr>
                <w:rFonts w:asciiTheme="minorHAnsi" w:hAnsiTheme="minorHAnsi" w:cstheme="minorHAnsi"/>
                <w:sz w:val="20"/>
                <w:szCs w:val="20"/>
              </w:rPr>
            </w:pPr>
            <w:r w:rsidRPr="002D3D0E">
              <w:rPr>
                <w:rFonts w:asciiTheme="minorHAnsi" w:hAnsiTheme="minorHAnsi" w:cstheme="minorHAnsi"/>
                <w:sz w:val="20"/>
                <w:szCs w:val="20"/>
              </w:rPr>
              <w:t xml:space="preserve">Se llegó a este valor de la siguiente forma: </w:t>
            </w:r>
          </w:p>
          <w:p w14:paraId="5CE362DF" w14:textId="77777777" w:rsidR="001401EA" w:rsidRPr="00313AA2" w:rsidRDefault="001401EA" w:rsidP="001401EA">
            <w:pPr>
              <w:jc w:val="both"/>
              <w:rPr>
                <w:rFonts w:asciiTheme="minorHAnsi" w:hAnsiTheme="minorHAnsi" w:cstheme="minorHAnsi"/>
                <w:b/>
                <w:bCs/>
                <w:sz w:val="20"/>
                <w:szCs w:val="20"/>
              </w:rPr>
            </w:pPr>
          </w:p>
          <w:p w14:paraId="097AAD06" w14:textId="0604FDAD" w:rsidR="001401EA" w:rsidRPr="002D3D0E" w:rsidRDefault="001401EA" w:rsidP="002D3D0E">
            <w:pPr>
              <w:pStyle w:val="Prrafodelista"/>
              <w:numPr>
                <w:ilvl w:val="0"/>
                <w:numId w:val="7"/>
              </w:numPr>
              <w:spacing w:after="160" w:line="259" w:lineRule="auto"/>
              <w:jc w:val="both"/>
              <w:rPr>
                <w:rFonts w:asciiTheme="minorHAnsi" w:hAnsiTheme="minorHAnsi" w:cstheme="minorHAnsi"/>
                <w:sz w:val="20"/>
                <w:szCs w:val="20"/>
              </w:rPr>
            </w:pPr>
            <w:r w:rsidRPr="00313AA2">
              <w:rPr>
                <w:rFonts w:asciiTheme="minorHAnsi" w:hAnsiTheme="minorHAnsi" w:cstheme="minorHAnsi"/>
                <w:b/>
                <w:bCs/>
                <w:sz w:val="20"/>
                <w:szCs w:val="20"/>
              </w:rPr>
              <w:t>Lucro cesante:</w:t>
            </w:r>
            <w:r w:rsidRPr="00313AA2">
              <w:rPr>
                <w:rFonts w:asciiTheme="minorHAnsi" w:hAnsiTheme="minorHAnsi" w:cstheme="minorHAnsi"/>
                <w:sz w:val="20"/>
                <w:szCs w:val="20"/>
              </w:rPr>
              <w:t xml:space="preserve"> No se reconoce pues hasta esta instancia no se han allegado certificados, extractos, planillas o pruebas que acrediten que para la fecha de los </w:t>
            </w:r>
            <w:r w:rsidRPr="00313AA2">
              <w:rPr>
                <w:rFonts w:asciiTheme="minorHAnsi" w:hAnsiTheme="minorHAnsi" w:cstheme="minorHAnsi"/>
                <w:sz w:val="20"/>
                <w:szCs w:val="20"/>
              </w:rPr>
              <w:lastRenderedPageBreak/>
              <w:t xml:space="preserve">hechos el demandante se desempeñaba como mensajero, así como tampoco cual era el salario que devengaba. </w:t>
            </w:r>
          </w:p>
          <w:p w14:paraId="0778EF7F" w14:textId="1A37F470" w:rsidR="001401EA" w:rsidRPr="002D3D0E" w:rsidRDefault="001401EA" w:rsidP="002D3D0E">
            <w:pPr>
              <w:pStyle w:val="Prrafodelista"/>
              <w:numPr>
                <w:ilvl w:val="0"/>
                <w:numId w:val="7"/>
              </w:numPr>
              <w:spacing w:after="160" w:line="259" w:lineRule="auto"/>
              <w:jc w:val="both"/>
              <w:rPr>
                <w:rFonts w:asciiTheme="minorHAnsi" w:hAnsiTheme="minorHAnsi" w:cstheme="minorHAnsi"/>
                <w:sz w:val="20"/>
                <w:szCs w:val="20"/>
              </w:rPr>
            </w:pPr>
            <w:r w:rsidRPr="00313AA2">
              <w:rPr>
                <w:rFonts w:asciiTheme="minorHAnsi" w:hAnsiTheme="minorHAnsi" w:cstheme="minorHAnsi"/>
                <w:b/>
                <w:bCs/>
                <w:sz w:val="20"/>
                <w:szCs w:val="20"/>
              </w:rPr>
              <w:t>Daño Psicológico:</w:t>
            </w:r>
            <w:r w:rsidRPr="00313AA2">
              <w:rPr>
                <w:rFonts w:asciiTheme="minorHAnsi" w:hAnsiTheme="minorHAnsi" w:cstheme="minorHAnsi"/>
                <w:sz w:val="20"/>
                <w:szCs w:val="20"/>
              </w:rPr>
              <w:t xml:space="preserve"> No se reconoce daño psicológico por no estar dentro de la tipología indemnizatoria del Consejo de Estado. </w:t>
            </w:r>
          </w:p>
          <w:p w14:paraId="230A8C40" w14:textId="6BF987B9" w:rsidR="001401EA" w:rsidRPr="002D3D0E" w:rsidRDefault="001401EA" w:rsidP="002D3D0E">
            <w:pPr>
              <w:pStyle w:val="Prrafodelista"/>
              <w:numPr>
                <w:ilvl w:val="0"/>
                <w:numId w:val="7"/>
              </w:numPr>
              <w:spacing w:after="160" w:line="259" w:lineRule="auto"/>
              <w:jc w:val="both"/>
              <w:rPr>
                <w:rFonts w:asciiTheme="minorHAnsi" w:hAnsiTheme="minorHAnsi" w:cstheme="minorHAnsi"/>
                <w:sz w:val="20"/>
                <w:szCs w:val="20"/>
              </w:rPr>
            </w:pPr>
            <w:r w:rsidRPr="00313AA2">
              <w:rPr>
                <w:rFonts w:asciiTheme="minorHAnsi" w:hAnsiTheme="minorHAnsi" w:cstheme="minorHAnsi"/>
                <w:b/>
                <w:bCs/>
                <w:sz w:val="20"/>
                <w:szCs w:val="20"/>
              </w:rPr>
              <w:t>Alteración de las condiciones de existencia:</w:t>
            </w:r>
            <w:r w:rsidRPr="00313AA2">
              <w:rPr>
                <w:rFonts w:asciiTheme="minorHAnsi" w:hAnsiTheme="minorHAnsi" w:cstheme="minorHAnsi"/>
                <w:sz w:val="20"/>
                <w:szCs w:val="20"/>
              </w:rPr>
              <w:t xml:space="preserve"> No se reconoce por no estar dentro de la tipología indemnizatoria del Consejo de Estado. </w:t>
            </w:r>
          </w:p>
          <w:p w14:paraId="0753A086" w14:textId="41C3869E" w:rsidR="001401EA" w:rsidRPr="002D3D0E" w:rsidRDefault="001401EA" w:rsidP="002D3D0E">
            <w:pPr>
              <w:pStyle w:val="Prrafodelista"/>
              <w:numPr>
                <w:ilvl w:val="0"/>
                <w:numId w:val="7"/>
              </w:numPr>
              <w:spacing w:after="160" w:line="259" w:lineRule="auto"/>
              <w:jc w:val="both"/>
              <w:rPr>
                <w:rFonts w:asciiTheme="minorHAnsi" w:hAnsiTheme="minorHAnsi" w:cstheme="minorHAnsi"/>
                <w:sz w:val="20"/>
                <w:szCs w:val="20"/>
              </w:rPr>
            </w:pPr>
            <w:r w:rsidRPr="00313AA2">
              <w:rPr>
                <w:rFonts w:asciiTheme="minorHAnsi" w:hAnsiTheme="minorHAnsi" w:cstheme="minorHAnsi"/>
                <w:b/>
                <w:bCs/>
                <w:sz w:val="20"/>
                <w:szCs w:val="20"/>
              </w:rPr>
              <w:t>Daño emergente $ 803.255:</w:t>
            </w:r>
            <w:r w:rsidRPr="00313AA2">
              <w:rPr>
                <w:rFonts w:asciiTheme="minorHAnsi" w:hAnsiTheme="minorHAnsi" w:cstheme="minorHAnsi"/>
                <w:sz w:val="20"/>
                <w:szCs w:val="20"/>
              </w:rPr>
              <w:t xml:space="preserve"> Se reconoce este valor por estar acreditado este valor en las facturas de venta No. 33650 del 20 de febrero de 2020 por valor de $200.000, No. 0378 del 22 de febrero de 2020 por valor de $150.000 y Comprobante de Ingreso No. 5789156 de fecha 16 de enero de 2020 por valor de $453.255 que fueron aportados con la demanda, los cuales fueron expedidas a nombre del demandante, por lo que se puede deducir que efectivamente estos gastos salieron de su patrimonio. No se reconoce lo pretendido por honorarios de abogado en representación en proceso penal, por solicitarse en favor de una persona que no está vinculada como demandante en el proceso ni presentarse prueba que acredite lo pretendido.</w:t>
            </w:r>
          </w:p>
          <w:p w14:paraId="30D03F93" w14:textId="63C3BFCD" w:rsidR="001401EA" w:rsidRPr="002D3D0E" w:rsidRDefault="001401EA" w:rsidP="002D3D0E">
            <w:pPr>
              <w:pStyle w:val="Prrafodelista"/>
              <w:numPr>
                <w:ilvl w:val="0"/>
                <w:numId w:val="7"/>
              </w:numPr>
              <w:spacing w:after="160" w:line="259" w:lineRule="auto"/>
              <w:jc w:val="both"/>
              <w:rPr>
                <w:rFonts w:asciiTheme="minorHAnsi" w:hAnsiTheme="minorHAnsi" w:cstheme="minorHAnsi"/>
                <w:sz w:val="20"/>
                <w:szCs w:val="20"/>
              </w:rPr>
            </w:pPr>
            <w:r w:rsidRPr="00313AA2">
              <w:rPr>
                <w:rFonts w:asciiTheme="minorHAnsi" w:hAnsiTheme="minorHAnsi" w:cstheme="minorHAnsi"/>
                <w:b/>
                <w:bCs/>
                <w:sz w:val="20"/>
                <w:szCs w:val="20"/>
              </w:rPr>
              <w:t>Daño a la salud $14.235.000:</w:t>
            </w:r>
            <w:r w:rsidRPr="00313AA2">
              <w:rPr>
                <w:rFonts w:asciiTheme="minorHAnsi" w:hAnsiTheme="minorHAnsi" w:cstheme="minorHAnsi"/>
                <w:sz w:val="20"/>
                <w:szCs w:val="20"/>
              </w:rPr>
              <w:t xml:space="preserve"> Si bien no existe un parámetro objetivo como un dictamen de PCL que permita tasar el perjuicio, las lesiones presentadas por el demandante fueron “trauma en rodilla, pierna, tobillo y pie izquierdo más heridas complejas en tobillo y pierna izquierda” y como diagnóstico de egreso se estableció  “fractura de la epífisis inferior de la tibia”, el cual se puede encausar en un PCL del 1 al 10% , por lo que de acuerdo con los parámetros objetivos establecidos por la jurisprudencia del Consejo de Estado se reconoce una indemnización de máximo 10 SMMLV para la víctima directa, (único demandante), que a la fecha del informe equivalen a $14.235.000.</w:t>
            </w:r>
          </w:p>
          <w:p w14:paraId="4023C883" w14:textId="77777777" w:rsidR="001401EA" w:rsidRPr="00313AA2" w:rsidRDefault="001401EA" w:rsidP="001401EA">
            <w:pPr>
              <w:pStyle w:val="Prrafodelista"/>
              <w:numPr>
                <w:ilvl w:val="0"/>
                <w:numId w:val="7"/>
              </w:numPr>
              <w:spacing w:after="160" w:line="259" w:lineRule="auto"/>
              <w:jc w:val="both"/>
              <w:rPr>
                <w:rFonts w:asciiTheme="minorHAnsi" w:hAnsiTheme="minorHAnsi" w:cstheme="minorHAnsi"/>
                <w:sz w:val="20"/>
                <w:szCs w:val="20"/>
              </w:rPr>
            </w:pPr>
            <w:r w:rsidRPr="00313AA2">
              <w:rPr>
                <w:rFonts w:asciiTheme="minorHAnsi" w:hAnsiTheme="minorHAnsi" w:cstheme="minorHAnsi"/>
                <w:b/>
                <w:bCs/>
                <w:sz w:val="20"/>
                <w:szCs w:val="20"/>
              </w:rPr>
              <w:t>Perjuicios morales:</w:t>
            </w:r>
            <w:r w:rsidRPr="00313AA2">
              <w:rPr>
                <w:rFonts w:asciiTheme="minorHAnsi" w:hAnsiTheme="minorHAnsi" w:cstheme="minorHAnsi"/>
                <w:sz w:val="20"/>
                <w:szCs w:val="20"/>
              </w:rPr>
              <w:t xml:space="preserve"> Si bien no existe un parámetro objetivo como un dictamen de PCL que permita tasar el perjuicio, las lesiones presentadas por el demandante fueron “trauma en rodilla, pierna, tobillo y pie izquierdo más heridas complejas en tobillo y pierna izquierda” y como diagnóstico de egreso se estableció  “fractura de la epífisis inferior de la tibia”, el cual se puede encausar en un PCL del 1 al 10% , por lo que de acuerdo con los parámetros objetivos establecidos por la jurisprudencia del Consejo de Estado se reconoce una indemnización de máximo 10 SMMLV para la víctima directa, (único demandante), que a la fecha del informe equivalen a $14.235.000. En la demanda se solicitó oficiar a la Junta Regional del Valle para un dictamen de PCL, por lo que la liquidación deberá actualizarse cuando se practique dicha prueba.</w:t>
            </w:r>
          </w:p>
          <w:p w14:paraId="37D028D3" w14:textId="109A5FF8" w:rsidR="001401EA" w:rsidRPr="00313AA2" w:rsidRDefault="001401EA" w:rsidP="001401EA">
            <w:pPr>
              <w:jc w:val="both"/>
              <w:rPr>
                <w:rFonts w:asciiTheme="minorHAnsi" w:hAnsiTheme="minorHAnsi" w:cstheme="minorHAnsi"/>
                <w:sz w:val="20"/>
                <w:szCs w:val="20"/>
              </w:rPr>
            </w:pPr>
            <w:r w:rsidRPr="002D3D0E">
              <w:rPr>
                <w:rFonts w:asciiTheme="minorHAnsi" w:hAnsiTheme="minorHAnsi" w:cstheme="minorHAnsi"/>
                <w:b/>
                <w:bCs/>
                <w:sz w:val="20"/>
                <w:szCs w:val="20"/>
              </w:rPr>
              <w:t>Operación</w:t>
            </w:r>
            <w:r w:rsidRPr="00313AA2">
              <w:rPr>
                <w:rFonts w:asciiTheme="minorHAnsi" w:hAnsiTheme="minorHAnsi" w:cstheme="minorHAnsi"/>
                <w:sz w:val="20"/>
                <w:szCs w:val="20"/>
              </w:rPr>
              <w:t xml:space="preserve">: </w:t>
            </w:r>
          </w:p>
          <w:p w14:paraId="47BAFB52" w14:textId="34366A3A" w:rsidR="001401EA" w:rsidRPr="00313AA2" w:rsidRDefault="001401EA" w:rsidP="001401EA">
            <w:pPr>
              <w:pStyle w:val="Prrafodelista"/>
              <w:numPr>
                <w:ilvl w:val="0"/>
                <w:numId w:val="7"/>
              </w:numPr>
              <w:spacing w:after="160" w:line="259" w:lineRule="auto"/>
              <w:jc w:val="both"/>
              <w:rPr>
                <w:rFonts w:asciiTheme="minorHAnsi" w:hAnsiTheme="minorHAnsi" w:cstheme="minorHAnsi"/>
                <w:b/>
                <w:bCs/>
                <w:sz w:val="20"/>
                <w:szCs w:val="20"/>
              </w:rPr>
            </w:pPr>
            <w:proofErr w:type="gramStart"/>
            <w:r w:rsidRPr="00313AA2">
              <w:rPr>
                <w:rFonts w:asciiTheme="minorHAnsi" w:hAnsiTheme="minorHAnsi" w:cstheme="minorHAnsi"/>
                <w:sz w:val="20"/>
                <w:szCs w:val="20"/>
              </w:rPr>
              <w:t>Total</w:t>
            </w:r>
            <w:proofErr w:type="gramEnd"/>
            <w:r w:rsidRPr="00313AA2">
              <w:rPr>
                <w:rFonts w:asciiTheme="minorHAnsi" w:hAnsiTheme="minorHAnsi" w:cstheme="minorHAnsi"/>
                <w:sz w:val="20"/>
                <w:szCs w:val="20"/>
              </w:rPr>
              <w:t xml:space="preserve"> </w:t>
            </w:r>
            <w:r w:rsidRPr="00313AA2">
              <w:rPr>
                <w:rFonts w:asciiTheme="minorHAnsi" w:hAnsiTheme="minorHAnsi" w:cstheme="minorHAnsi"/>
                <w:sz w:val="20"/>
                <w:szCs w:val="20"/>
              </w:rPr>
              <w:t>p</w:t>
            </w:r>
            <w:r w:rsidRPr="00313AA2">
              <w:rPr>
                <w:rFonts w:asciiTheme="minorHAnsi" w:hAnsiTheme="minorHAnsi" w:cstheme="minorHAnsi"/>
                <w:sz w:val="20"/>
                <w:szCs w:val="20"/>
              </w:rPr>
              <w:t xml:space="preserve">retensiones reconocidas: $ </w:t>
            </w:r>
            <w:r w:rsidRPr="00313AA2">
              <w:rPr>
                <w:rFonts w:asciiTheme="minorHAnsi" w:hAnsiTheme="minorHAnsi" w:cstheme="minorHAnsi"/>
                <w:b/>
                <w:bCs/>
                <w:sz w:val="20"/>
                <w:szCs w:val="20"/>
              </w:rPr>
              <w:t>29.273.255</w:t>
            </w:r>
          </w:p>
          <w:p w14:paraId="520C6B59" w14:textId="6A49D3C7" w:rsidR="001401EA" w:rsidRPr="00313AA2" w:rsidRDefault="001401EA" w:rsidP="001401EA">
            <w:pPr>
              <w:pStyle w:val="Prrafodelista"/>
              <w:numPr>
                <w:ilvl w:val="0"/>
                <w:numId w:val="7"/>
              </w:numPr>
              <w:spacing w:after="160" w:line="259" w:lineRule="auto"/>
              <w:jc w:val="both"/>
              <w:rPr>
                <w:rFonts w:asciiTheme="minorHAnsi" w:hAnsiTheme="minorHAnsi" w:cstheme="minorHAnsi"/>
                <w:sz w:val="20"/>
                <w:szCs w:val="20"/>
              </w:rPr>
            </w:pPr>
            <w:r w:rsidRPr="002D3D0E">
              <w:rPr>
                <w:rFonts w:asciiTheme="minorHAnsi" w:hAnsiTheme="minorHAnsi" w:cstheme="minorHAnsi"/>
                <w:b/>
                <w:bCs/>
                <w:sz w:val="20"/>
                <w:szCs w:val="20"/>
              </w:rPr>
              <w:t>Deducible</w:t>
            </w:r>
            <w:r w:rsidRPr="00313AA2">
              <w:rPr>
                <w:rFonts w:asciiTheme="minorHAnsi" w:hAnsiTheme="minorHAnsi" w:cstheme="minorHAnsi"/>
                <w:sz w:val="20"/>
                <w:szCs w:val="20"/>
              </w:rPr>
              <w:t xml:space="preserve">: No aplica </w:t>
            </w:r>
          </w:p>
          <w:p w14:paraId="417F1012" w14:textId="7EE5966D" w:rsidR="001401EA" w:rsidRPr="00313AA2" w:rsidRDefault="001401EA" w:rsidP="001401EA">
            <w:pPr>
              <w:pStyle w:val="Prrafodelista"/>
              <w:numPr>
                <w:ilvl w:val="0"/>
                <w:numId w:val="7"/>
              </w:numPr>
              <w:spacing w:after="160" w:line="259" w:lineRule="auto"/>
              <w:jc w:val="both"/>
              <w:rPr>
                <w:rFonts w:asciiTheme="minorHAnsi" w:hAnsiTheme="minorHAnsi" w:cstheme="minorHAnsi"/>
                <w:sz w:val="20"/>
                <w:szCs w:val="20"/>
              </w:rPr>
            </w:pPr>
            <w:r w:rsidRPr="002D3D0E">
              <w:rPr>
                <w:rFonts w:asciiTheme="minorHAnsi" w:hAnsiTheme="minorHAnsi" w:cstheme="minorHAnsi"/>
                <w:b/>
                <w:bCs/>
                <w:sz w:val="20"/>
                <w:szCs w:val="20"/>
              </w:rPr>
              <w:t>Coaseguro</w:t>
            </w:r>
            <w:r w:rsidRPr="00313AA2">
              <w:rPr>
                <w:rFonts w:asciiTheme="minorHAnsi" w:hAnsiTheme="minorHAnsi" w:cstheme="minorHAnsi"/>
                <w:sz w:val="20"/>
                <w:szCs w:val="20"/>
              </w:rPr>
              <w:t xml:space="preserve">: Participación del 10% </w:t>
            </w:r>
          </w:p>
          <w:p w14:paraId="7662D052" w14:textId="1FE0A606" w:rsidR="001C26BF" w:rsidRPr="002D3D0E" w:rsidRDefault="001401EA" w:rsidP="001C26BF">
            <w:pPr>
              <w:pStyle w:val="Prrafodelista"/>
              <w:numPr>
                <w:ilvl w:val="0"/>
                <w:numId w:val="7"/>
              </w:numPr>
              <w:spacing w:after="160" w:line="259" w:lineRule="auto"/>
              <w:jc w:val="both"/>
              <w:rPr>
                <w:rFonts w:asciiTheme="minorHAnsi" w:hAnsiTheme="minorHAnsi" w:cstheme="minorHAnsi"/>
                <w:b/>
                <w:bCs/>
                <w:sz w:val="20"/>
                <w:szCs w:val="20"/>
              </w:rPr>
            </w:pPr>
            <w:r w:rsidRPr="002D3D0E">
              <w:rPr>
                <w:rFonts w:asciiTheme="minorHAnsi" w:hAnsiTheme="minorHAnsi" w:cstheme="minorHAnsi"/>
                <w:b/>
                <w:bCs/>
                <w:sz w:val="20"/>
                <w:szCs w:val="20"/>
              </w:rPr>
              <w:t>Valoración objetiva final: $ 2.927.325,5</w:t>
            </w:r>
          </w:p>
        </w:tc>
      </w:tr>
      <w:tr w:rsidR="001C26BF" w:rsidRPr="00313AA2" w14:paraId="3AE6DDE7" w14:textId="77777777" w:rsidTr="3452EF96">
        <w:tc>
          <w:tcPr>
            <w:tcW w:w="2518" w:type="dxa"/>
            <w:shd w:val="clear" w:color="auto" w:fill="D9D9D9" w:themeFill="background1" w:themeFillShade="D9"/>
          </w:tcPr>
          <w:p w14:paraId="49F38751" w14:textId="77777777" w:rsidR="001C26BF" w:rsidRPr="00313AA2" w:rsidRDefault="001C26BF" w:rsidP="001C26BF">
            <w:pPr>
              <w:rPr>
                <w:rFonts w:asciiTheme="minorHAnsi" w:hAnsiTheme="minorHAnsi" w:cstheme="minorHAnsi"/>
                <w:b/>
                <w:sz w:val="20"/>
                <w:szCs w:val="20"/>
                <w:lang w:val="es-ES_tradnl"/>
              </w:rPr>
            </w:pPr>
            <w:r w:rsidRPr="00313AA2">
              <w:rPr>
                <w:rFonts w:asciiTheme="minorHAnsi" w:hAnsiTheme="minorHAnsi" w:cstheme="minorHAnsi"/>
                <w:b/>
                <w:sz w:val="20"/>
                <w:szCs w:val="20"/>
                <w:lang w:val="es-ES_tradnl"/>
              </w:rPr>
              <w:t>Calificación de la contingencia:</w:t>
            </w:r>
          </w:p>
        </w:tc>
        <w:tc>
          <w:tcPr>
            <w:tcW w:w="7465" w:type="dxa"/>
          </w:tcPr>
          <w:p w14:paraId="1E9AFCF4" w14:textId="73157470" w:rsidR="001C26BF" w:rsidRPr="00313AA2" w:rsidRDefault="001401EA" w:rsidP="001C26BF">
            <w:pPr>
              <w:jc w:val="both"/>
              <w:rPr>
                <w:rFonts w:asciiTheme="minorHAnsi" w:hAnsiTheme="minorHAnsi" w:cstheme="minorHAnsi"/>
                <w:sz w:val="20"/>
                <w:szCs w:val="20"/>
                <w:lang w:val="es-ES_tradnl"/>
              </w:rPr>
            </w:pPr>
            <w:r w:rsidRPr="00313AA2">
              <w:rPr>
                <w:rFonts w:asciiTheme="minorHAnsi" w:hAnsiTheme="minorHAnsi" w:cstheme="minorHAnsi"/>
                <w:sz w:val="20"/>
                <w:szCs w:val="20"/>
                <w:lang w:val="es-ES_tradnl"/>
              </w:rPr>
              <w:t>REMOTA</w:t>
            </w:r>
          </w:p>
        </w:tc>
      </w:tr>
      <w:tr w:rsidR="001C26BF" w:rsidRPr="00313AA2" w14:paraId="1EDA617F" w14:textId="77777777" w:rsidTr="3452EF96">
        <w:tc>
          <w:tcPr>
            <w:tcW w:w="2518" w:type="dxa"/>
            <w:shd w:val="clear" w:color="auto" w:fill="D9D9D9" w:themeFill="background1" w:themeFillShade="D9"/>
          </w:tcPr>
          <w:p w14:paraId="45DBC8C6" w14:textId="77777777" w:rsidR="001C26BF" w:rsidRPr="00313AA2" w:rsidRDefault="001C26BF" w:rsidP="001C26BF">
            <w:pPr>
              <w:rPr>
                <w:rFonts w:asciiTheme="minorHAnsi" w:hAnsiTheme="minorHAnsi" w:cstheme="minorHAnsi"/>
                <w:b/>
                <w:sz w:val="20"/>
                <w:szCs w:val="20"/>
                <w:lang w:val="es-ES_tradnl"/>
              </w:rPr>
            </w:pPr>
            <w:r w:rsidRPr="00313AA2">
              <w:rPr>
                <w:rFonts w:asciiTheme="minorHAnsi" w:hAnsiTheme="minorHAnsi" w:cstheme="minorHAnsi"/>
                <w:b/>
                <w:sz w:val="20"/>
                <w:szCs w:val="20"/>
                <w:lang w:val="es-ES_tradnl"/>
              </w:rPr>
              <w:t>Motivos de la calificación:</w:t>
            </w:r>
          </w:p>
        </w:tc>
        <w:tc>
          <w:tcPr>
            <w:tcW w:w="7465" w:type="dxa"/>
          </w:tcPr>
          <w:p w14:paraId="583708AF" w14:textId="77777777" w:rsidR="001401EA" w:rsidRPr="00313AA2" w:rsidRDefault="001401EA" w:rsidP="001401EA">
            <w:pPr>
              <w:jc w:val="both"/>
              <w:rPr>
                <w:rFonts w:asciiTheme="minorHAnsi" w:hAnsiTheme="minorHAnsi" w:cstheme="minorHAnsi"/>
                <w:sz w:val="20"/>
                <w:szCs w:val="20"/>
              </w:rPr>
            </w:pPr>
            <w:r w:rsidRPr="00313AA2">
              <w:rPr>
                <w:rFonts w:asciiTheme="minorHAnsi" w:hAnsiTheme="minorHAnsi" w:cstheme="minorHAnsi"/>
                <w:sz w:val="20"/>
                <w:szCs w:val="20"/>
              </w:rPr>
              <w:t xml:space="preserve">La contingencia se califica como </w:t>
            </w:r>
            <w:r w:rsidRPr="00313AA2">
              <w:rPr>
                <w:rFonts w:asciiTheme="minorHAnsi" w:hAnsiTheme="minorHAnsi" w:cstheme="minorHAnsi"/>
                <w:b/>
                <w:bCs/>
                <w:sz w:val="20"/>
                <w:szCs w:val="20"/>
              </w:rPr>
              <w:t>REMOTA</w:t>
            </w:r>
            <w:r w:rsidRPr="00313AA2">
              <w:rPr>
                <w:rFonts w:asciiTheme="minorHAnsi" w:hAnsiTheme="minorHAnsi" w:cstheme="minorHAnsi"/>
                <w:sz w:val="20"/>
                <w:szCs w:val="20"/>
              </w:rPr>
              <w:t>, pues si bien la Póliza presta cobertura material y temporal, las pruebas aportadas hasta esta instancia procesal no acreditan la responsabilidad del asegurado.</w:t>
            </w:r>
          </w:p>
          <w:p w14:paraId="525509F3" w14:textId="77777777" w:rsidR="001401EA" w:rsidRPr="00313AA2" w:rsidRDefault="001401EA" w:rsidP="001401EA">
            <w:pPr>
              <w:jc w:val="both"/>
              <w:rPr>
                <w:rFonts w:asciiTheme="minorHAnsi" w:hAnsiTheme="minorHAnsi" w:cstheme="minorHAnsi"/>
                <w:sz w:val="20"/>
                <w:szCs w:val="20"/>
              </w:rPr>
            </w:pPr>
            <w:r w:rsidRPr="00313AA2">
              <w:rPr>
                <w:rFonts w:asciiTheme="minorHAnsi" w:hAnsiTheme="minorHAnsi" w:cstheme="minorHAnsi"/>
                <w:sz w:val="20"/>
                <w:szCs w:val="20"/>
              </w:rPr>
              <w:t xml:space="preserve">En primer lugar, la Póliza presta cobertura temporal, al haberse pactado bajo la modalidad de ocurrencia, y haber ocurrido los hechos el 30 de diciembre de 2019, esto es, dentro del </w:t>
            </w:r>
            <w:r w:rsidRPr="00313AA2">
              <w:rPr>
                <w:rFonts w:asciiTheme="minorHAnsi" w:hAnsiTheme="minorHAnsi" w:cstheme="minorHAnsi"/>
                <w:sz w:val="20"/>
                <w:szCs w:val="20"/>
              </w:rPr>
              <w:lastRenderedPageBreak/>
              <w:t xml:space="preserve">período de vigencia de la póliza, que corrió desde el 29 de mayo de 2019 y el 23 de abril de 2020. </w:t>
            </w:r>
          </w:p>
          <w:p w14:paraId="562DCD74" w14:textId="77777777" w:rsidR="001401EA" w:rsidRPr="00313AA2" w:rsidRDefault="001401EA" w:rsidP="001401EA">
            <w:pPr>
              <w:jc w:val="both"/>
              <w:rPr>
                <w:rFonts w:asciiTheme="minorHAnsi" w:hAnsiTheme="minorHAnsi" w:cstheme="minorHAnsi"/>
                <w:sz w:val="20"/>
                <w:szCs w:val="20"/>
              </w:rPr>
            </w:pPr>
          </w:p>
          <w:p w14:paraId="236B8A18" w14:textId="792D8399" w:rsidR="001401EA" w:rsidRPr="00313AA2" w:rsidRDefault="001401EA" w:rsidP="001401EA">
            <w:pPr>
              <w:jc w:val="both"/>
              <w:rPr>
                <w:rFonts w:asciiTheme="minorHAnsi" w:hAnsiTheme="minorHAnsi" w:cstheme="minorHAnsi"/>
                <w:sz w:val="20"/>
                <w:szCs w:val="20"/>
              </w:rPr>
            </w:pPr>
            <w:r w:rsidRPr="00313AA2">
              <w:rPr>
                <w:rFonts w:asciiTheme="minorHAnsi" w:hAnsiTheme="minorHAnsi" w:cstheme="minorHAnsi"/>
                <w:sz w:val="20"/>
                <w:szCs w:val="20"/>
              </w:rPr>
              <w:t xml:space="preserve">En cuanto a la cobertura material, en principio no estarían amparados los hechos imputados al Distrito por el demandante en relación con el supuesto incorrecto funcionamiento de los semáforos ubicados en el lugar del accidente. Ello por cuanto, de conformidad con la exclusión No. 39 del condicionado general, se encuentran excluidos los perjuicios derivados de la falta de conservación o mantenimiento de los bienes propios de la actividad del asegurado. Sin embargo, su eficacia o prosperidad dependerá de la determinación de la causa eficiente del accidente y de la interpretación del despacho, porque la exclusión no se encuentra en la caratula principal del contrato de seguros a pesar de que la Corte Suprema de Justicia en Sentencia de unificación No. SC328 del 21 de septiembre de 2023 ha aclarado que lo necesario es que deban empezar en la primera página de la póliza, más no de su carátula, y en caracteres destacados para que tengan eficacia, y en este caso se encuentran desde la página 1 del condicionado general. </w:t>
            </w:r>
          </w:p>
          <w:p w14:paraId="44BF8876" w14:textId="77777777" w:rsidR="001401EA" w:rsidRPr="00313AA2" w:rsidRDefault="001401EA" w:rsidP="001401EA">
            <w:pPr>
              <w:jc w:val="both"/>
              <w:rPr>
                <w:rFonts w:asciiTheme="minorHAnsi" w:hAnsiTheme="minorHAnsi" w:cstheme="minorHAnsi"/>
                <w:sz w:val="20"/>
                <w:szCs w:val="20"/>
              </w:rPr>
            </w:pPr>
          </w:p>
          <w:p w14:paraId="6F9D73E3" w14:textId="77777777" w:rsidR="001401EA" w:rsidRPr="00313AA2" w:rsidRDefault="001401EA" w:rsidP="001401EA">
            <w:pPr>
              <w:jc w:val="both"/>
              <w:rPr>
                <w:rFonts w:asciiTheme="minorHAnsi" w:hAnsiTheme="minorHAnsi" w:cstheme="minorHAnsi"/>
                <w:sz w:val="20"/>
                <w:szCs w:val="20"/>
              </w:rPr>
            </w:pPr>
            <w:r w:rsidRPr="00313AA2">
              <w:rPr>
                <w:rFonts w:asciiTheme="minorHAnsi" w:hAnsiTheme="minorHAnsi" w:cstheme="minorHAnsi"/>
                <w:sz w:val="20"/>
                <w:szCs w:val="20"/>
              </w:rPr>
              <w:t>Respecto a la responsabilidad del asegurado, en el IPAT No. A001110041 se indica que los semáforos se encontraban en correcto funcionamiento y no hay reportes que los mismos se encontraran en mal estado y que ello influyera en el accidente. Por el contrario, el daño se materializó como consecuencia del choque entre un bus del sistema masivo y unas motocicletas que no son de propiedad del Distrito, por lo cual, de existir responsabilidad, esta recaería exclusivamente en los conductores que incumplieron las normas de tránsito. De hecho, en el IPAT se codificó la hipótesis No. 142: “semáforo en rojo para cualquiera de las partes”, lo cual confirma la responsabilidad de los involucrados y descarta cualquier imputación al Distrito.</w:t>
            </w:r>
          </w:p>
          <w:p w14:paraId="258F1E1B" w14:textId="77777777" w:rsidR="001401EA" w:rsidRPr="00313AA2" w:rsidRDefault="001401EA" w:rsidP="001401EA">
            <w:pPr>
              <w:jc w:val="both"/>
              <w:rPr>
                <w:rFonts w:asciiTheme="minorHAnsi" w:hAnsiTheme="minorHAnsi" w:cstheme="minorHAnsi"/>
                <w:sz w:val="20"/>
                <w:szCs w:val="20"/>
              </w:rPr>
            </w:pPr>
          </w:p>
          <w:p w14:paraId="0673BC03" w14:textId="77777777" w:rsidR="001401EA" w:rsidRPr="00313AA2" w:rsidRDefault="001401EA" w:rsidP="001401EA">
            <w:pPr>
              <w:jc w:val="both"/>
              <w:rPr>
                <w:rFonts w:asciiTheme="minorHAnsi" w:hAnsiTheme="minorHAnsi" w:cstheme="minorHAnsi"/>
                <w:sz w:val="20"/>
                <w:szCs w:val="20"/>
              </w:rPr>
            </w:pPr>
            <w:r w:rsidRPr="00313AA2">
              <w:rPr>
                <w:rFonts w:asciiTheme="minorHAnsi" w:hAnsiTheme="minorHAnsi" w:cstheme="minorHAnsi"/>
                <w:sz w:val="20"/>
                <w:szCs w:val="20"/>
              </w:rPr>
              <w:t>Lo anterior sin perjuicio del carácter contingente del proceso.</w:t>
            </w:r>
          </w:p>
          <w:p w14:paraId="1BB23650" w14:textId="77777777" w:rsidR="001C26BF" w:rsidRPr="00313AA2" w:rsidRDefault="001C26BF" w:rsidP="001C26BF">
            <w:pPr>
              <w:jc w:val="both"/>
              <w:rPr>
                <w:rFonts w:asciiTheme="minorHAnsi" w:hAnsiTheme="minorHAnsi" w:cstheme="minorHAnsi"/>
                <w:sz w:val="20"/>
                <w:szCs w:val="20"/>
                <w:lang w:val="es-ES_tradnl"/>
              </w:rPr>
            </w:pPr>
          </w:p>
        </w:tc>
      </w:tr>
      <w:tr w:rsidR="001C26BF" w:rsidRPr="00313AA2" w14:paraId="73F5D798" w14:textId="77777777" w:rsidTr="3452EF96">
        <w:tc>
          <w:tcPr>
            <w:tcW w:w="2518" w:type="dxa"/>
            <w:shd w:val="clear" w:color="auto" w:fill="D9D9D9" w:themeFill="background1" w:themeFillShade="D9"/>
          </w:tcPr>
          <w:p w14:paraId="3ADB1516" w14:textId="77777777" w:rsidR="001C26BF" w:rsidRPr="00313AA2" w:rsidRDefault="001C26BF" w:rsidP="001C26BF">
            <w:pPr>
              <w:rPr>
                <w:rFonts w:asciiTheme="minorHAnsi" w:hAnsiTheme="minorHAnsi" w:cstheme="minorHAnsi"/>
                <w:b/>
                <w:sz w:val="20"/>
                <w:szCs w:val="20"/>
                <w:lang w:val="es-ES_tradnl"/>
              </w:rPr>
            </w:pPr>
            <w:r w:rsidRPr="00313AA2">
              <w:rPr>
                <w:rFonts w:asciiTheme="minorHAnsi" w:hAnsiTheme="minorHAnsi" w:cstheme="minorHAnsi"/>
                <w:b/>
                <w:sz w:val="20"/>
                <w:szCs w:val="20"/>
                <w:lang w:val="es-ES_tradnl"/>
              </w:rPr>
              <w:lastRenderedPageBreak/>
              <w:t>Excepciones propuestas:</w:t>
            </w:r>
          </w:p>
        </w:tc>
        <w:tc>
          <w:tcPr>
            <w:tcW w:w="7465" w:type="dxa"/>
          </w:tcPr>
          <w:p w14:paraId="0B0571EF" w14:textId="77777777" w:rsidR="001401EA" w:rsidRPr="00313AA2" w:rsidRDefault="001C26BF" w:rsidP="001401EA">
            <w:pPr>
              <w:ind w:right="90"/>
              <w:jc w:val="both"/>
              <w:rPr>
                <w:rFonts w:asciiTheme="minorHAnsi" w:eastAsia="Calibri" w:hAnsiTheme="minorHAnsi" w:cstheme="minorHAnsi"/>
                <w:sz w:val="20"/>
                <w:szCs w:val="20"/>
              </w:rPr>
            </w:pPr>
            <w:r w:rsidRPr="00313AA2">
              <w:rPr>
                <w:rFonts w:asciiTheme="minorHAnsi" w:hAnsiTheme="minorHAnsi" w:cstheme="minorHAnsi"/>
                <w:sz w:val="20"/>
                <w:szCs w:val="20"/>
                <w:lang w:val="es-ES_tradnl"/>
              </w:rPr>
              <w:t xml:space="preserve"> </w:t>
            </w:r>
            <w:r w:rsidR="001401EA" w:rsidRPr="00313AA2">
              <w:rPr>
                <w:rFonts w:asciiTheme="minorHAnsi" w:eastAsia="Calibri" w:hAnsiTheme="minorHAnsi" w:cstheme="minorHAnsi"/>
                <w:sz w:val="20"/>
                <w:szCs w:val="20"/>
              </w:rPr>
              <w:t xml:space="preserve">EXCEPCIONES FRENTE A LA DEMANDA </w:t>
            </w:r>
          </w:p>
          <w:p w14:paraId="6AF08E61" w14:textId="77777777" w:rsidR="001401EA" w:rsidRPr="00313AA2" w:rsidRDefault="001401EA" w:rsidP="001401EA">
            <w:pPr>
              <w:ind w:right="90"/>
              <w:jc w:val="both"/>
              <w:rPr>
                <w:rFonts w:asciiTheme="minorHAnsi" w:eastAsia="Calibri" w:hAnsiTheme="minorHAnsi" w:cstheme="minorHAnsi"/>
                <w:sz w:val="20"/>
                <w:szCs w:val="20"/>
              </w:rPr>
            </w:pPr>
          </w:p>
          <w:p w14:paraId="299304AF" w14:textId="77777777" w:rsidR="001401EA" w:rsidRPr="00313AA2" w:rsidRDefault="001401EA" w:rsidP="002D3D0E">
            <w:pPr>
              <w:pStyle w:val="Prrafodelista"/>
              <w:widowControl w:val="0"/>
              <w:numPr>
                <w:ilvl w:val="0"/>
                <w:numId w:val="8"/>
              </w:numPr>
              <w:ind w:left="489" w:right="90" w:hanging="284"/>
              <w:jc w:val="both"/>
              <w:rPr>
                <w:rFonts w:asciiTheme="minorHAnsi" w:eastAsia="Calibri" w:hAnsiTheme="minorHAnsi" w:cstheme="minorHAnsi"/>
                <w:sz w:val="20"/>
                <w:szCs w:val="20"/>
              </w:rPr>
            </w:pPr>
            <w:r w:rsidRPr="00313AA2">
              <w:rPr>
                <w:rFonts w:asciiTheme="minorHAnsi" w:eastAsia="Calibri" w:hAnsiTheme="minorHAnsi" w:cstheme="minorHAnsi"/>
                <w:sz w:val="20"/>
                <w:szCs w:val="20"/>
              </w:rPr>
              <w:t>Falta de legitimación en la causa por pasiva del Distrito Especial de Santiago de Cali.</w:t>
            </w:r>
          </w:p>
          <w:p w14:paraId="08277609" w14:textId="77777777" w:rsidR="001401EA" w:rsidRPr="00313AA2" w:rsidRDefault="001401EA" w:rsidP="002D3D0E">
            <w:pPr>
              <w:pStyle w:val="Prrafodelista"/>
              <w:widowControl w:val="0"/>
              <w:numPr>
                <w:ilvl w:val="0"/>
                <w:numId w:val="8"/>
              </w:numPr>
              <w:ind w:left="489" w:right="90" w:hanging="284"/>
              <w:jc w:val="both"/>
              <w:rPr>
                <w:rFonts w:asciiTheme="minorHAnsi" w:eastAsia="Calibri" w:hAnsiTheme="minorHAnsi" w:cstheme="minorHAnsi"/>
                <w:sz w:val="20"/>
                <w:szCs w:val="20"/>
              </w:rPr>
            </w:pPr>
            <w:r w:rsidRPr="00313AA2">
              <w:rPr>
                <w:rFonts w:asciiTheme="minorHAnsi" w:eastAsia="Calibri" w:hAnsiTheme="minorHAnsi" w:cstheme="minorHAnsi"/>
                <w:sz w:val="20"/>
                <w:szCs w:val="20"/>
              </w:rPr>
              <w:t>Ausencia de falla en el servicio por parte del Distrito Especial de Santiago de Cali.</w:t>
            </w:r>
          </w:p>
          <w:p w14:paraId="6CE7DD2E" w14:textId="77777777" w:rsidR="001401EA" w:rsidRPr="00313AA2" w:rsidRDefault="001401EA" w:rsidP="002D3D0E">
            <w:pPr>
              <w:pStyle w:val="Prrafodelista"/>
              <w:widowControl w:val="0"/>
              <w:numPr>
                <w:ilvl w:val="0"/>
                <w:numId w:val="8"/>
              </w:numPr>
              <w:ind w:left="489" w:right="90" w:hanging="284"/>
              <w:jc w:val="both"/>
              <w:rPr>
                <w:rFonts w:asciiTheme="minorHAnsi" w:eastAsia="Calibri" w:hAnsiTheme="minorHAnsi" w:cstheme="minorHAnsi"/>
                <w:sz w:val="20"/>
                <w:szCs w:val="20"/>
              </w:rPr>
            </w:pPr>
            <w:r w:rsidRPr="00313AA2">
              <w:rPr>
                <w:rFonts w:asciiTheme="minorHAnsi" w:eastAsia="Calibri" w:hAnsiTheme="minorHAnsi" w:cstheme="minorHAnsi"/>
                <w:sz w:val="20"/>
                <w:szCs w:val="20"/>
              </w:rPr>
              <w:t xml:space="preserve">Hecho exclusivo y determinante de la víctima como constituyente de una causa extraña </w:t>
            </w:r>
          </w:p>
          <w:p w14:paraId="161D2A78" w14:textId="77777777" w:rsidR="001401EA" w:rsidRPr="00313AA2" w:rsidRDefault="001401EA" w:rsidP="002D3D0E">
            <w:pPr>
              <w:pStyle w:val="Prrafodelista"/>
              <w:widowControl w:val="0"/>
              <w:numPr>
                <w:ilvl w:val="0"/>
                <w:numId w:val="8"/>
              </w:numPr>
              <w:ind w:left="489" w:right="90" w:hanging="284"/>
              <w:jc w:val="both"/>
              <w:rPr>
                <w:rFonts w:asciiTheme="minorHAnsi" w:eastAsia="Calibri" w:hAnsiTheme="minorHAnsi" w:cstheme="minorHAnsi"/>
                <w:sz w:val="20"/>
                <w:szCs w:val="20"/>
              </w:rPr>
            </w:pPr>
            <w:r w:rsidRPr="00313AA2">
              <w:rPr>
                <w:rFonts w:asciiTheme="minorHAnsi" w:eastAsia="Calibri" w:hAnsiTheme="minorHAnsi" w:cstheme="minorHAnsi"/>
                <w:sz w:val="20"/>
                <w:szCs w:val="20"/>
              </w:rPr>
              <w:t xml:space="preserve">Subsidiaria: reducción de la eventual indemnización como consecuencia de la incidencia de la conducta del señor Eduardo </w:t>
            </w:r>
            <w:proofErr w:type="spellStart"/>
            <w:r w:rsidRPr="00313AA2">
              <w:rPr>
                <w:rFonts w:asciiTheme="minorHAnsi" w:eastAsia="Calibri" w:hAnsiTheme="minorHAnsi" w:cstheme="minorHAnsi"/>
                <w:sz w:val="20"/>
                <w:szCs w:val="20"/>
              </w:rPr>
              <w:t>Edinson</w:t>
            </w:r>
            <w:proofErr w:type="spellEnd"/>
            <w:r w:rsidRPr="00313AA2">
              <w:rPr>
                <w:rFonts w:asciiTheme="minorHAnsi" w:eastAsia="Calibri" w:hAnsiTheme="minorHAnsi" w:cstheme="minorHAnsi"/>
                <w:sz w:val="20"/>
                <w:szCs w:val="20"/>
              </w:rPr>
              <w:t xml:space="preserve"> </w:t>
            </w:r>
            <w:proofErr w:type="spellStart"/>
            <w:r w:rsidRPr="00313AA2">
              <w:rPr>
                <w:rFonts w:asciiTheme="minorHAnsi" w:eastAsia="Calibri" w:hAnsiTheme="minorHAnsi" w:cstheme="minorHAnsi"/>
                <w:sz w:val="20"/>
                <w:szCs w:val="20"/>
              </w:rPr>
              <w:t>Bolivar</w:t>
            </w:r>
            <w:proofErr w:type="spellEnd"/>
            <w:r w:rsidRPr="00313AA2">
              <w:rPr>
                <w:rFonts w:asciiTheme="minorHAnsi" w:eastAsia="Calibri" w:hAnsiTheme="minorHAnsi" w:cstheme="minorHAnsi"/>
                <w:sz w:val="20"/>
                <w:szCs w:val="20"/>
              </w:rPr>
              <w:t xml:space="preserve"> Quimbaya / concurrencia de culpas</w:t>
            </w:r>
          </w:p>
          <w:p w14:paraId="77F301B3" w14:textId="77777777" w:rsidR="001401EA" w:rsidRPr="00313AA2" w:rsidRDefault="001401EA" w:rsidP="002D3D0E">
            <w:pPr>
              <w:pStyle w:val="Prrafodelista"/>
              <w:widowControl w:val="0"/>
              <w:numPr>
                <w:ilvl w:val="0"/>
                <w:numId w:val="8"/>
              </w:numPr>
              <w:ind w:left="489" w:right="90" w:hanging="284"/>
              <w:jc w:val="both"/>
              <w:rPr>
                <w:rFonts w:asciiTheme="minorHAnsi" w:eastAsia="Calibri" w:hAnsiTheme="minorHAnsi" w:cstheme="minorHAnsi"/>
                <w:sz w:val="20"/>
                <w:szCs w:val="20"/>
              </w:rPr>
            </w:pPr>
            <w:r w:rsidRPr="00313AA2">
              <w:rPr>
                <w:rFonts w:asciiTheme="minorHAnsi" w:eastAsia="Calibri" w:hAnsiTheme="minorHAnsi" w:cstheme="minorHAnsi"/>
                <w:sz w:val="20"/>
                <w:szCs w:val="20"/>
              </w:rPr>
              <w:t xml:space="preserve">Falta de acreditación probatoria de los perjuicios y exagerada tasación de </w:t>
            </w:r>
            <w:proofErr w:type="gramStart"/>
            <w:r w:rsidRPr="00313AA2">
              <w:rPr>
                <w:rFonts w:asciiTheme="minorHAnsi" w:eastAsia="Calibri" w:hAnsiTheme="minorHAnsi" w:cstheme="minorHAnsi"/>
                <w:sz w:val="20"/>
                <w:szCs w:val="20"/>
              </w:rPr>
              <w:t>los mismos</w:t>
            </w:r>
            <w:proofErr w:type="gramEnd"/>
            <w:r w:rsidRPr="00313AA2">
              <w:rPr>
                <w:rFonts w:asciiTheme="minorHAnsi" w:eastAsia="Calibri" w:hAnsiTheme="minorHAnsi" w:cstheme="minorHAnsi"/>
                <w:sz w:val="20"/>
                <w:szCs w:val="20"/>
              </w:rPr>
              <w:t xml:space="preserve"> </w:t>
            </w:r>
          </w:p>
          <w:p w14:paraId="40953480" w14:textId="77777777" w:rsidR="001401EA" w:rsidRPr="00313AA2" w:rsidRDefault="001401EA" w:rsidP="002D3D0E">
            <w:pPr>
              <w:pStyle w:val="Prrafodelista"/>
              <w:widowControl w:val="0"/>
              <w:numPr>
                <w:ilvl w:val="0"/>
                <w:numId w:val="8"/>
              </w:numPr>
              <w:ind w:left="489" w:right="90" w:hanging="284"/>
              <w:jc w:val="both"/>
              <w:rPr>
                <w:rFonts w:asciiTheme="minorHAnsi" w:eastAsia="Calibri" w:hAnsiTheme="minorHAnsi" w:cstheme="minorHAnsi"/>
                <w:sz w:val="20"/>
                <w:szCs w:val="20"/>
              </w:rPr>
            </w:pPr>
            <w:r w:rsidRPr="00313AA2">
              <w:rPr>
                <w:rFonts w:asciiTheme="minorHAnsi" w:eastAsia="Calibri" w:hAnsiTheme="minorHAnsi" w:cstheme="minorHAnsi"/>
                <w:sz w:val="20"/>
                <w:szCs w:val="20"/>
              </w:rPr>
              <w:t xml:space="preserve">Excepciones planteadas por quien formuló el llamamiento en garantía. </w:t>
            </w:r>
          </w:p>
          <w:p w14:paraId="370BF1BC" w14:textId="77777777" w:rsidR="001401EA" w:rsidRPr="00313AA2" w:rsidRDefault="001401EA" w:rsidP="002D3D0E">
            <w:pPr>
              <w:pStyle w:val="Prrafodelista"/>
              <w:widowControl w:val="0"/>
              <w:numPr>
                <w:ilvl w:val="0"/>
                <w:numId w:val="8"/>
              </w:numPr>
              <w:ind w:left="489" w:right="90" w:hanging="284"/>
              <w:jc w:val="both"/>
              <w:rPr>
                <w:rFonts w:asciiTheme="minorHAnsi" w:eastAsia="Calibri" w:hAnsiTheme="minorHAnsi" w:cstheme="minorHAnsi"/>
                <w:sz w:val="20"/>
                <w:szCs w:val="20"/>
              </w:rPr>
            </w:pPr>
            <w:r w:rsidRPr="00313AA2">
              <w:rPr>
                <w:rFonts w:asciiTheme="minorHAnsi" w:eastAsia="Calibri" w:hAnsiTheme="minorHAnsi" w:cstheme="minorHAnsi"/>
                <w:sz w:val="20"/>
                <w:szCs w:val="20"/>
              </w:rPr>
              <w:t xml:space="preserve">Genérica e innominada.  </w:t>
            </w:r>
          </w:p>
          <w:p w14:paraId="60458DF7" w14:textId="77777777" w:rsidR="001401EA" w:rsidRPr="00313AA2" w:rsidRDefault="001401EA" w:rsidP="001401EA">
            <w:pPr>
              <w:pStyle w:val="Prrafodelista"/>
              <w:ind w:right="90"/>
              <w:jc w:val="both"/>
              <w:rPr>
                <w:rFonts w:asciiTheme="minorHAnsi" w:eastAsia="Calibri" w:hAnsiTheme="minorHAnsi" w:cstheme="minorHAnsi"/>
                <w:sz w:val="20"/>
                <w:szCs w:val="20"/>
              </w:rPr>
            </w:pPr>
          </w:p>
          <w:p w14:paraId="6764204F" w14:textId="77777777" w:rsidR="001401EA" w:rsidRPr="00313AA2" w:rsidRDefault="001401EA" w:rsidP="001401EA">
            <w:pPr>
              <w:ind w:right="90"/>
              <w:jc w:val="both"/>
              <w:rPr>
                <w:rFonts w:asciiTheme="minorHAnsi" w:eastAsia="Calibri" w:hAnsiTheme="minorHAnsi" w:cstheme="minorHAnsi"/>
                <w:sz w:val="20"/>
                <w:szCs w:val="20"/>
              </w:rPr>
            </w:pPr>
            <w:r w:rsidRPr="00313AA2">
              <w:rPr>
                <w:rFonts w:asciiTheme="minorHAnsi" w:eastAsia="Calibri" w:hAnsiTheme="minorHAnsi" w:cstheme="minorHAnsi"/>
                <w:sz w:val="20"/>
                <w:szCs w:val="20"/>
              </w:rPr>
              <w:t xml:space="preserve">EXCEPCIONES FRENTE AL LLAMAMIENTO EN GARANTÍA. </w:t>
            </w:r>
          </w:p>
          <w:p w14:paraId="07385FE7" w14:textId="77777777" w:rsidR="001401EA" w:rsidRPr="00313AA2" w:rsidRDefault="001401EA" w:rsidP="001401EA">
            <w:pPr>
              <w:pStyle w:val="Prrafodelista"/>
              <w:ind w:right="90"/>
              <w:jc w:val="both"/>
              <w:rPr>
                <w:rFonts w:asciiTheme="minorHAnsi" w:eastAsia="Calibri" w:hAnsiTheme="minorHAnsi" w:cstheme="minorHAnsi"/>
                <w:sz w:val="20"/>
                <w:szCs w:val="20"/>
              </w:rPr>
            </w:pPr>
          </w:p>
          <w:p w14:paraId="18C3D54C" w14:textId="77777777" w:rsidR="001401EA" w:rsidRPr="00313AA2" w:rsidRDefault="001401EA" w:rsidP="002D3D0E">
            <w:pPr>
              <w:pStyle w:val="Prrafodelista"/>
              <w:widowControl w:val="0"/>
              <w:numPr>
                <w:ilvl w:val="0"/>
                <w:numId w:val="8"/>
              </w:numPr>
              <w:ind w:left="489" w:right="90" w:hanging="284"/>
              <w:jc w:val="both"/>
              <w:rPr>
                <w:rFonts w:asciiTheme="minorHAnsi" w:eastAsia="Calibri" w:hAnsiTheme="minorHAnsi" w:cstheme="minorHAnsi"/>
                <w:sz w:val="20"/>
                <w:szCs w:val="20"/>
              </w:rPr>
            </w:pPr>
            <w:r w:rsidRPr="00313AA2">
              <w:rPr>
                <w:rFonts w:asciiTheme="minorHAnsi" w:eastAsia="Calibri" w:hAnsiTheme="minorHAnsi" w:cstheme="minorHAnsi"/>
                <w:sz w:val="20"/>
                <w:szCs w:val="20"/>
              </w:rPr>
              <w:t>Falta de cobertura material de la Póliza de Responsabilidad Civil Extracontractual No. 420-80- 994000000109.</w:t>
            </w:r>
          </w:p>
          <w:p w14:paraId="2BDA76D0" w14:textId="77777777" w:rsidR="001401EA" w:rsidRPr="00313AA2" w:rsidRDefault="001401EA" w:rsidP="002D3D0E">
            <w:pPr>
              <w:pStyle w:val="Prrafodelista"/>
              <w:widowControl w:val="0"/>
              <w:numPr>
                <w:ilvl w:val="0"/>
                <w:numId w:val="8"/>
              </w:numPr>
              <w:ind w:left="489" w:right="90" w:hanging="284"/>
              <w:jc w:val="both"/>
              <w:rPr>
                <w:rFonts w:asciiTheme="minorHAnsi" w:eastAsia="Calibri" w:hAnsiTheme="minorHAnsi" w:cstheme="minorHAnsi"/>
                <w:sz w:val="20"/>
                <w:szCs w:val="20"/>
              </w:rPr>
            </w:pPr>
            <w:r w:rsidRPr="00313AA2">
              <w:rPr>
                <w:rFonts w:asciiTheme="minorHAnsi" w:eastAsia="Calibri" w:hAnsiTheme="minorHAnsi" w:cstheme="minorHAnsi"/>
                <w:sz w:val="20"/>
                <w:szCs w:val="20"/>
              </w:rPr>
              <w:t>Inexistencia de obligación indemnizatoria por la no realización del riesgo asegurado en la Póliza de Responsabilidad Civil Extracontractual No. 420-80- 994000000109.</w:t>
            </w:r>
          </w:p>
          <w:p w14:paraId="770CD7DC" w14:textId="77777777" w:rsidR="001401EA" w:rsidRPr="00313AA2" w:rsidRDefault="001401EA" w:rsidP="002D3D0E">
            <w:pPr>
              <w:pStyle w:val="Prrafodelista"/>
              <w:widowControl w:val="0"/>
              <w:numPr>
                <w:ilvl w:val="0"/>
                <w:numId w:val="8"/>
              </w:numPr>
              <w:ind w:left="489" w:right="90" w:hanging="284"/>
              <w:jc w:val="both"/>
              <w:rPr>
                <w:rFonts w:asciiTheme="minorHAnsi" w:eastAsia="Calibri" w:hAnsiTheme="minorHAnsi" w:cstheme="minorHAnsi"/>
                <w:sz w:val="20"/>
                <w:szCs w:val="20"/>
              </w:rPr>
            </w:pPr>
            <w:r w:rsidRPr="00313AA2">
              <w:rPr>
                <w:rFonts w:asciiTheme="minorHAnsi" w:eastAsia="Calibri" w:hAnsiTheme="minorHAnsi" w:cstheme="minorHAnsi"/>
                <w:sz w:val="20"/>
                <w:szCs w:val="20"/>
              </w:rPr>
              <w:t>Carácter meramente indemnizatorio que revisten los contratos de seguro.</w:t>
            </w:r>
          </w:p>
          <w:p w14:paraId="42C20C02" w14:textId="77777777" w:rsidR="001401EA" w:rsidRPr="00313AA2" w:rsidRDefault="001401EA" w:rsidP="002D3D0E">
            <w:pPr>
              <w:pStyle w:val="Prrafodelista"/>
              <w:widowControl w:val="0"/>
              <w:numPr>
                <w:ilvl w:val="0"/>
                <w:numId w:val="8"/>
              </w:numPr>
              <w:ind w:left="489" w:right="90" w:hanging="284"/>
              <w:jc w:val="both"/>
              <w:rPr>
                <w:rFonts w:asciiTheme="minorHAnsi" w:eastAsia="Calibri" w:hAnsiTheme="minorHAnsi" w:cstheme="minorHAnsi"/>
                <w:sz w:val="20"/>
                <w:szCs w:val="20"/>
              </w:rPr>
            </w:pPr>
            <w:r w:rsidRPr="00313AA2">
              <w:rPr>
                <w:rFonts w:asciiTheme="minorHAnsi" w:eastAsia="Calibri" w:hAnsiTheme="minorHAnsi" w:cstheme="minorHAnsi"/>
                <w:sz w:val="20"/>
                <w:szCs w:val="20"/>
              </w:rPr>
              <w:t>Coaseguro e inexistencia de solidaridad.</w:t>
            </w:r>
          </w:p>
          <w:p w14:paraId="29537096" w14:textId="77777777" w:rsidR="001401EA" w:rsidRPr="00313AA2" w:rsidRDefault="001401EA" w:rsidP="002D3D0E">
            <w:pPr>
              <w:pStyle w:val="Prrafodelista"/>
              <w:widowControl w:val="0"/>
              <w:numPr>
                <w:ilvl w:val="0"/>
                <w:numId w:val="8"/>
              </w:numPr>
              <w:ind w:left="489" w:right="90" w:hanging="284"/>
              <w:jc w:val="both"/>
              <w:rPr>
                <w:rFonts w:asciiTheme="minorHAnsi" w:eastAsia="Calibri" w:hAnsiTheme="minorHAnsi" w:cstheme="minorHAnsi"/>
                <w:sz w:val="20"/>
                <w:szCs w:val="20"/>
              </w:rPr>
            </w:pPr>
            <w:r w:rsidRPr="00313AA2">
              <w:rPr>
                <w:rFonts w:asciiTheme="minorHAnsi" w:eastAsia="Calibri" w:hAnsiTheme="minorHAnsi" w:cstheme="minorHAnsi"/>
                <w:sz w:val="20"/>
                <w:szCs w:val="20"/>
              </w:rPr>
              <w:t>En cualquier caso, de ninguna forma se podrá exceder el límite del valor asegurado.</w:t>
            </w:r>
          </w:p>
          <w:p w14:paraId="0112E564" w14:textId="77777777" w:rsidR="001401EA" w:rsidRPr="00313AA2" w:rsidRDefault="001401EA" w:rsidP="002D3D0E">
            <w:pPr>
              <w:pStyle w:val="Prrafodelista"/>
              <w:widowControl w:val="0"/>
              <w:numPr>
                <w:ilvl w:val="0"/>
                <w:numId w:val="8"/>
              </w:numPr>
              <w:ind w:left="489" w:right="90" w:hanging="284"/>
              <w:jc w:val="both"/>
              <w:rPr>
                <w:rFonts w:asciiTheme="minorHAnsi" w:eastAsia="Calibri" w:hAnsiTheme="minorHAnsi" w:cstheme="minorHAnsi"/>
                <w:sz w:val="20"/>
                <w:szCs w:val="20"/>
              </w:rPr>
            </w:pPr>
            <w:r w:rsidRPr="00313AA2">
              <w:rPr>
                <w:rFonts w:asciiTheme="minorHAnsi" w:eastAsia="Calibri" w:hAnsiTheme="minorHAnsi" w:cstheme="minorHAnsi"/>
                <w:sz w:val="20"/>
                <w:szCs w:val="20"/>
              </w:rPr>
              <w:t>Las exclusiones de amparo concertadas en la Póliza de Responsabilidad Civil Extracontractual No. 420-80- 994000000109.</w:t>
            </w:r>
          </w:p>
          <w:p w14:paraId="4CF6D7F6" w14:textId="77777777" w:rsidR="001401EA" w:rsidRPr="00313AA2" w:rsidRDefault="001401EA" w:rsidP="002D3D0E">
            <w:pPr>
              <w:pStyle w:val="Prrafodelista"/>
              <w:widowControl w:val="0"/>
              <w:numPr>
                <w:ilvl w:val="0"/>
                <w:numId w:val="8"/>
              </w:numPr>
              <w:ind w:left="489" w:right="90" w:hanging="284"/>
              <w:jc w:val="both"/>
              <w:rPr>
                <w:rFonts w:asciiTheme="minorHAnsi" w:eastAsia="Calibri" w:hAnsiTheme="minorHAnsi" w:cstheme="minorHAnsi"/>
                <w:sz w:val="20"/>
                <w:szCs w:val="20"/>
              </w:rPr>
            </w:pPr>
            <w:r w:rsidRPr="00313AA2">
              <w:rPr>
                <w:rFonts w:asciiTheme="minorHAnsi" w:eastAsia="Calibri" w:hAnsiTheme="minorHAnsi" w:cstheme="minorHAnsi"/>
                <w:sz w:val="20"/>
                <w:szCs w:val="20"/>
              </w:rPr>
              <w:lastRenderedPageBreak/>
              <w:t>Disponibilidad del valor asegurado.</w:t>
            </w:r>
          </w:p>
          <w:p w14:paraId="34C7DFC5" w14:textId="423A012D" w:rsidR="001401EA" w:rsidRPr="00313AA2" w:rsidRDefault="001401EA" w:rsidP="002D3D0E">
            <w:pPr>
              <w:pStyle w:val="Prrafodelista"/>
              <w:widowControl w:val="0"/>
              <w:numPr>
                <w:ilvl w:val="0"/>
                <w:numId w:val="8"/>
              </w:numPr>
              <w:ind w:left="489" w:right="90" w:hanging="284"/>
              <w:jc w:val="both"/>
              <w:rPr>
                <w:rFonts w:asciiTheme="minorHAnsi" w:eastAsia="Calibri" w:hAnsiTheme="minorHAnsi" w:cstheme="minorHAnsi"/>
                <w:sz w:val="20"/>
                <w:szCs w:val="20"/>
              </w:rPr>
            </w:pPr>
            <w:r w:rsidRPr="00313AA2">
              <w:rPr>
                <w:rFonts w:asciiTheme="minorHAnsi" w:eastAsia="Calibri" w:hAnsiTheme="minorHAnsi" w:cstheme="minorHAnsi"/>
                <w:sz w:val="20"/>
                <w:szCs w:val="20"/>
              </w:rPr>
              <w:t xml:space="preserve">Inexistencia de solidaridad entre </w:t>
            </w:r>
            <w:r w:rsidRPr="00313AA2">
              <w:rPr>
                <w:rFonts w:asciiTheme="minorHAnsi" w:eastAsia="Calibri" w:hAnsiTheme="minorHAnsi" w:cstheme="minorHAnsi"/>
                <w:sz w:val="20"/>
                <w:szCs w:val="20"/>
              </w:rPr>
              <w:t>HDI</w:t>
            </w:r>
            <w:r w:rsidRPr="00313AA2">
              <w:rPr>
                <w:rFonts w:asciiTheme="minorHAnsi" w:eastAsia="Calibri" w:hAnsiTheme="minorHAnsi" w:cstheme="minorHAnsi"/>
                <w:sz w:val="20"/>
                <w:szCs w:val="20"/>
              </w:rPr>
              <w:t xml:space="preserve"> Seguros Colombia S.A y los demandados</w:t>
            </w:r>
          </w:p>
          <w:p w14:paraId="29AA5D4B" w14:textId="77777777" w:rsidR="002D3D0E" w:rsidRDefault="001401EA" w:rsidP="002D3D0E">
            <w:pPr>
              <w:pStyle w:val="Prrafodelista"/>
              <w:widowControl w:val="0"/>
              <w:numPr>
                <w:ilvl w:val="0"/>
                <w:numId w:val="8"/>
              </w:numPr>
              <w:ind w:left="489" w:right="90" w:hanging="284"/>
              <w:jc w:val="both"/>
              <w:rPr>
                <w:rFonts w:asciiTheme="minorHAnsi" w:eastAsia="Calibri" w:hAnsiTheme="minorHAnsi" w:cstheme="minorHAnsi"/>
                <w:sz w:val="20"/>
                <w:szCs w:val="20"/>
              </w:rPr>
            </w:pPr>
            <w:r w:rsidRPr="00313AA2">
              <w:rPr>
                <w:rFonts w:asciiTheme="minorHAnsi" w:eastAsia="Calibri" w:hAnsiTheme="minorHAnsi" w:cstheme="minorHAnsi"/>
                <w:sz w:val="20"/>
                <w:szCs w:val="20"/>
              </w:rPr>
              <w:t xml:space="preserve">Pago por reembolso. </w:t>
            </w:r>
          </w:p>
          <w:p w14:paraId="01C4BF91" w14:textId="3F6F3E00" w:rsidR="001C26BF" w:rsidRPr="002D3D0E" w:rsidRDefault="001401EA" w:rsidP="002D3D0E">
            <w:pPr>
              <w:pStyle w:val="Prrafodelista"/>
              <w:widowControl w:val="0"/>
              <w:numPr>
                <w:ilvl w:val="0"/>
                <w:numId w:val="8"/>
              </w:numPr>
              <w:ind w:left="489" w:right="90" w:hanging="284"/>
              <w:jc w:val="both"/>
              <w:rPr>
                <w:rFonts w:asciiTheme="minorHAnsi" w:eastAsia="Calibri" w:hAnsiTheme="minorHAnsi" w:cstheme="minorHAnsi"/>
                <w:sz w:val="20"/>
                <w:szCs w:val="20"/>
              </w:rPr>
            </w:pPr>
            <w:r w:rsidRPr="002D3D0E">
              <w:rPr>
                <w:rFonts w:asciiTheme="minorHAnsi" w:eastAsia="Calibri" w:hAnsiTheme="minorHAnsi" w:cstheme="minorHAnsi"/>
                <w:sz w:val="20"/>
                <w:szCs w:val="20"/>
              </w:rPr>
              <w:t>Genérica o Innominada.</w:t>
            </w:r>
          </w:p>
        </w:tc>
      </w:tr>
      <w:tr w:rsidR="001401EA" w:rsidRPr="00313AA2" w14:paraId="7B9E12F7" w14:textId="77777777" w:rsidTr="3452EF96">
        <w:tc>
          <w:tcPr>
            <w:tcW w:w="2518" w:type="dxa"/>
            <w:shd w:val="clear" w:color="auto" w:fill="D9D9D9" w:themeFill="background1" w:themeFillShade="D9"/>
          </w:tcPr>
          <w:p w14:paraId="395CCBB9" w14:textId="77777777" w:rsidR="001401EA" w:rsidRPr="00313AA2" w:rsidRDefault="001401EA" w:rsidP="001401EA">
            <w:pPr>
              <w:rPr>
                <w:rFonts w:asciiTheme="minorHAnsi" w:hAnsiTheme="minorHAnsi" w:cstheme="minorHAnsi"/>
                <w:b/>
                <w:sz w:val="20"/>
                <w:szCs w:val="20"/>
                <w:lang w:val="es-ES_tradnl"/>
              </w:rPr>
            </w:pPr>
            <w:r w:rsidRPr="00313AA2">
              <w:rPr>
                <w:rFonts w:asciiTheme="minorHAnsi" w:hAnsiTheme="minorHAnsi" w:cstheme="minorHAnsi"/>
                <w:b/>
                <w:sz w:val="20"/>
                <w:szCs w:val="20"/>
                <w:lang w:val="es-ES_tradnl"/>
              </w:rPr>
              <w:lastRenderedPageBreak/>
              <w:t>Concepto del abogado sobre la posibilidad de conciliar el caso y valor de una propuesta conciliatoria:</w:t>
            </w:r>
          </w:p>
        </w:tc>
        <w:tc>
          <w:tcPr>
            <w:tcW w:w="7465" w:type="dxa"/>
          </w:tcPr>
          <w:p w14:paraId="646A7766" w14:textId="77777777" w:rsidR="002D3D0E" w:rsidRDefault="002D3D0E" w:rsidP="001401EA">
            <w:pPr>
              <w:jc w:val="both"/>
              <w:rPr>
                <w:rFonts w:asciiTheme="minorHAnsi" w:eastAsia="Calibri" w:hAnsiTheme="minorHAnsi" w:cstheme="minorHAnsi"/>
                <w:sz w:val="20"/>
                <w:szCs w:val="20"/>
              </w:rPr>
            </w:pPr>
          </w:p>
          <w:p w14:paraId="3800392C" w14:textId="07C9D12E" w:rsidR="001401EA" w:rsidRPr="00313AA2" w:rsidRDefault="001401EA" w:rsidP="001401EA">
            <w:pPr>
              <w:jc w:val="both"/>
              <w:rPr>
                <w:rFonts w:asciiTheme="minorHAnsi" w:hAnsiTheme="minorHAnsi" w:cstheme="minorHAnsi"/>
                <w:sz w:val="20"/>
                <w:szCs w:val="20"/>
                <w:lang w:val="es-ES_tradnl"/>
              </w:rPr>
            </w:pPr>
            <w:r w:rsidRPr="00313AA2">
              <w:rPr>
                <w:rFonts w:asciiTheme="minorHAnsi" w:eastAsia="Calibri" w:hAnsiTheme="minorHAnsi" w:cstheme="minorHAnsi"/>
                <w:sz w:val="20"/>
                <w:szCs w:val="20"/>
              </w:rPr>
              <w:t xml:space="preserve">En esta etapa procesal se recomienda no tener animo conciliatorio, conforme a lo expuesto en el concepto jurídico. Y esperar el debate probatorio con el fin de evaluar nuevamente el riesgo para la compañía.  </w:t>
            </w:r>
          </w:p>
        </w:tc>
      </w:tr>
      <w:tr w:rsidR="001401EA" w:rsidRPr="00313AA2" w14:paraId="4885AFEF" w14:textId="77777777" w:rsidTr="3452EF96">
        <w:tc>
          <w:tcPr>
            <w:tcW w:w="2518" w:type="dxa"/>
            <w:shd w:val="clear" w:color="auto" w:fill="D9D9D9" w:themeFill="background1" w:themeFillShade="D9"/>
          </w:tcPr>
          <w:p w14:paraId="7A4A8098" w14:textId="77777777" w:rsidR="001401EA" w:rsidRPr="00313AA2" w:rsidRDefault="001401EA" w:rsidP="001401EA">
            <w:pPr>
              <w:rPr>
                <w:rFonts w:asciiTheme="minorHAnsi" w:hAnsiTheme="minorHAnsi" w:cstheme="minorHAnsi"/>
                <w:b/>
                <w:sz w:val="20"/>
                <w:szCs w:val="20"/>
                <w:lang w:val="es-ES_tradnl"/>
              </w:rPr>
            </w:pPr>
            <w:r w:rsidRPr="00313AA2">
              <w:rPr>
                <w:rFonts w:asciiTheme="minorHAnsi" w:hAnsiTheme="minorHAnsi" w:cstheme="minorHAnsi"/>
                <w:b/>
                <w:sz w:val="20"/>
                <w:szCs w:val="20"/>
                <w:lang w:val="es-ES_tradnl"/>
              </w:rPr>
              <w:t>Fecha de asignación del caso</w:t>
            </w:r>
          </w:p>
        </w:tc>
        <w:tc>
          <w:tcPr>
            <w:tcW w:w="7465" w:type="dxa"/>
          </w:tcPr>
          <w:p w14:paraId="17343298" w14:textId="77777777" w:rsidR="001401EA" w:rsidRPr="00313AA2" w:rsidRDefault="001401EA" w:rsidP="001401EA">
            <w:pPr>
              <w:jc w:val="both"/>
              <w:rPr>
                <w:rFonts w:asciiTheme="minorHAnsi" w:hAnsiTheme="minorHAnsi" w:cstheme="minorHAnsi"/>
                <w:sz w:val="20"/>
                <w:szCs w:val="20"/>
                <w:lang w:val="es-ES_tradnl"/>
              </w:rPr>
            </w:pPr>
          </w:p>
        </w:tc>
      </w:tr>
      <w:tr w:rsidR="001401EA" w:rsidRPr="00313AA2" w14:paraId="2EE1817E" w14:textId="77777777" w:rsidTr="3452EF96">
        <w:tc>
          <w:tcPr>
            <w:tcW w:w="2518" w:type="dxa"/>
            <w:shd w:val="clear" w:color="auto" w:fill="D9D9D9" w:themeFill="background1" w:themeFillShade="D9"/>
          </w:tcPr>
          <w:p w14:paraId="4BBB3EF0" w14:textId="48FAB88E" w:rsidR="001401EA" w:rsidRPr="00313AA2" w:rsidRDefault="001401EA" w:rsidP="001401EA">
            <w:pPr>
              <w:rPr>
                <w:rFonts w:asciiTheme="minorHAnsi" w:hAnsiTheme="minorHAnsi" w:cstheme="minorHAnsi"/>
                <w:b/>
                <w:bCs/>
                <w:sz w:val="20"/>
                <w:szCs w:val="20"/>
                <w:lang w:val="es-ES"/>
              </w:rPr>
            </w:pPr>
            <w:r w:rsidRPr="00313AA2">
              <w:rPr>
                <w:rFonts w:asciiTheme="minorHAnsi" w:hAnsiTheme="minorHAnsi" w:cstheme="minorHAnsi"/>
                <w:b/>
                <w:bCs/>
                <w:sz w:val="20"/>
                <w:szCs w:val="20"/>
                <w:lang w:val="es-ES"/>
              </w:rPr>
              <w:t>Fecha de admisión de la vinculación de HDI</w:t>
            </w:r>
          </w:p>
        </w:tc>
        <w:tc>
          <w:tcPr>
            <w:tcW w:w="7465" w:type="dxa"/>
          </w:tcPr>
          <w:p w14:paraId="696A523B" w14:textId="3899F925" w:rsidR="001401EA" w:rsidRPr="00313AA2" w:rsidRDefault="001401EA" w:rsidP="001401EA">
            <w:pPr>
              <w:jc w:val="both"/>
              <w:rPr>
                <w:rFonts w:asciiTheme="minorHAnsi" w:hAnsiTheme="minorHAnsi" w:cstheme="minorHAnsi"/>
                <w:sz w:val="20"/>
                <w:szCs w:val="20"/>
                <w:lang w:val="es-ES_tradnl"/>
              </w:rPr>
            </w:pPr>
            <w:r w:rsidRPr="00313AA2">
              <w:rPr>
                <w:rFonts w:asciiTheme="minorHAnsi" w:hAnsiTheme="minorHAnsi" w:cstheme="minorHAnsi"/>
                <w:sz w:val="20"/>
                <w:szCs w:val="20"/>
                <w:lang w:val="es-ES_tradnl"/>
              </w:rPr>
              <w:t>8 de agosto de 2025</w:t>
            </w:r>
          </w:p>
        </w:tc>
      </w:tr>
      <w:tr w:rsidR="001401EA" w:rsidRPr="00313AA2" w14:paraId="5D5354CC" w14:textId="77777777" w:rsidTr="3452EF96">
        <w:tc>
          <w:tcPr>
            <w:tcW w:w="2518" w:type="dxa"/>
            <w:shd w:val="clear" w:color="auto" w:fill="D9D9D9" w:themeFill="background1" w:themeFillShade="D9"/>
          </w:tcPr>
          <w:p w14:paraId="1C31935F" w14:textId="699D1516" w:rsidR="001401EA" w:rsidRPr="00313AA2" w:rsidRDefault="001401EA" w:rsidP="001401EA">
            <w:pPr>
              <w:rPr>
                <w:rFonts w:asciiTheme="minorHAnsi" w:hAnsiTheme="minorHAnsi" w:cstheme="minorHAnsi"/>
                <w:b/>
                <w:bCs/>
                <w:sz w:val="20"/>
                <w:szCs w:val="20"/>
                <w:lang w:val="es-ES"/>
              </w:rPr>
            </w:pPr>
            <w:r w:rsidRPr="00313AA2">
              <w:rPr>
                <w:rFonts w:asciiTheme="minorHAnsi" w:hAnsiTheme="minorHAnsi" w:cstheme="minorHAnsi"/>
                <w:b/>
                <w:bCs/>
                <w:sz w:val="20"/>
                <w:szCs w:val="20"/>
                <w:lang w:val="es-ES"/>
              </w:rPr>
              <w:t>Fecha de notificación de la vinculación a HDI</w:t>
            </w:r>
          </w:p>
        </w:tc>
        <w:tc>
          <w:tcPr>
            <w:tcW w:w="7465" w:type="dxa"/>
          </w:tcPr>
          <w:p w14:paraId="34EF59C3" w14:textId="3EF51D5C" w:rsidR="001401EA" w:rsidRPr="00313AA2" w:rsidRDefault="001401EA" w:rsidP="001401EA">
            <w:pPr>
              <w:jc w:val="both"/>
              <w:rPr>
                <w:rFonts w:asciiTheme="minorHAnsi" w:hAnsiTheme="minorHAnsi" w:cstheme="minorHAnsi"/>
                <w:sz w:val="20"/>
                <w:szCs w:val="20"/>
                <w:lang w:val="es-ES_tradnl"/>
              </w:rPr>
            </w:pPr>
            <w:r w:rsidRPr="00313AA2">
              <w:rPr>
                <w:rFonts w:asciiTheme="minorHAnsi" w:hAnsiTheme="minorHAnsi" w:cstheme="minorHAnsi"/>
                <w:sz w:val="20"/>
                <w:szCs w:val="20"/>
                <w:lang w:val="es-ES_tradnl"/>
              </w:rPr>
              <w:t>11 de agosto de 2025</w:t>
            </w:r>
          </w:p>
        </w:tc>
      </w:tr>
      <w:tr w:rsidR="001401EA" w:rsidRPr="00313AA2" w14:paraId="2F193EE7" w14:textId="77777777" w:rsidTr="3452EF96">
        <w:tc>
          <w:tcPr>
            <w:tcW w:w="2518" w:type="dxa"/>
            <w:shd w:val="clear" w:color="auto" w:fill="D9D9D9" w:themeFill="background1" w:themeFillShade="D9"/>
          </w:tcPr>
          <w:p w14:paraId="60E8F079" w14:textId="77777777" w:rsidR="001401EA" w:rsidRPr="00313AA2" w:rsidRDefault="001401EA" w:rsidP="001401EA">
            <w:pPr>
              <w:rPr>
                <w:rFonts w:asciiTheme="minorHAnsi" w:hAnsiTheme="minorHAnsi" w:cstheme="minorHAnsi"/>
                <w:b/>
                <w:sz w:val="20"/>
                <w:szCs w:val="20"/>
                <w:lang w:val="es-ES_tradnl"/>
              </w:rPr>
            </w:pPr>
            <w:r w:rsidRPr="00313AA2">
              <w:rPr>
                <w:rFonts w:asciiTheme="minorHAnsi" w:hAnsiTheme="minorHAnsi" w:cstheme="minorHAnsi"/>
                <w:b/>
                <w:sz w:val="20"/>
                <w:szCs w:val="20"/>
                <w:lang w:val="es-ES_tradnl"/>
              </w:rPr>
              <w:t>Fecha de contestación del caso</w:t>
            </w:r>
          </w:p>
        </w:tc>
        <w:tc>
          <w:tcPr>
            <w:tcW w:w="7465" w:type="dxa"/>
          </w:tcPr>
          <w:p w14:paraId="635E2E0B" w14:textId="7C9B8AD8" w:rsidR="001401EA" w:rsidRPr="00313AA2" w:rsidRDefault="001401EA" w:rsidP="001401EA">
            <w:pPr>
              <w:jc w:val="both"/>
              <w:rPr>
                <w:rFonts w:asciiTheme="minorHAnsi" w:hAnsiTheme="minorHAnsi" w:cstheme="minorHAnsi"/>
                <w:sz w:val="20"/>
                <w:szCs w:val="20"/>
                <w:lang w:val="es-ES_tradnl"/>
              </w:rPr>
            </w:pPr>
            <w:r w:rsidRPr="00313AA2">
              <w:rPr>
                <w:rFonts w:asciiTheme="minorHAnsi" w:hAnsiTheme="minorHAnsi" w:cstheme="minorHAnsi"/>
                <w:sz w:val="20"/>
                <w:szCs w:val="20"/>
                <w:lang w:val="es-ES_tradnl"/>
              </w:rPr>
              <w:t>02 de septiembre de 2025</w:t>
            </w:r>
          </w:p>
        </w:tc>
      </w:tr>
    </w:tbl>
    <w:p w14:paraId="6550DCAA" w14:textId="7A482D36" w:rsidR="00C3016C" w:rsidRPr="00313AA2" w:rsidRDefault="00C3016C" w:rsidP="01B774E0">
      <w:pPr>
        <w:spacing w:after="160" w:line="259" w:lineRule="auto"/>
        <w:jc w:val="both"/>
        <w:rPr>
          <w:rFonts w:asciiTheme="minorHAnsi" w:hAnsiTheme="minorHAnsi" w:cstheme="minorHAnsi"/>
          <w:sz w:val="20"/>
          <w:szCs w:val="20"/>
        </w:rPr>
      </w:pPr>
    </w:p>
    <w:sectPr w:rsidR="00C3016C" w:rsidRPr="00313A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9BE"/>
    <w:multiLevelType w:val="hybridMultilevel"/>
    <w:tmpl w:val="E648E8A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C2B1131"/>
    <w:multiLevelType w:val="hybridMultilevel"/>
    <w:tmpl w:val="0C685F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EFD27EA"/>
    <w:multiLevelType w:val="hybridMultilevel"/>
    <w:tmpl w:val="7DF803D2"/>
    <w:lvl w:ilvl="0" w:tplc="2F4859E8">
      <w:start w:val="25"/>
      <w:numFmt w:val="bullet"/>
      <w:lvlText w:val="-"/>
      <w:lvlJc w:val="left"/>
      <w:pPr>
        <w:ind w:left="486" w:hanging="360"/>
      </w:pPr>
      <w:rPr>
        <w:rFonts w:ascii="Calibri" w:eastAsiaTheme="minorHAnsi" w:hAnsi="Calibri" w:cs="Calibri" w:hint="default"/>
      </w:rPr>
    </w:lvl>
    <w:lvl w:ilvl="1" w:tplc="240A0003" w:tentative="1">
      <w:start w:val="1"/>
      <w:numFmt w:val="bullet"/>
      <w:lvlText w:val="o"/>
      <w:lvlJc w:val="left"/>
      <w:pPr>
        <w:ind w:left="1206" w:hanging="360"/>
      </w:pPr>
      <w:rPr>
        <w:rFonts w:ascii="Courier New" w:hAnsi="Courier New" w:cs="Courier New" w:hint="default"/>
      </w:rPr>
    </w:lvl>
    <w:lvl w:ilvl="2" w:tplc="240A0005" w:tentative="1">
      <w:start w:val="1"/>
      <w:numFmt w:val="bullet"/>
      <w:lvlText w:val=""/>
      <w:lvlJc w:val="left"/>
      <w:pPr>
        <w:ind w:left="1926" w:hanging="360"/>
      </w:pPr>
      <w:rPr>
        <w:rFonts w:ascii="Wingdings" w:hAnsi="Wingdings" w:hint="default"/>
      </w:rPr>
    </w:lvl>
    <w:lvl w:ilvl="3" w:tplc="240A0001" w:tentative="1">
      <w:start w:val="1"/>
      <w:numFmt w:val="bullet"/>
      <w:lvlText w:val=""/>
      <w:lvlJc w:val="left"/>
      <w:pPr>
        <w:ind w:left="2646" w:hanging="360"/>
      </w:pPr>
      <w:rPr>
        <w:rFonts w:ascii="Symbol" w:hAnsi="Symbol" w:hint="default"/>
      </w:rPr>
    </w:lvl>
    <w:lvl w:ilvl="4" w:tplc="240A0003" w:tentative="1">
      <w:start w:val="1"/>
      <w:numFmt w:val="bullet"/>
      <w:lvlText w:val="o"/>
      <w:lvlJc w:val="left"/>
      <w:pPr>
        <w:ind w:left="3366" w:hanging="360"/>
      </w:pPr>
      <w:rPr>
        <w:rFonts w:ascii="Courier New" w:hAnsi="Courier New" w:cs="Courier New" w:hint="default"/>
      </w:rPr>
    </w:lvl>
    <w:lvl w:ilvl="5" w:tplc="240A0005" w:tentative="1">
      <w:start w:val="1"/>
      <w:numFmt w:val="bullet"/>
      <w:lvlText w:val=""/>
      <w:lvlJc w:val="left"/>
      <w:pPr>
        <w:ind w:left="4086" w:hanging="360"/>
      </w:pPr>
      <w:rPr>
        <w:rFonts w:ascii="Wingdings" w:hAnsi="Wingdings" w:hint="default"/>
      </w:rPr>
    </w:lvl>
    <w:lvl w:ilvl="6" w:tplc="240A0001" w:tentative="1">
      <w:start w:val="1"/>
      <w:numFmt w:val="bullet"/>
      <w:lvlText w:val=""/>
      <w:lvlJc w:val="left"/>
      <w:pPr>
        <w:ind w:left="4806" w:hanging="360"/>
      </w:pPr>
      <w:rPr>
        <w:rFonts w:ascii="Symbol" w:hAnsi="Symbol" w:hint="default"/>
      </w:rPr>
    </w:lvl>
    <w:lvl w:ilvl="7" w:tplc="240A0003" w:tentative="1">
      <w:start w:val="1"/>
      <w:numFmt w:val="bullet"/>
      <w:lvlText w:val="o"/>
      <w:lvlJc w:val="left"/>
      <w:pPr>
        <w:ind w:left="5526" w:hanging="360"/>
      </w:pPr>
      <w:rPr>
        <w:rFonts w:ascii="Courier New" w:hAnsi="Courier New" w:cs="Courier New" w:hint="default"/>
      </w:rPr>
    </w:lvl>
    <w:lvl w:ilvl="8" w:tplc="240A0005" w:tentative="1">
      <w:start w:val="1"/>
      <w:numFmt w:val="bullet"/>
      <w:lvlText w:val=""/>
      <w:lvlJc w:val="left"/>
      <w:pPr>
        <w:ind w:left="6246" w:hanging="360"/>
      </w:pPr>
      <w:rPr>
        <w:rFonts w:ascii="Wingdings" w:hAnsi="Wingdings" w:hint="default"/>
      </w:rPr>
    </w:lvl>
  </w:abstractNum>
  <w:abstractNum w:abstractNumId="5" w15:restartNumberingAfterBreak="0">
    <w:nsid w:val="719A76A9"/>
    <w:multiLevelType w:val="hybridMultilevel"/>
    <w:tmpl w:val="019AD900"/>
    <w:lvl w:ilvl="0" w:tplc="39CEE626">
      <w:start w:val="5"/>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BAB2595"/>
    <w:multiLevelType w:val="hybridMultilevel"/>
    <w:tmpl w:val="FFB43FC8"/>
    <w:lvl w:ilvl="0" w:tplc="9E98C28C">
      <w:start w:val="25"/>
      <w:numFmt w:val="bullet"/>
      <w:lvlText w:val="-"/>
      <w:lvlJc w:val="left"/>
      <w:pPr>
        <w:ind w:left="486" w:hanging="360"/>
      </w:pPr>
      <w:rPr>
        <w:rFonts w:ascii="Calibri" w:eastAsiaTheme="minorHAnsi" w:hAnsi="Calibri" w:cs="Calibri" w:hint="default"/>
      </w:rPr>
    </w:lvl>
    <w:lvl w:ilvl="1" w:tplc="240A0003" w:tentative="1">
      <w:start w:val="1"/>
      <w:numFmt w:val="bullet"/>
      <w:lvlText w:val="o"/>
      <w:lvlJc w:val="left"/>
      <w:pPr>
        <w:ind w:left="1206" w:hanging="360"/>
      </w:pPr>
      <w:rPr>
        <w:rFonts w:ascii="Courier New" w:hAnsi="Courier New" w:cs="Courier New" w:hint="default"/>
      </w:rPr>
    </w:lvl>
    <w:lvl w:ilvl="2" w:tplc="240A0005" w:tentative="1">
      <w:start w:val="1"/>
      <w:numFmt w:val="bullet"/>
      <w:lvlText w:val=""/>
      <w:lvlJc w:val="left"/>
      <w:pPr>
        <w:ind w:left="1926" w:hanging="360"/>
      </w:pPr>
      <w:rPr>
        <w:rFonts w:ascii="Wingdings" w:hAnsi="Wingdings" w:hint="default"/>
      </w:rPr>
    </w:lvl>
    <w:lvl w:ilvl="3" w:tplc="240A0001" w:tentative="1">
      <w:start w:val="1"/>
      <w:numFmt w:val="bullet"/>
      <w:lvlText w:val=""/>
      <w:lvlJc w:val="left"/>
      <w:pPr>
        <w:ind w:left="2646" w:hanging="360"/>
      </w:pPr>
      <w:rPr>
        <w:rFonts w:ascii="Symbol" w:hAnsi="Symbol" w:hint="default"/>
      </w:rPr>
    </w:lvl>
    <w:lvl w:ilvl="4" w:tplc="240A0003" w:tentative="1">
      <w:start w:val="1"/>
      <w:numFmt w:val="bullet"/>
      <w:lvlText w:val="o"/>
      <w:lvlJc w:val="left"/>
      <w:pPr>
        <w:ind w:left="3366" w:hanging="360"/>
      </w:pPr>
      <w:rPr>
        <w:rFonts w:ascii="Courier New" w:hAnsi="Courier New" w:cs="Courier New" w:hint="default"/>
      </w:rPr>
    </w:lvl>
    <w:lvl w:ilvl="5" w:tplc="240A0005" w:tentative="1">
      <w:start w:val="1"/>
      <w:numFmt w:val="bullet"/>
      <w:lvlText w:val=""/>
      <w:lvlJc w:val="left"/>
      <w:pPr>
        <w:ind w:left="4086" w:hanging="360"/>
      </w:pPr>
      <w:rPr>
        <w:rFonts w:ascii="Wingdings" w:hAnsi="Wingdings" w:hint="default"/>
      </w:rPr>
    </w:lvl>
    <w:lvl w:ilvl="6" w:tplc="240A0001" w:tentative="1">
      <w:start w:val="1"/>
      <w:numFmt w:val="bullet"/>
      <w:lvlText w:val=""/>
      <w:lvlJc w:val="left"/>
      <w:pPr>
        <w:ind w:left="4806" w:hanging="360"/>
      </w:pPr>
      <w:rPr>
        <w:rFonts w:ascii="Symbol" w:hAnsi="Symbol" w:hint="default"/>
      </w:rPr>
    </w:lvl>
    <w:lvl w:ilvl="7" w:tplc="240A0003" w:tentative="1">
      <w:start w:val="1"/>
      <w:numFmt w:val="bullet"/>
      <w:lvlText w:val="o"/>
      <w:lvlJc w:val="left"/>
      <w:pPr>
        <w:ind w:left="5526" w:hanging="360"/>
      </w:pPr>
      <w:rPr>
        <w:rFonts w:ascii="Courier New" w:hAnsi="Courier New" w:cs="Courier New" w:hint="default"/>
      </w:rPr>
    </w:lvl>
    <w:lvl w:ilvl="8" w:tplc="240A0005" w:tentative="1">
      <w:start w:val="1"/>
      <w:numFmt w:val="bullet"/>
      <w:lvlText w:val=""/>
      <w:lvlJc w:val="left"/>
      <w:pPr>
        <w:ind w:left="6246" w:hanging="360"/>
      </w:pPr>
      <w:rPr>
        <w:rFonts w:ascii="Wingdings" w:hAnsi="Wingdings" w:hint="default"/>
      </w:rPr>
    </w:lvl>
  </w:abstractNum>
  <w:num w:numId="1" w16cid:durableId="12202908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76521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92576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23854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903037">
    <w:abstractNumId w:val="6"/>
  </w:num>
  <w:num w:numId="6" w16cid:durableId="796724451">
    <w:abstractNumId w:val="4"/>
  </w:num>
  <w:num w:numId="7" w16cid:durableId="694230628">
    <w:abstractNumId w:val="5"/>
  </w:num>
  <w:num w:numId="8" w16cid:durableId="1050035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C"/>
    <w:rsid w:val="001401EA"/>
    <w:rsid w:val="001C26BF"/>
    <w:rsid w:val="00203F47"/>
    <w:rsid w:val="002D3D0E"/>
    <w:rsid w:val="00313AA2"/>
    <w:rsid w:val="003F5769"/>
    <w:rsid w:val="005D7B82"/>
    <w:rsid w:val="00891F78"/>
    <w:rsid w:val="00AC0786"/>
    <w:rsid w:val="00C3016C"/>
    <w:rsid w:val="00C35645"/>
    <w:rsid w:val="00E8173D"/>
    <w:rsid w:val="00F41A9A"/>
    <w:rsid w:val="01B774E0"/>
    <w:rsid w:val="1D5C43AD"/>
    <w:rsid w:val="3452EF96"/>
    <w:rsid w:val="3C4442AC"/>
    <w:rsid w:val="76B58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1C26BF"/>
    <w:rPr>
      <w:rFonts w:ascii="Times New Roman" w:eastAsia="Times New Roman"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FE3974-9AC8-4D29-8935-4A887F1F4F15}">
  <ds:schemaRefs>
    <ds:schemaRef ds:uri="http://schemas.microsoft.com/sharepoint/v3/contenttype/forms"/>
  </ds:schemaRefs>
</ds:datastoreItem>
</file>

<file path=customXml/itemProps2.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1529</Words>
  <Characters>8414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Anyela Coral</cp:lastModifiedBy>
  <cp:revision>10</cp:revision>
  <dcterms:created xsi:type="dcterms:W3CDTF">2024-01-23T16:50:00Z</dcterms:created>
  <dcterms:modified xsi:type="dcterms:W3CDTF">2025-09-03T21:37:00Z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