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99F43" w14:textId="42465450" w:rsidR="00336CED" w:rsidRDefault="00336CED" w:rsidP="00336CED">
      <w:pPr>
        <w:spacing w:after="0"/>
        <w:jc w:val="center"/>
        <w:rPr>
          <w:rFonts w:ascii="Arial" w:hAnsi="Arial" w:cs="Arial"/>
          <w:b/>
          <w:bCs/>
        </w:rPr>
      </w:pPr>
      <w:r>
        <w:rPr>
          <w:rFonts w:ascii="Arial" w:hAnsi="Arial" w:cs="Arial"/>
          <w:b/>
          <w:bCs/>
        </w:rPr>
        <w:t>ASEGURADORA SOLIDARIA DE COLOMBIA ENTIDAD COOPERATIVA</w:t>
      </w:r>
    </w:p>
    <w:p w14:paraId="258BC524" w14:textId="77777777" w:rsidR="00336CED" w:rsidRDefault="00336CED" w:rsidP="004211AC">
      <w:pPr>
        <w:spacing w:after="0"/>
        <w:jc w:val="both"/>
        <w:rPr>
          <w:rFonts w:ascii="Arial" w:hAnsi="Arial" w:cs="Arial"/>
          <w:b/>
          <w:bCs/>
        </w:rPr>
      </w:pPr>
    </w:p>
    <w:p w14:paraId="50697112" w14:textId="13CFCA2C" w:rsidR="003E4BB9" w:rsidRDefault="008D33BE" w:rsidP="004211AC">
      <w:pPr>
        <w:spacing w:after="0"/>
        <w:jc w:val="both"/>
        <w:rPr>
          <w:rFonts w:ascii="Arial" w:hAnsi="Arial" w:cs="Arial"/>
        </w:rPr>
      </w:pPr>
      <w:r w:rsidRPr="004211AC">
        <w:rPr>
          <w:rFonts w:ascii="Arial" w:hAnsi="Arial" w:cs="Arial"/>
          <w:b/>
          <w:bCs/>
        </w:rPr>
        <w:t>CALIFICACIÓN DE CONTINGENCIA:</w:t>
      </w:r>
      <w:r w:rsidR="004211AC">
        <w:rPr>
          <w:rFonts w:ascii="Arial" w:hAnsi="Arial" w:cs="Arial"/>
          <w:b/>
          <w:bCs/>
        </w:rPr>
        <w:t xml:space="preserve"> </w:t>
      </w:r>
      <w:r w:rsidR="003E4BB9">
        <w:rPr>
          <w:rFonts w:ascii="Arial" w:hAnsi="Arial" w:cs="Arial"/>
        </w:rPr>
        <w:t>La contingencia s</w:t>
      </w:r>
      <w:r w:rsidR="003E4BB9" w:rsidRPr="003E4BB9">
        <w:rPr>
          <w:rFonts w:ascii="Arial" w:hAnsi="Arial" w:cs="Arial"/>
        </w:rPr>
        <w:t>e califica como REMOT</w:t>
      </w:r>
      <w:r w:rsidR="003E4BB9">
        <w:rPr>
          <w:rFonts w:ascii="Arial" w:hAnsi="Arial" w:cs="Arial"/>
        </w:rPr>
        <w:t>A</w:t>
      </w:r>
      <w:r w:rsidR="003E4BB9" w:rsidRPr="003E4BB9">
        <w:rPr>
          <w:rFonts w:ascii="Arial" w:hAnsi="Arial" w:cs="Arial"/>
        </w:rPr>
        <w:t>, teniendo en cuenta que, si bien la póliza presta cobertura temporal y material, en el caso se presenta una evidente falta de legitimación en la causa por pasiva para el asegurado</w:t>
      </w:r>
      <w:r w:rsidR="00C84630">
        <w:rPr>
          <w:rFonts w:ascii="Arial" w:hAnsi="Arial" w:cs="Arial"/>
        </w:rPr>
        <w:t>.</w:t>
      </w:r>
    </w:p>
    <w:p w14:paraId="0C5AA666" w14:textId="77777777" w:rsidR="003E4BB9" w:rsidRDefault="003E4BB9" w:rsidP="004211AC">
      <w:pPr>
        <w:spacing w:after="0"/>
        <w:jc w:val="both"/>
        <w:rPr>
          <w:rFonts w:ascii="Arial" w:hAnsi="Arial" w:cs="Arial"/>
        </w:rPr>
      </w:pPr>
    </w:p>
    <w:p w14:paraId="64B4734E" w14:textId="77777777" w:rsidR="00B11106" w:rsidRDefault="00C84630" w:rsidP="004211AC">
      <w:pPr>
        <w:spacing w:after="0"/>
        <w:jc w:val="both"/>
        <w:rPr>
          <w:rFonts w:ascii="Arial" w:hAnsi="Arial" w:cs="Arial"/>
        </w:rPr>
      </w:pPr>
      <w:r>
        <w:rPr>
          <w:rFonts w:ascii="Arial" w:hAnsi="Arial" w:cs="Arial"/>
        </w:rPr>
        <w:t>Lo primero que se debe tomar en consideración es que</w:t>
      </w:r>
      <w:r w:rsidR="003E4BB9" w:rsidRPr="003E4BB9">
        <w:rPr>
          <w:rFonts w:ascii="Arial" w:hAnsi="Arial" w:cs="Arial"/>
        </w:rPr>
        <w:t xml:space="preserve"> la </w:t>
      </w:r>
      <w:r w:rsidRPr="004211AC">
        <w:rPr>
          <w:rFonts w:ascii="Arial" w:hAnsi="Arial" w:cs="Arial"/>
        </w:rPr>
        <w:t>Póliza de Responsabilidad Civil Extracontractual No. 420-80-994000000109 cuyo tomador y asegurado es el Distrito Especial de Santiago de Cali</w:t>
      </w:r>
      <w:r w:rsidR="003E4BB9" w:rsidRPr="003E4BB9">
        <w:rPr>
          <w:rFonts w:ascii="Arial" w:hAnsi="Arial" w:cs="Arial"/>
        </w:rPr>
        <w:t xml:space="preserve">, presta cobertura temporal y material, pues ampara la responsabilidad civil extracontractual del asegurado en donde se encuentra incluida las lesiones a terceros, por su parte la cobertura temporal se </w:t>
      </w:r>
      <w:r>
        <w:rPr>
          <w:rFonts w:ascii="Arial" w:hAnsi="Arial" w:cs="Arial"/>
        </w:rPr>
        <w:t>cumple</w:t>
      </w:r>
      <w:r w:rsidR="003E4BB9" w:rsidRPr="003E4BB9">
        <w:rPr>
          <w:rFonts w:ascii="Arial" w:hAnsi="Arial" w:cs="Arial"/>
        </w:rPr>
        <w:t xml:space="preserve"> debido a que se trata de una póliza cuya modalidad es de ocurrencia </w:t>
      </w:r>
      <w:r>
        <w:rPr>
          <w:rFonts w:ascii="Arial" w:hAnsi="Arial" w:cs="Arial"/>
        </w:rPr>
        <w:t>según los datos</w:t>
      </w:r>
      <w:r w:rsidR="003E4BB9" w:rsidRPr="003E4BB9">
        <w:rPr>
          <w:rFonts w:ascii="Arial" w:hAnsi="Arial" w:cs="Arial"/>
        </w:rPr>
        <w:t xml:space="preserve"> del caso el hecho ocurrió el 23 de agosto de 2019 </w:t>
      </w:r>
      <w:r w:rsidR="00B11106">
        <w:rPr>
          <w:rFonts w:ascii="Arial" w:hAnsi="Arial" w:cs="Arial"/>
        </w:rPr>
        <w:t>mientras que</w:t>
      </w:r>
      <w:r w:rsidR="003E4BB9" w:rsidRPr="003E4BB9">
        <w:rPr>
          <w:rFonts w:ascii="Arial" w:hAnsi="Arial" w:cs="Arial"/>
        </w:rPr>
        <w:t xml:space="preserve"> la vigencia de la póliza se pactó </w:t>
      </w:r>
      <w:r w:rsidR="00B11106">
        <w:rPr>
          <w:rFonts w:ascii="Arial" w:hAnsi="Arial" w:cs="Arial"/>
        </w:rPr>
        <w:t>(</w:t>
      </w:r>
      <w:r w:rsidR="003E4BB9" w:rsidRPr="003E4BB9">
        <w:rPr>
          <w:rFonts w:ascii="Arial" w:hAnsi="Arial" w:cs="Arial"/>
        </w:rPr>
        <w:t>en el anexo 0</w:t>
      </w:r>
      <w:r w:rsidR="00B11106">
        <w:rPr>
          <w:rFonts w:ascii="Arial" w:hAnsi="Arial" w:cs="Arial"/>
        </w:rPr>
        <w:t>)</w:t>
      </w:r>
      <w:r w:rsidR="003E4BB9" w:rsidRPr="003E4BB9">
        <w:rPr>
          <w:rFonts w:ascii="Arial" w:hAnsi="Arial" w:cs="Arial"/>
        </w:rPr>
        <w:t xml:space="preserve"> entre el 29 de mayo de 2019 y el 23 de abril de 2020, por lo tanto el hecho ocurrió dentro de la vigencia de la póliza.</w:t>
      </w:r>
      <w:r w:rsidR="00B11106">
        <w:rPr>
          <w:rFonts w:ascii="Arial" w:hAnsi="Arial" w:cs="Arial"/>
        </w:rPr>
        <w:t xml:space="preserve"> </w:t>
      </w:r>
      <w:r w:rsidR="00B11106" w:rsidRPr="004211AC">
        <w:rPr>
          <w:rFonts w:ascii="Arial" w:hAnsi="Arial" w:cs="Arial"/>
        </w:rPr>
        <w:t>Aunado a ello presta cobertura material en tanto ampara la responsabilidad civil extracontractual derivada de Predios, Labores y Operaciones, pretensión que se le endilga al Distrito</w:t>
      </w:r>
      <w:r w:rsidR="00B11106">
        <w:rPr>
          <w:rFonts w:ascii="Arial" w:hAnsi="Arial" w:cs="Arial"/>
        </w:rPr>
        <w:t>.</w:t>
      </w:r>
      <w:r w:rsidR="003E4BB9" w:rsidRPr="003E4BB9">
        <w:rPr>
          <w:rFonts w:ascii="Arial" w:hAnsi="Arial" w:cs="Arial"/>
        </w:rPr>
        <w:t xml:space="preserve"> </w:t>
      </w:r>
    </w:p>
    <w:p w14:paraId="2F79583C" w14:textId="77777777" w:rsidR="00B11106" w:rsidRDefault="00B11106" w:rsidP="004211AC">
      <w:pPr>
        <w:spacing w:after="0"/>
        <w:jc w:val="both"/>
        <w:rPr>
          <w:rFonts w:ascii="Arial" w:hAnsi="Arial" w:cs="Arial"/>
        </w:rPr>
      </w:pPr>
    </w:p>
    <w:p w14:paraId="03246EA6" w14:textId="2DBB6B9E" w:rsidR="00211328" w:rsidRPr="004211AC" w:rsidRDefault="00B11106" w:rsidP="004211AC">
      <w:pPr>
        <w:spacing w:after="0"/>
        <w:jc w:val="both"/>
        <w:rPr>
          <w:rFonts w:ascii="Arial" w:hAnsi="Arial" w:cs="Arial"/>
        </w:rPr>
      </w:pPr>
      <w:r w:rsidRPr="004211AC">
        <w:rPr>
          <w:rFonts w:ascii="Arial" w:hAnsi="Arial" w:cs="Arial"/>
        </w:rPr>
        <w:t xml:space="preserve">Ahora bien, frente a la responsabilidad de nuestro asegurado debe decirse que </w:t>
      </w:r>
      <w:r>
        <w:rPr>
          <w:rFonts w:ascii="Arial" w:hAnsi="Arial" w:cs="Arial"/>
        </w:rPr>
        <w:t xml:space="preserve">en el caso se presenta una evidente falta de legitimación en la causa por pasiva, </w:t>
      </w:r>
      <w:r w:rsidR="008826E0" w:rsidRPr="008826E0">
        <w:rPr>
          <w:rFonts w:ascii="Arial" w:hAnsi="Arial" w:cs="Arial"/>
        </w:rPr>
        <w:t>toda vez que el hecho involucra a un vehículo perteneciente a UNIMETRO S.A. quién opera el servicio de transporte masivo de Cali con base en un contrato de concesión suscrito con METROCALI S.A., la cual es una empresa con independencia administrativa, financiera y presupuestal y en ese contexto el Distrito Especial de Cali, que es el asegurado no opera ese sistema masivo de transporte público de personas, ni es propietario del autobús, ni subordina al conductor del mismo, entonces no administra la actividad peligrosa y en la articulación fáctica de la demanda no se reprocha nada asociado al estado de la vía, que es lo único que tangencialmente podría comprometer en algo la responsabilidad del ente territorial</w:t>
      </w:r>
      <w:r w:rsidR="00C84630" w:rsidRPr="003E4BB9">
        <w:rPr>
          <w:rFonts w:ascii="Arial" w:hAnsi="Arial" w:cs="Arial"/>
        </w:rPr>
        <w:t>.</w:t>
      </w:r>
      <w:r w:rsidR="004710AF">
        <w:rPr>
          <w:rFonts w:ascii="Arial" w:hAnsi="Arial" w:cs="Arial"/>
        </w:rPr>
        <w:t xml:space="preserve"> </w:t>
      </w:r>
      <w:r w:rsidRPr="003E4BB9">
        <w:rPr>
          <w:rFonts w:ascii="Arial" w:hAnsi="Arial" w:cs="Arial"/>
        </w:rPr>
        <w:t xml:space="preserve">De todo lo anterior se extrae que debido a la falta de legitimación por pasiva </w:t>
      </w:r>
      <w:r w:rsidR="004710AF">
        <w:rPr>
          <w:rFonts w:ascii="Arial" w:hAnsi="Arial" w:cs="Arial"/>
        </w:rPr>
        <w:t xml:space="preserve">no es procedente que </w:t>
      </w:r>
      <w:r w:rsidRPr="003E4BB9">
        <w:rPr>
          <w:rFonts w:ascii="Arial" w:hAnsi="Arial" w:cs="Arial"/>
        </w:rPr>
        <w:t>se pueda condenar al asegurado y en consecuencia a la aseguradora, motivo por el cual, a pesar de la cobertura material y temporal de la póliza, se califica remota la contingencia</w:t>
      </w:r>
      <w:r w:rsidR="0025018A">
        <w:rPr>
          <w:rFonts w:ascii="Arial" w:hAnsi="Arial" w:cs="Arial"/>
        </w:rPr>
        <w:t xml:space="preserve">, </w:t>
      </w:r>
      <w:r w:rsidR="00A73902" w:rsidRPr="004211AC">
        <w:rPr>
          <w:rFonts w:ascii="Arial" w:hAnsi="Arial" w:cs="Arial"/>
        </w:rPr>
        <w:t>sin perjuicio del carácter contingente del proceso.</w:t>
      </w:r>
    </w:p>
    <w:p w14:paraId="0E902D6C" w14:textId="31C8E5CB" w:rsidR="004264FC" w:rsidRPr="004211AC" w:rsidRDefault="004264FC" w:rsidP="004211AC">
      <w:pPr>
        <w:spacing w:after="0"/>
        <w:jc w:val="both"/>
        <w:rPr>
          <w:rFonts w:ascii="Arial" w:hAnsi="Arial" w:cs="Arial"/>
        </w:rPr>
      </w:pPr>
      <w:r w:rsidRPr="004211AC">
        <w:rPr>
          <w:rFonts w:ascii="Arial" w:hAnsi="Arial" w:cs="Arial"/>
        </w:rPr>
        <w:t> </w:t>
      </w:r>
    </w:p>
    <w:p w14:paraId="5615FE51" w14:textId="20FFD0F0" w:rsidR="004211AC" w:rsidRPr="004211AC" w:rsidRDefault="00C214A5" w:rsidP="004211AC">
      <w:pPr>
        <w:jc w:val="both"/>
        <w:rPr>
          <w:rFonts w:ascii="Arial" w:hAnsi="Arial" w:cs="Arial"/>
        </w:rPr>
      </w:pPr>
      <w:r w:rsidRPr="004211AC">
        <w:rPr>
          <w:rFonts w:ascii="Arial" w:hAnsi="Arial" w:cs="Arial"/>
          <w:b/>
          <w:bCs/>
        </w:rPr>
        <w:t>LIQUIDACIÓN OBJETIVA</w:t>
      </w:r>
      <w:r w:rsidRPr="004211AC">
        <w:rPr>
          <w:rFonts w:ascii="Arial" w:hAnsi="Arial" w:cs="Arial"/>
        </w:rPr>
        <w:t>:</w:t>
      </w:r>
      <w:r w:rsidR="006264AC">
        <w:rPr>
          <w:rFonts w:ascii="Arial" w:hAnsi="Arial" w:cs="Arial"/>
        </w:rPr>
        <w:t xml:space="preserve"> </w:t>
      </w:r>
      <w:r w:rsidR="000A7A8E" w:rsidRPr="00A10C60">
        <w:rPr>
          <w:rFonts w:ascii="Arial" w:hAnsi="Arial" w:cs="Arial"/>
          <w:b/>
          <w:bCs/>
        </w:rPr>
        <w:t>$</w:t>
      </w:r>
      <w:r w:rsidR="000A7A8E">
        <w:rPr>
          <w:rFonts w:ascii="Arial" w:hAnsi="Arial" w:cs="Arial"/>
          <w:b/>
          <w:bCs/>
        </w:rPr>
        <w:t>63</w:t>
      </w:r>
      <w:r w:rsidR="000A7A8E" w:rsidRPr="00A10C60">
        <w:rPr>
          <w:rFonts w:ascii="Arial" w:hAnsi="Arial" w:cs="Arial"/>
          <w:b/>
          <w:bCs/>
        </w:rPr>
        <w:t>.</w:t>
      </w:r>
      <w:r w:rsidR="000A7A8E">
        <w:rPr>
          <w:rFonts w:ascii="Arial" w:hAnsi="Arial" w:cs="Arial"/>
          <w:b/>
          <w:bCs/>
        </w:rPr>
        <w:t>7</w:t>
      </w:r>
      <w:r w:rsidR="000A7A8E" w:rsidRPr="00A10C60">
        <w:rPr>
          <w:rFonts w:ascii="Arial" w:hAnsi="Arial" w:cs="Arial"/>
          <w:b/>
          <w:bCs/>
        </w:rPr>
        <w:t>00.000</w:t>
      </w:r>
      <w:r w:rsidR="000A7A8E">
        <w:rPr>
          <w:rFonts w:ascii="Arial" w:hAnsi="Arial" w:cs="Arial"/>
          <w:b/>
          <w:bCs/>
        </w:rPr>
        <w:t xml:space="preserve"> </w:t>
      </w:r>
      <w:r w:rsidR="006264AC">
        <w:rPr>
          <w:rFonts w:ascii="Arial" w:hAnsi="Arial" w:cs="Arial"/>
        </w:rPr>
        <w:t xml:space="preserve">correspondientes al </w:t>
      </w:r>
      <w:r w:rsidR="005545CE">
        <w:rPr>
          <w:rFonts w:ascii="Arial" w:hAnsi="Arial" w:cs="Arial"/>
        </w:rPr>
        <w:t>3</w:t>
      </w:r>
      <w:r w:rsidR="00BB71F6">
        <w:rPr>
          <w:rFonts w:ascii="Arial" w:hAnsi="Arial" w:cs="Arial"/>
        </w:rPr>
        <w:t>5</w:t>
      </w:r>
      <w:r w:rsidR="006264AC">
        <w:rPr>
          <w:rFonts w:ascii="Arial" w:hAnsi="Arial" w:cs="Arial"/>
        </w:rPr>
        <w:t>% de</w:t>
      </w:r>
      <w:r w:rsidR="004211AC">
        <w:rPr>
          <w:rFonts w:ascii="Arial" w:hAnsi="Arial" w:cs="Arial"/>
        </w:rPr>
        <w:t xml:space="preserve"> </w:t>
      </w:r>
      <w:r w:rsidR="000A7A8E">
        <w:rPr>
          <w:rFonts w:ascii="Arial" w:hAnsi="Arial" w:cs="Arial"/>
          <w:b/>
          <w:bCs/>
        </w:rPr>
        <w:t>182</w:t>
      </w:r>
      <w:r w:rsidR="00B806CE" w:rsidRPr="00167122">
        <w:rPr>
          <w:rFonts w:ascii="Arial" w:hAnsi="Arial" w:cs="Arial"/>
          <w:b/>
          <w:bCs/>
        </w:rPr>
        <w:t>.</w:t>
      </w:r>
      <w:r w:rsidR="005545CE">
        <w:rPr>
          <w:rFonts w:ascii="Arial" w:hAnsi="Arial" w:cs="Arial"/>
          <w:b/>
          <w:bCs/>
        </w:rPr>
        <w:t>000</w:t>
      </w:r>
      <w:r w:rsidR="00B806CE" w:rsidRPr="00167122">
        <w:rPr>
          <w:rFonts w:ascii="Arial" w:hAnsi="Arial" w:cs="Arial"/>
          <w:b/>
          <w:bCs/>
        </w:rPr>
        <w:t>.</w:t>
      </w:r>
      <w:r w:rsidR="005545CE">
        <w:rPr>
          <w:rFonts w:ascii="Arial" w:hAnsi="Arial" w:cs="Arial"/>
          <w:b/>
          <w:bCs/>
        </w:rPr>
        <w:t>0</w:t>
      </w:r>
      <w:r w:rsidR="00B806CE" w:rsidRPr="00167122">
        <w:rPr>
          <w:rFonts w:ascii="Arial" w:hAnsi="Arial" w:cs="Arial"/>
          <w:b/>
          <w:bCs/>
        </w:rPr>
        <w:t>00</w:t>
      </w:r>
      <w:r w:rsidR="00F56924">
        <w:rPr>
          <w:rFonts w:ascii="Arial" w:hAnsi="Arial" w:cs="Arial"/>
          <w:b/>
          <w:bCs/>
        </w:rPr>
        <w:t xml:space="preserve"> </w:t>
      </w:r>
      <w:r w:rsidR="00F56924">
        <w:rPr>
          <w:rFonts w:ascii="Arial" w:hAnsi="Arial" w:cs="Arial"/>
        </w:rPr>
        <w:t>que hace referencia a la liquidación objetiva de pretensiones.</w:t>
      </w:r>
    </w:p>
    <w:p w14:paraId="24CA59F8" w14:textId="44DEBA7A" w:rsidR="004211AC" w:rsidRPr="004211AC" w:rsidRDefault="004211AC" w:rsidP="004211AC">
      <w:pPr>
        <w:jc w:val="both"/>
        <w:rPr>
          <w:rFonts w:ascii="Arial" w:hAnsi="Arial" w:cs="Arial"/>
        </w:rPr>
      </w:pPr>
      <w:r w:rsidRPr="004211AC">
        <w:rPr>
          <w:rFonts w:ascii="Arial" w:hAnsi="Arial" w:cs="Arial"/>
        </w:rPr>
        <w:t>A es</w:t>
      </w:r>
      <w:r w:rsidR="00F56924">
        <w:rPr>
          <w:rFonts w:ascii="Arial" w:hAnsi="Arial" w:cs="Arial"/>
        </w:rPr>
        <w:t>e</w:t>
      </w:r>
      <w:r w:rsidRPr="004211AC">
        <w:rPr>
          <w:rFonts w:ascii="Arial" w:hAnsi="Arial" w:cs="Arial"/>
        </w:rPr>
        <w:t xml:space="preserve"> valor se llegó de la siguiente manera: </w:t>
      </w:r>
    </w:p>
    <w:p w14:paraId="3CD4D2B0" w14:textId="450EA4D5" w:rsidR="00A10C60" w:rsidRPr="00A10C60" w:rsidRDefault="00A10C60" w:rsidP="00A10C60">
      <w:pPr>
        <w:jc w:val="both"/>
        <w:rPr>
          <w:rFonts w:ascii="Arial" w:hAnsi="Arial" w:cs="Arial"/>
        </w:rPr>
      </w:pPr>
      <w:r w:rsidRPr="00A10C60">
        <w:rPr>
          <w:rFonts w:ascii="Arial" w:hAnsi="Arial" w:cs="Arial"/>
          <w:b/>
          <w:bCs/>
        </w:rPr>
        <w:t>Perjuicios morales</w:t>
      </w:r>
      <w:r w:rsidRPr="00A10C60">
        <w:rPr>
          <w:rFonts w:ascii="Arial" w:hAnsi="Arial" w:cs="Arial"/>
        </w:rPr>
        <w:t xml:space="preserve">: </w:t>
      </w:r>
      <w:r w:rsidR="00C70FF8">
        <w:rPr>
          <w:rFonts w:ascii="Arial" w:hAnsi="Arial" w:cs="Arial"/>
        </w:rPr>
        <w:t>12</w:t>
      </w:r>
      <w:r w:rsidRPr="00A10C60">
        <w:rPr>
          <w:rFonts w:ascii="Arial" w:hAnsi="Arial" w:cs="Arial"/>
        </w:rPr>
        <w:t xml:space="preserve">0 SMMLV o </w:t>
      </w:r>
      <w:r w:rsidRPr="00042AEF">
        <w:rPr>
          <w:rFonts w:ascii="Arial" w:hAnsi="Arial" w:cs="Arial"/>
          <w:u w:val="single"/>
        </w:rPr>
        <w:t>$</w:t>
      </w:r>
      <w:r w:rsidR="00C70FF8">
        <w:rPr>
          <w:rFonts w:ascii="Arial" w:hAnsi="Arial" w:cs="Arial"/>
          <w:u w:val="single"/>
        </w:rPr>
        <w:t>156</w:t>
      </w:r>
      <w:r w:rsidRPr="00042AEF">
        <w:rPr>
          <w:rFonts w:ascii="Arial" w:hAnsi="Arial" w:cs="Arial"/>
          <w:u w:val="single"/>
        </w:rPr>
        <w:t>.000.000</w:t>
      </w:r>
      <w:r w:rsidRPr="00A10C60">
        <w:rPr>
          <w:rFonts w:ascii="Arial" w:hAnsi="Arial" w:cs="Arial"/>
        </w:rPr>
        <w:t xml:space="preserve"> a 2024. Debe decirse que, si bien el señor Manuel Esteban Grijalba Suarez no cuenta con una calificación de pérdida de capacidad laboral, lo cierto es que en la historia clínica obrante en el expediente se observa un diagnóstico de TCE severo, contusiones cerebrales múltiples, HSA postraumática, lesión axonal difusa y otros. Razón por la cual, teniendo en cuenta la jurisdicción en la que nos encontramos, y el documento final del 28 de agosto del 2014 del Consejo de Estado, donde se establecieron los niveles para los porcentajes de lesión, se reconocen las siguientes sumas para el nivel de lesión</w:t>
      </w:r>
      <w:r w:rsidR="00C41657">
        <w:rPr>
          <w:rFonts w:ascii="Arial" w:hAnsi="Arial" w:cs="Arial"/>
        </w:rPr>
        <w:t xml:space="preserve"> </w:t>
      </w:r>
      <w:r w:rsidR="00C41657" w:rsidRPr="00A10C60">
        <w:rPr>
          <w:rFonts w:ascii="Arial" w:hAnsi="Arial" w:cs="Arial"/>
        </w:rPr>
        <w:t>más bajo</w:t>
      </w:r>
      <w:r w:rsidRPr="00A10C60">
        <w:rPr>
          <w:rFonts w:ascii="Arial" w:hAnsi="Arial" w:cs="Arial"/>
        </w:rPr>
        <w:t xml:space="preserve">. Manuel Esteban Grijalba Suarez (Víctima) = </w:t>
      </w:r>
      <w:r w:rsidR="00E92D43">
        <w:rPr>
          <w:rFonts w:ascii="Arial" w:hAnsi="Arial" w:cs="Arial"/>
        </w:rPr>
        <w:t>2</w:t>
      </w:r>
      <w:r w:rsidRPr="00A10C60">
        <w:rPr>
          <w:rFonts w:ascii="Arial" w:hAnsi="Arial" w:cs="Arial"/>
        </w:rPr>
        <w:t xml:space="preserve">0 SMMLV, Fabiola Marín Aguirre (Compañera Permanente) = </w:t>
      </w:r>
      <w:r w:rsidR="00E92D43">
        <w:rPr>
          <w:rFonts w:ascii="Arial" w:hAnsi="Arial" w:cs="Arial"/>
        </w:rPr>
        <w:t>2</w:t>
      </w:r>
      <w:r w:rsidRPr="00A10C60">
        <w:rPr>
          <w:rFonts w:ascii="Arial" w:hAnsi="Arial" w:cs="Arial"/>
        </w:rPr>
        <w:t xml:space="preserve">0 SMMLV, Karen Marcela Grijalba Marín (Hija) = </w:t>
      </w:r>
      <w:r w:rsidR="00E92D43">
        <w:rPr>
          <w:rFonts w:ascii="Arial" w:hAnsi="Arial" w:cs="Arial"/>
        </w:rPr>
        <w:t>2</w:t>
      </w:r>
      <w:r w:rsidRPr="00A10C60">
        <w:rPr>
          <w:rFonts w:ascii="Arial" w:hAnsi="Arial" w:cs="Arial"/>
        </w:rPr>
        <w:t xml:space="preserve">0 SMMLV, David Felipe Grijalba Marín (Hijo) = </w:t>
      </w:r>
      <w:r w:rsidR="00E92D43">
        <w:rPr>
          <w:rFonts w:ascii="Arial" w:hAnsi="Arial" w:cs="Arial"/>
        </w:rPr>
        <w:t>2</w:t>
      </w:r>
      <w:r w:rsidRPr="00A10C60">
        <w:rPr>
          <w:rFonts w:ascii="Arial" w:hAnsi="Arial" w:cs="Arial"/>
        </w:rPr>
        <w:t xml:space="preserve">0 SMMLV, Jhon </w:t>
      </w:r>
      <w:r w:rsidRPr="00A10C60">
        <w:rPr>
          <w:rFonts w:ascii="Arial" w:hAnsi="Arial" w:cs="Arial"/>
        </w:rPr>
        <w:lastRenderedPageBreak/>
        <w:t xml:space="preserve">Franklin Grijalba Marín (Hijo) = </w:t>
      </w:r>
      <w:r w:rsidR="00E92D43">
        <w:rPr>
          <w:rFonts w:ascii="Arial" w:hAnsi="Arial" w:cs="Arial"/>
        </w:rPr>
        <w:t>2</w:t>
      </w:r>
      <w:r w:rsidRPr="00A10C60">
        <w:rPr>
          <w:rFonts w:ascii="Arial" w:hAnsi="Arial" w:cs="Arial"/>
        </w:rPr>
        <w:t xml:space="preserve">0 SMMLV y Ana Julieth Grijalba Hernández (Hija) = </w:t>
      </w:r>
      <w:r w:rsidR="00E92D43">
        <w:rPr>
          <w:rFonts w:ascii="Arial" w:hAnsi="Arial" w:cs="Arial"/>
        </w:rPr>
        <w:t>2</w:t>
      </w:r>
      <w:r w:rsidRPr="00A10C60">
        <w:rPr>
          <w:rFonts w:ascii="Arial" w:hAnsi="Arial" w:cs="Arial"/>
        </w:rPr>
        <w:t>0 SMMLV.</w:t>
      </w:r>
    </w:p>
    <w:p w14:paraId="58EC9305" w14:textId="41B69183" w:rsidR="00A10C60" w:rsidRPr="00A10C60" w:rsidRDefault="00A10C60" w:rsidP="00A10C60">
      <w:pPr>
        <w:jc w:val="both"/>
        <w:rPr>
          <w:rFonts w:ascii="Arial" w:hAnsi="Arial" w:cs="Arial"/>
        </w:rPr>
      </w:pPr>
      <w:r w:rsidRPr="00A10C60">
        <w:rPr>
          <w:rFonts w:ascii="Arial" w:hAnsi="Arial" w:cs="Arial"/>
          <w:b/>
          <w:bCs/>
        </w:rPr>
        <w:t>Daño a la salud</w:t>
      </w:r>
      <w:r w:rsidRPr="00A10C60">
        <w:rPr>
          <w:rFonts w:ascii="Arial" w:hAnsi="Arial" w:cs="Arial"/>
        </w:rPr>
        <w:t xml:space="preserve">: </w:t>
      </w:r>
      <w:r w:rsidR="00FE2FBD">
        <w:rPr>
          <w:rFonts w:ascii="Arial" w:hAnsi="Arial" w:cs="Arial"/>
        </w:rPr>
        <w:t>2</w:t>
      </w:r>
      <w:r w:rsidRPr="00A10C60">
        <w:rPr>
          <w:rFonts w:ascii="Arial" w:hAnsi="Arial" w:cs="Arial"/>
        </w:rPr>
        <w:t xml:space="preserve">0 SMMLV o </w:t>
      </w:r>
      <w:r w:rsidRPr="00042AEF">
        <w:rPr>
          <w:rFonts w:ascii="Arial" w:hAnsi="Arial" w:cs="Arial"/>
          <w:u w:val="single"/>
        </w:rPr>
        <w:t>$</w:t>
      </w:r>
      <w:r w:rsidR="00FE2FBD">
        <w:rPr>
          <w:rFonts w:ascii="Arial" w:hAnsi="Arial" w:cs="Arial"/>
          <w:u w:val="single"/>
        </w:rPr>
        <w:t>26</w:t>
      </w:r>
      <w:r w:rsidRPr="00042AEF">
        <w:rPr>
          <w:rFonts w:ascii="Arial" w:hAnsi="Arial" w:cs="Arial"/>
          <w:u w:val="single"/>
        </w:rPr>
        <w:t>.000.000</w:t>
      </w:r>
      <w:r w:rsidRPr="00A10C60">
        <w:rPr>
          <w:rFonts w:ascii="Arial" w:hAnsi="Arial" w:cs="Arial"/>
        </w:rPr>
        <w:t xml:space="preserve"> a 2024 (para la víctima).</w:t>
      </w:r>
    </w:p>
    <w:p w14:paraId="1AE500C6" w14:textId="77777777" w:rsidR="00A10C60" w:rsidRPr="00A10C60" w:rsidRDefault="00A10C60" w:rsidP="00A10C60">
      <w:pPr>
        <w:jc w:val="both"/>
        <w:rPr>
          <w:rFonts w:ascii="Arial" w:hAnsi="Arial" w:cs="Arial"/>
        </w:rPr>
      </w:pPr>
      <w:r w:rsidRPr="00A10C60">
        <w:rPr>
          <w:rFonts w:ascii="Arial" w:hAnsi="Arial" w:cs="Arial"/>
          <w:b/>
          <w:bCs/>
        </w:rPr>
        <w:t>Daño emergente</w:t>
      </w:r>
      <w:r w:rsidRPr="00A10C60">
        <w:rPr>
          <w:rFonts w:ascii="Arial" w:hAnsi="Arial" w:cs="Arial"/>
        </w:rPr>
        <w:t>: $0.  No se reconoce daño emergente, porque no se han acreditado que el demandante haya incurrido en el gasto alegado, así como tampoco que dicho valor haya sido efectivamente pagado por él.</w:t>
      </w:r>
    </w:p>
    <w:p w14:paraId="76787BA2" w14:textId="50E03071" w:rsidR="00A10C60" w:rsidRPr="00A10C60" w:rsidRDefault="00A10C60" w:rsidP="00A10C60">
      <w:pPr>
        <w:jc w:val="both"/>
        <w:rPr>
          <w:rFonts w:ascii="Arial" w:hAnsi="Arial" w:cs="Arial"/>
        </w:rPr>
      </w:pPr>
      <w:r w:rsidRPr="00A10C60">
        <w:rPr>
          <w:rFonts w:ascii="Arial" w:hAnsi="Arial" w:cs="Arial"/>
          <w:b/>
          <w:bCs/>
        </w:rPr>
        <w:t>Lucro cesante</w:t>
      </w:r>
      <w:r w:rsidR="00B77395">
        <w:rPr>
          <w:rFonts w:ascii="Arial" w:hAnsi="Arial" w:cs="Arial"/>
          <w:b/>
          <w:bCs/>
        </w:rPr>
        <w:t xml:space="preserve"> (consolidado y futuro)</w:t>
      </w:r>
      <w:r w:rsidRPr="00A10C60">
        <w:rPr>
          <w:rFonts w:ascii="Arial" w:hAnsi="Arial" w:cs="Arial"/>
        </w:rPr>
        <w:t>: $0. No se reconoce, en la medida que no se aportó ninguna prueba de los ingresos de la víctima.</w:t>
      </w:r>
    </w:p>
    <w:p w14:paraId="3D20C21C" w14:textId="6BCED732" w:rsidR="00A10C60" w:rsidRPr="00A10C60" w:rsidRDefault="00A10C60" w:rsidP="00A10C60">
      <w:pPr>
        <w:jc w:val="both"/>
        <w:rPr>
          <w:rFonts w:ascii="Arial" w:hAnsi="Arial" w:cs="Arial"/>
        </w:rPr>
      </w:pPr>
      <w:r w:rsidRPr="00A10C60">
        <w:rPr>
          <w:rFonts w:ascii="Arial" w:hAnsi="Arial" w:cs="Arial"/>
        </w:rPr>
        <w:t xml:space="preserve">Lo anterior nos arroja un total de perjuicios de </w:t>
      </w:r>
      <w:r w:rsidR="00BB71F6">
        <w:rPr>
          <w:rFonts w:ascii="Arial" w:hAnsi="Arial" w:cs="Arial"/>
        </w:rPr>
        <w:t>140</w:t>
      </w:r>
      <w:r w:rsidRPr="00A10C60">
        <w:rPr>
          <w:rFonts w:ascii="Arial" w:hAnsi="Arial" w:cs="Arial"/>
        </w:rPr>
        <w:t xml:space="preserve"> SMMLV o </w:t>
      </w:r>
      <w:r w:rsidRPr="00042AEF">
        <w:rPr>
          <w:rFonts w:ascii="Arial" w:hAnsi="Arial" w:cs="Arial"/>
          <w:b/>
          <w:bCs/>
        </w:rPr>
        <w:t>$</w:t>
      </w:r>
      <w:r w:rsidR="00BB71F6">
        <w:rPr>
          <w:rFonts w:ascii="Arial" w:hAnsi="Arial" w:cs="Arial"/>
          <w:b/>
          <w:bCs/>
        </w:rPr>
        <w:t>182</w:t>
      </w:r>
      <w:r w:rsidRPr="00042AEF">
        <w:rPr>
          <w:rFonts w:ascii="Arial" w:hAnsi="Arial" w:cs="Arial"/>
          <w:b/>
          <w:bCs/>
        </w:rPr>
        <w:t>.000.000</w:t>
      </w:r>
      <w:r w:rsidR="00CC0B8C">
        <w:rPr>
          <w:rFonts w:ascii="Arial" w:hAnsi="Arial" w:cs="Arial"/>
          <w:b/>
          <w:bCs/>
        </w:rPr>
        <w:t xml:space="preserve"> </w:t>
      </w:r>
      <w:r w:rsidR="00CC0B8C">
        <w:rPr>
          <w:rFonts w:ascii="Arial" w:hAnsi="Arial" w:cs="Arial"/>
        </w:rPr>
        <w:t>(</w:t>
      </w:r>
      <w:r w:rsidR="003831E9">
        <w:rPr>
          <w:rFonts w:ascii="Arial" w:hAnsi="Arial" w:cs="Arial"/>
        </w:rPr>
        <w:t>a</w:t>
      </w:r>
      <w:r w:rsidR="00CC0B8C">
        <w:rPr>
          <w:rFonts w:ascii="Arial" w:hAnsi="Arial" w:cs="Arial"/>
        </w:rPr>
        <w:t xml:space="preserve"> 2024)</w:t>
      </w:r>
      <w:r w:rsidRPr="00A10C60">
        <w:rPr>
          <w:rFonts w:ascii="Arial" w:hAnsi="Arial" w:cs="Arial"/>
        </w:rPr>
        <w:t xml:space="preserve">. Así entonces, a dicho valor se le calcula el % de coaseguro: en este caso, </w:t>
      </w:r>
      <w:r w:rsidR="00BB71F6">
        <w:rPr>
          <w:rFonts w:ascii="Arial" w:hAnsi="Arial" w:cs="Arial"/>
        </w:rPr>
        <w:t>SOLIDARIA</w:t>
      </w:r>
      <w:r w:rsidRPr="00A10C60">
        <w:rPr>
          <w:rFonts w:ascii="Arial" w:hAnsi="Arial" w:cs="Arial"/>
        </w:rPr>
        <w:t>: (3</w:t>
      </w:r>
      <w:r w:rsidR="00BB71F6">
        <w:rPr>
          <w:rFonts w:ascii="Arial" w:hAnsi="Arial" w:cs="Arial"/>
        </w:rPr>
        <w:t>5</w:t>
      </w:r>
      <w:r w:rsidRPr="00A10C60">
        <w:rPr>
          <w:rFonts w:ascii="Arial" w:hAnsi="Arial" w:cs="Arial"/>
        </w:rPr>
        <w:t xml:space="preserve">%). </w:t>
      </w:r>
    </w:p>
    <w:p w14:paraId="3E0AAAC5" w14:textId="333B5FD6" w:rsidR="00C214A5" w:rsidRPr="004211AC" w:rsidRDefault="00A10C60" w:rsidP="00A10C60">
      <w:pPr>
        <w:jc w:val="both"/>
        <w:rPr>
          <w:rFonts w:ascii="Arial" w:hAnsi="Arial" w:cs="Arial"/>
        </w:rPr>
      </w:pPr>
      <w:r w:rsidRPr="00A10C60">
        <w:rPr>
          <w:rFonts w:ascii="Arial" w:hAnsi="Arial" w:cs="Arial"/>
        </w:rPr>
        <w:t xml:space="preserve">Total: </w:t>
      </w:r>
      <w:r w:rsidRPr="00A10C60">
        <w:rPr>
          <w:rFonts w:ascii="Arial" w:hAnsi="Arial" w:cs="Arial"/>
          <w:b/>
          <w:bCs/>
        </w:rPr>
        <w:t>$</w:t>
      </w:r>
      <w:r w:rsidR="002D1DBE">
        <w:rPr>
          <w:rFonts w:ascii="Arial" w:hAnsi="Arial" w:cs="Arial"/>
          <w:b/>
          <w:bCs/>
        </w:rPr>
        <w:t>63</w:t>
      </w:r>
      <w:r w:rsidRPr="00A10C60">
        <w:rPr>
          <w:rFonts w:ascii="Arial" w:hAnsi="Arial" w:cs="Arial"/>
          <w:b/>
          <w:bCs/>
        </w:rPr>
        <w:t>.</w:t>
      </w:r>
      <w:r w:rsidR="002D1DBE">
        <w:rPr>
          <w:rFonts w:ascii="Arial" w:hAnsi="Arial" w:cs="Arial"/>
          <w:b/>
          <w:bCs/>
        </w:rPr>
        <w:t>7</w:t>
      </w:r>
      <w:r w:rsidRPr="00A10C60">
        <w:rPr>
          <w:rFonts w:ascii="Arial" w:hAnsi="Arial" w:cs="Arial"/>
          <w:b/>
          <w:bCs/>
        </w:rPr>
        <w:t>00.000</w:t>
      </w:r>
    </w:p>
    <w:sectPr w:rsidR="00C214A5" w:rsidRPr="004211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9A81B" w14:textId="77777777" w:rsidR="009F44DF" w:rsidRDefault="009F44DF" w:rsidP="004211AC">
      <w:pPr>
        <w:spacing w:after="0" w:line="240" w:lineRule="auto"/>
      </w:pPr>
      <w:r>
        <w:separator/>
      </w:r>
    </w:p>
  </w:endnote>
  <w:endnote w:type="continuationSeparator" w:id="0">
    <w:p w14:paraId="4EE7CF1D" w14:textId="77777777" w:rsidR="009F44DF" w:rsidRDefault="009F44DF" w:rsidP="0042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0F1E3" w14:textId="77777777" w:rsidR="009F44DF" w:rsidRDefault="009F44DF" w:rsidP="004211AC">
      <w:pPr>
        <w:spacing w:after="0" w:line="240" w:lineRule="auto"/>
      </w:pPr>
      <w:r>
        <w:separator/>
      </w:r>
    </w:p>
  </w:footnote>
  <w:footnote w:type="continuationSeparator" w:id="0">
    <w:p w14:paraId="1EA01FC6" w14:textId="77777777" w:rsidR="009F44DF" w:rsidRDefault="009F44DF" w:rsidP="004211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03"/>
    <w:rsid w:val="00031CB4"/>
    <w:rsid w:val="00042AEF"/>
    <w:rsid w:val="0007402F"/>
    <w:rsid w:val="000A7A8E"/>
    <w:rsid w:val="000E7551"/>
    <w:rsid w:val="00167122"/>
    <w:rsid w:val="00211328"/>
    <w:rsid w:val="0025018A"/>
    <w:rsid w:val="002D1DBE"/>
    <w:rsid w:val="00336CED"/>
    <w:rsid w:val="003831E9"/>
    <w:rsid w:val="003D1CF9"/>
    <w:rsid w:val="003E3232"/>
    <w:rsid w:val="003E4BB9"/>
    <w:rsid w:val="00407349"/>
    <w:rsid w:val="00407546"/>
    <w:rsid w:val="00416BD0"/>
    <w:rsid w:val="004211AC"/>
    <w:rsid w:val="004264FC"/>
    <w:rsid w:val="0047011A"/>
    <w:rsid w:val="004710AF"/>
    <w:rsid w:val="0050295B"/>
    <w:rsid w:val="005545CE"/>
    <w:rsid w:val="005B2FF5"/>
    <w:rsid w:val="00611ECF"/>
    <w:rsid w:val="006264AC"/>
    <w:rsid w:val="0065475B"/>
    <w:rsid w:val="00680144"/>
    <w:rsid w:val="006A14A5"/>
    <w:rsid w:val="00704623"/>
    <w:rsid w:val="00705EDA"/>
    <w:rsid w:val="0083350E"/>
    <w:rsid w:val="008510E8"/>
    <w:rsid w:val="0085790E"/>
    <w:rsid w:val="008826E0"/>
    <w:rsid w:val="008C7954"/>
    <w:rsid w:val="008D33BE"/>
    <w:rsid w:val="00987543"/>
    <w:rsid w:val="009A1CDD"/>
    <w:rsid w:val="009A2A03"/>
    <w:rsid w:val="009F44DF"/>
    <w:rsid w:val="00A10C60"/>
    <w:rsid w:val="00A73902"/>
    <w:rsid w:val="00B11106"/>
    <w:rsid w:val="00B77395"/>
    <w:rsid w:val="00B806CE"/>
    <w:rsid w:val="00BB71F6"/>
    <w:rsid w:val="00C1203F"/>
    <w:rsid w:val="00C214A5"/>
    <w:rsid w:val="00C41657"/>
    <w:rsid w:val="00C70FF8"/>
    <w:rsid w:val="00C84630"/>
    <w:rsid w:val="00C876BD"/>
    <w:rsid w:val="00C907FA"/>
    <w:rsid w:val="00CA2BA4"/>
    <w:rsid w:val="00CC0B8C"/>
    <w:rsid w:val="00DD76E7"/>
    <w:rsid w:val="00E57E1C"/>
    <w:rsid w:val="00E92D43"/>
    <w:rsid w:val="00F56924"/>
    <w:rsid w:val="00F82DD6"/>
    <w:rsid w:val="00FE2F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A2AF"/>
  <w15:chartTrackingRefBased/>
  <w15:docId w15:val="{3F44C2C2-E3AE-4D0F-897D-433ADA3D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A2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A2A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2A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A2A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A2A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2A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2A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2A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2A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A2A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2A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2A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2A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2A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2A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2A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2A03"/>
    <w:rPr>
      <w:rFonts w:eastAsiaTheme="majorEastAsia" w:cstheme="majorBidi"/>
      <w:color w:val="272727" w:themeColor="text1" w:themeTint="D8"/>
    </w:rPr>
  </w:style>
  <w:style w:type="paragraph" w:styleId="Ttulo">
    <w:name w:val="Title"/>
    <w:basedOn w:val="Normal"/>
    <w:next w:val="Normal"/>
    <w:link w:val="TtuloCar"/>
    <w:uiPriority w:val="10"/>
    <w:qFormat/>
    <w:rsid w:val="009A2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2A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2A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2A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2A03"/>
    <w:pPr>
      <w:spacing w:before="160"/>
      <w:jc w:val="center"/>
    </w:pPr>
    <w:rPr>
      <w:i/>
      <w:iCs/>
      <w:color w:val="404040" w:themeColor="text1" w:themeTint="BF"/>
    </w:rPr>
  </w:style>
  <w:style w:type="character" w:customStyle="1" w:styleId="CitaCar">
    <w:name w:val="Cita Car"/>
    <w:basedOn w:val="Fuentedeprrafopredeter"/>
    <w:link w:val="Cita"/>
    <w:uiPriority w:val="29"/>
    <w:rsid w:val="009A2A03"/>
    <w:rPr>
      <w:i/>
      <w:iCs/>
      <w:color w:val="404040" w:themeColor="text1" w:themeTint="BF"/>
    </w:rPr>
  </w:style>
  <w:style w:type="paragraph" w:styleId="Prrafodelista">
    <w:name w:val="List Paragraph"/>
    <w:basedOn w:val="Normal"/>
    <w:uiPriority w:val="34"/>
    <w:qFormat/>
    <w:rsid w:val="009A2A03"/>
    <w:pPr>
      <w:ind w:left="720"/>
      <w:contextualSpacing/>
    </w:pPr>
  </w:style>
  <w:style w:type="character" w:styleId="nfasisintenso">
    <w:name w:val="Intense Emphasis"/>
    <w:basedOn w:val="Fuentedeprrafopredeter"/>
    <w:uiPriority w:val="21"/>
    <w:qFormat/>
    <w:rsid w:val="009A2A03"/>
    <w:rPr>
      <w:i/>
      <w:iCs/>
      <w:color w:val="0F4761" w:themeColor="accent1" w:themeShade="BF"/>
    </w:rPr>
  </w:style>
  <w:style w:type="paragraph" w:styleId="Citadestacada">
    <w:name w:val="Intense Quote"/>
    <w:basedOn w:val="Normal"/>
    <w:next w:val="Normal"/>
    <w:link w:val="CitadestacadaCar"/>
    <w:uiPriority w:val="30"/>
    <w:qFormat/>
    <w:rsid w:val="009A2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2A03"/>
    <w:rPr>
      <w:i/>
      <w:iCs/>
      <w:color w:val="0F4761" w:themeColor="accent1" w:themeShade="BF"/>
    </w:rPr>
  </w:style>
  <w:style w:type="character" w:styleId="Referenciaintensa">
    <w:name w:val="Intense Reference"/>
    <w:basedOn w:val="Fuentedeprrafopredeter"/>
    <w:uiPriority w:val="32"/>
    <w:qFormat/>
    <w:rsid w:val="009A2A03"/>
    <w:rPr>
      <w:b/>
      <w:bCs/>
      <w:smallCaps/>
      <w:color w:val="0F4761" w:themeColor="accent1" w:themeShade="BF"/>
      <w:spacing w:val="5"/>
    </w:rPr>
  </w:style>
  <w:style w:type="paragraph" w:styleId="Textonotapie">
    <w:name w:val="footnote text"/>
    <w:basedOn w:val="Normal"/>
    <w:link w:val="TextonotapieCar"/>
    <w:uiPriority w:val="99"/>
    <w:semiHidden/>
    <w:unhideWhenUsed/>
    <w:rsid w:val="004211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11AC"/>
    <w:rPr>
      <w:sz w:val="20"/>
      <w:szCs w:val="20"/>
    </w:rPr>
  </w:style>
  <w:style w:type="character" w:styleId="Refdenotaalpie">
    <w:name w:val="footnote reference"/>
    <w:basedOn w:val="Fuentedeprrafopredeter"/>
    <w:uiPriority w:val="99"/>
    <w:semiHidden/>
    <w:unhideWhenUsed/>
    <w:rsid w:val="004211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5217">
      <w:bodyDiv w:val="1"/>
      <w:marLeft w:val="0"/>
      <w:marRight w:val="0"/>
      <w:marTop w:val="0"/>
      <w:marBottom w:val="0"/>
      <w:divBdr>
        <w:top w:val="none" w:sz="0" w:space="0" w:color="auto"/>
        <w:left w:val="none" w:sz="0" w:space="0" w:color="auto"/>
        <w:bottom w:val="none" w:sz="0" w:space="0" w:color="auto"/>
        <w:right w:val="none" w:sz="0" w:space="0" w:color="auto"/>
      </w:divBdr>
      <w:divsChild>
        <w:div w:id="975452063">
          <w:marLeft w:val="0"/>
          <w:marRight w:val="0"/>
          <w:marTop w:val="0"/>
          <w:marBottom w:val="0"/>
          <w:divBdr>
            <w:top w:val="none" w:sz="0" w:space="0" w:color="auto"/>
            <w:left w:val="none" w:sz="0" w:space="0" w:color="auto"/>
            <w:bottom w:val="none" w:sz="0" w:space="0" w:color="auto"/>
            <w:right w:val="none" w:sz="0" w:space="0" w:color="auto"/>
          </w:divBdr>
        </w:div>
        <w:div w:id="1699159656">
          <w:marLeft w:val="0"/>
          <w:marRight w:val="0"/>
          <w:marTop w:val="0"/>
          <w:marBottom w:val="0"/>
          <w:divBdr>
            <w:top w:val="none" w:sz="0" w:space="0" w:color="auto"/>
            <w:left w:val="none" w:sz="0" w:space="0" w:color="auto"/>
            <w:bottom w:val="none" w:sz="0" w:space="0" w:color="auto"/>
            <w:right w:val="none" w:sz="0" w:space="0" w:color="auto"/>
          </w:divBdr>
        </w:div>
      </w:divsChild>
    </w:div>
    <w:div w:id="1720204497">
      <w:bodyDiv w:val="1"/>
      <w:marLeft w:val="0"/>
      <w:marRight w:val="0"/>
      <w:marTop w:val="0"/>
      <w:marBottom w:val="0"/>
      <w:divBdr>
        <w:top w:val="none" w:sz="0" w:space="0" w:color="auto"/>
        <w:left w:val="none" w:sz="0" w:space="0" w:color="auto"/>
        <w:bottom w:val="none" w:sz="0" w:space="0" w:color="auto"/>
        <w:right w:val="none" w:sz="0" w:space="0" w:color="auto"/>
      </w:divBdr>
      <w:divsChild>
        <w:div w:id="1005596254">
          <w:marLeft w:val="0"/>
          <w:marRight w:val="0"/>
          <w:marTop w:val="0"/>
          <w:marBottom w:val="0"/>
          <w:divBdr>
            <w:top w:val="none" w:sz="0" w:space="0" w:color="auto"/>
            <w:left w:val="none" w:sz="0" w:space="0" w:color="auto"/>
            <w:bottom w:val="none" w:sz="0" w:space="0" w:color="auto"/>
            <w:right w:val="none" w:sz="0" w:space="0" w:color="auto"/>
          </w:divBdr>
        </w:div>
        <w:div w:id="1474174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455E1-89EF-4024-8CF2-E72CE7DA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642</Words>
  <Characters>3536</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Rivera Agredo</dc:creator>
  <cp:keywords/>
  <dc:description/>
  <cp:lastModifiedBy>Javier Rivera Agredo</cp:lastModifiedBy>
  <cp:revision>53</cp:revision>
  <dcterms:created xsi:type="dcterms:W3CDTF">2024-10-07T14:45:00Z</dcterms:created>
  <dcterms:modified xsi:type="dcterms:W3CDTF">2024-12-16T22:00:00Z</dcterms:modified>
</cp:coreProperties>
</file>