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0BD3" w14:textId="33B3A693" w:rsidR="002E183A" w:rsidRPr="005B50D5" w:rsidRDefault="006D41F7" w:rsidP="00927A5D">
      <w:pPr>
        <w:spacing w:after="0" w:line="312" w:lineRule="auto"/>
        <w:jc w:val="both"/>
        <w:rPr>
          <w:rFonts w:ascii="Arial" w:hAnsi="Arial" w:cs="Arial"/>
        </w:rPr>
      </w:pPr>
      <w:bookmarkStart w:id="0" w:name="_Hlk22918831"/>
      <w:r>
        <w:rPr>
          <w:rFonts w:ascii="Arial" w:hAnsi="Arial" w:cs="Arial"/>
        </w:rPr>
        <w:t>Doctora</w:t>
      </w:r>
    </w:p>
    <w:p w14:paraId="4FEAF6A1" w14:textId="10836DCB" w:rsidR="006D41F7" w:rsidRDefault="006D41F7" w:rsidP="00927A5D">
      <w:pPr>
        <w:spacing w:after="0" w:line="312" w:lineRule="auto"/>
        <w:jc w:val="both"/>
        <w:rPr>
          <w:rFonts w:ascii="Arial" w:hAnsi="Arial" w:cs="Arial"/>
          <w:b/>
          <w:bCs/>
        </w:rPr>
      </w:pPr>
      <w:r w:rsidRPr="006D41F7">
        <w:rPr>
          <w:rFonts w:ascii="Arial" w:hAnsi="Arial" w:cs="Arial"/>
          <w:b/>
          <w:bCs/>
        </w:rPr>
        <w:t>LORENA SILVANA MART</w:t>
      </w:r>
      <w:r>
        <w:rPr>
          <w:rFonts w:ascii="Arial" w:hAnsi="Arial" w:cs="Arial"/>
          <w:b/>
          <w:bCs/>
        </w:rPr>
        <w:t>Í</w:t>
      </w:r>
      <w:r w:rsidRPr="006D41F7">
        <w:rPr>
          <w:rFonts w:ascii="Arial" w:hAnsi="Arial" w:cs="Arial"/>
          <w:b/>
          <w:bCs/>
        </w:rPr>
        <w:t>NEZ JARAMILLO</w:t>
      </w:r>
    </w:p>
    <w:p w14:paraId="448BBB7A" w14:textId="21AA414C" w:rsidR="005B50D5" w:rsidRPr="005B50D5" w:rsidRDefault="002E183A" w:rsidP="00927A5D">
      <w:pPr>
        <w:spacing w:after="0" w:line="312" w:lineRule="auto"/>
        <w:jc w:val="both"/>
        <w:rPr>
          <w:rFonts w:ascii="Arial" w:hAnsi="Arial" w:cs="Arial"/>
          <w:b/>
          <w:bCs/>
        </w:rPr>
      </w:pPr>
      <w:r w:rsidRPr="005B50D5">
        <w:rPr>
          <w:rFonts w:ascii="Arial" w:hAnsi="Arial" w:cs="Arial"/>
          <w:b/>
          <w:bCs/>
        </w:rPr>
        <w:t xml:space="preserve">JUZGADO </w:t>
      </w:r>
      <w:r w:rsidR="006D41F7">
        <w:rPr>
          <w:rFonts w:ascii="Arial" w:hAnsi="Arial" w:cs="Arial"/>
          <w:b/>
          <w:bCs/>
        </w:rPr>
        <w:t xml:space="preserve">DIECISÉIS </w:t>
      </w:r>
      <w:r w:rsidRPr="005B50D5">
        <w:rPr>
          <w:rFonts w:ascii="Arial" w:hAnsi="Arial" w:cs="Arial"/>
          <w:b/>
          <w:bCs/>
        </w:rPr>
        <w:t>(</w:t>
      </w:r>
      <w:r w:rsidR="006D41F7">
        <w:rPr>
          <w:rFonts w:ascii="Arial" w:hAnsi="Arial" w:cs="Arial"/>
          <w:b/>
          <w:bCs/>
        </w:rPr>
        <w:t>16</w:t>
      </w:r>
      <w:r w:rsidRPr="005B50D5">
        <w:rPr>
          <w:rFonts w:ascii="Arial" w:hAnsi="Arial" w:cs="Arial"/>
          <w:b/>
          <w:bCs/>
        </w:rPr>
        <w:t xml:space="preserve">) ADMINISTRATIVO DEL CIRCUITO DE </w:t>
      </w:r>
      <w:r w:rsidR="006D41F7">
        <w:rPr>
          <w:rFonts w:ascii="Arial" w:hAnsi="Arial" w:cs="Arial"/>
          <w:b/>
          <w:bCs/>
        </w:rPr>
        <w:t>CALI</w:t>
      </w:r>
    </w:p>
    <w:p w14:paraId="5E0ECE45" w14:textId="36FBB0B4" w:rsidR="00FB3804" w:rsidRPr="006D41F7" w:rsidRDefault="006D41F7" w:rsidP="00927A5D">
      <w:pPr>
        <w:spacing w:after="0" w:line="312" w:lineRule="auto"/>
        <w:jc w:val="both"/>
        <w:rPr>
          <w:rFonts w:ascii="Arial" w:hAnsi="Arial" w:cs="Arial"/>
        </w:rPr>
      </w:pPr>
      <w:hyperlink r:id="rId8" w:history="1">
        <w:r w:rsidRPr="006D41F7">
          <w:rPr>
            <w:rStyle w:val="Hipervnculo"/>
            <w:rFonts w:ascii="Arial" w:hAnsi="Arial" w:cs="Arial"/>
          </w:rPr>
          <w:t>of02admcali@cendoj.ramajudicial.gov.co</w:t>
        </w:r>
      </w:hyperlink>
    </w:p>
    <w:p w14:paraId="3EB97316" w14:textId="77777777" w:rsidR="006D41F7" w:rsidRDefault="006D41F7" w:rsidP="00927A5D">
      <w:pPr>
        <w:spacing w:after="0" w:line="312" w:lineRule="auto"/>
        <w:jc w:val="both"/>
        <w:rPr>
          <w:rFonts w:ascii="Arial" w:hAnsi="Arial" w:cs="Arial"/>
          <w:b/>
          <w:bCs/>
        </w:rPr>
      </w:pPr>
    </w:p>
    <w:p w14:paraId="4CA16E31" w14:textId="77777777" w:rsidR="00E54314" w:rsidRPr="00E54314" w:rsidRDefault="00E54314" w:rsidP="00613B12">
      <w:pPr>
        <w:spacing w:after="0" w:line="312" w:lineRule="auto"/>
        <w:ind w:left="708"/>
        <w:jc w:val="both"/>
        <w:rPr>
          <w:rFonts w:ascii="Arial" w:hAnsi="Arial" w:cs="Arial"/>
          <w:b/>
          <w:bCs/>
        </w:rPr>
      </w:pPr>
      <w:r w:rsidRPr="00E54314">
        <w:rPr>
          <w:rFonts w:ascii="Arial" w:hAnsi="Arial" w:cs="Arial"/>
          <w:b/>
          <w:bCs/>
        </w:rPr>
        <w:t>PROCESO</w:t>
      </w:r>
      <w:r w:rsidRPr="00E54314">
        <w:rPr>
          <w:rFonts w:ascii="Arial" w:hAnsi="Arial" w:cs="Arial"/>
        </w:rPr>
        <w:t>: REPARACIÓN DIRECTA</w:t>
      </w:r>
      <w:r w:rsidRPr="00E54314">
        <w:rPr>
          <w:rFonts w:ascii="Arial" w:hAnsi="Arial" w:cs="Arial"/>
          <w:b/>
          <w:bCs/>
        </w:rPr>
        <w:t xml:space="preserve">  </w:t>
      </w:r>
    </w:p>
    <w:p w14:paraId="680D1B59" w14:textId="77777777" w:rsidR="00E54314" w:rsidRPr="00E54314" w:rsidRDefault="00E54314" w:rsidP="00613B12">
      <w:pPr>
        <w:spacing w:after="0" w:line="312" w:lineRule="auto"/>
        <w:ind w:left="708"/>
        <w:jc w:val="both"/>
        <w:rPr>
          <w:rFonts w:ascii="Arial" w:hAnsi="Arial" w:cs="Arial"/>
          <w:b/>
          <w:bCs/>
        </w:rPr>
      </w:pPr>
      <w:r w:rsidRPr="00E54314">
        <w:rPr>
          <w:rFonts w:ascii="Arial" w:hAnsi="Arial" w:cs="Arial"/>
          <w:b/>
          <w:bCs/>
        </w:rPr>
        <w:t>RADICADO</w:t>
      </w:r>
      <w:r w:rsidRPr="00E54314">
        <w:rPr>
          <w:rFonts w:ascii="Arial" w:hAnsi="Arial" w:cs="Arial"/>
        </w:rPr>
        <w:t>: 76001-33-33-016-2014-00397-02</w:t>
      </w:r>
    </w:p>
    <w:p w14:paraId="59DF2575" w14:textId="77777777" w:rsidR="00E54314" w:rsidRPr="00E54314" w:rsidRDefault="00E54314" w:rsidP="00613B12">
      <w:pPr>
        <w:spacing w:after="0" w:line="312" w:lineRule="auto"/>
        <w:ind w:left="708"/>
        <w:jc w:val="both"/>
        <w:rPr>
          <w:rFonts w:ascii="Arial" w:hAnsi="Arial" w:cs="Arial"/>
          <w:b/>
          <w:bCs/>
        </w:rPr>
      </w:pPr>
      <w:r w:rsidRPr="00E54314">
        <w:rPr>
          <w:rFonts w:ascii="Arial" w:hAnsi="Arial" w:cs="Arial"/>
          <w:b/>
          <w:bCs/>
        </w:rPr>
        <w:t>DEMANDANTES</w:t>
      </w:r>
      <w:r w:rsidRPr="00E54314">
        <w:rPr>
          <w:rFonts w:ascii="Arial" w:hAnsi="Arial" w:cs="Arial"/>
        </w:rPr>
        <w:t>: DORIS EMILIA HENAO PULGARÍN Y OTROS</w:t>
      </w:r>
    </w:p>
    <w:p w14:paraId="60ACEA92" w14:textId="77777777" w:rsidR="00E54314" w:rsidRPr="00E54314" w:rsidRDefault="00E54314" w:rsidP="00613B12">
      <w:pPr>
        <w:spacing w:after="0" w:line="312" w:lineRule="auto"/>
        <w:ind w:left="708"/>
        <w:jc w:val="both"/>
        <w:rPr>
          <w:rFonts w:ascii="Arial" w:hAnsi="Arial" w:cs="Arial"/>
          <w:b/>
          <w:bCs/>
        </w:rPr>
      </w:pPr>
      <w:r w:rsidRPr="00E54314">
        <w:rPr>
          <w:rFonts w:ascii="Arial" w:hAnsi="Arial" w:cs="Arial"/>
          <w:b/>
          <w:bCs/>
        </w:rPr>
        <w:t>DEMANDADOS</w:t>
      </w:r>
      <w:r w:rsidRPr="00E54314">
        <w:rPr>
          <w:rFonts w:ascii="Arial" w:hAnsi="Arial" w:cs="Arial"/>
        </w:rPr>
        <w:t>: GRUPO INTEGRADO DE TRANSPORTE MASIVO MIO S.A.</w:t>
      </w:r>
    </w:p>
    <w:p w14:paraId="64AFC08C" w14:textId="566033B9" w:rsidR="00E54314" w:rsidRPr="00E54314" w:rsidRDefault="00E54314" w:rsidP="00613B12">
      <w:pPr>
        <w:spacing w:after="0" w:line="312" w:lineRule="auto"/>
        <w:ind w:left="708"/>
        <w:jc w:val="both"/>
        <w:rPr>
          <w:rFonts w:ascii="Arial" w:hAnsi="Arial" w:cs="Arial"/>
          <w:b/>
          <w:bCs/>
        </w:rPr>
      </w:pPr>
      <w:r w:rsidRPr="00E54314">
        <w:rPr>
          <w:rFonts w:ascii="Arial" w:hAnsi="Arial" w:cs="Arial"/>
          <w:b/>
          <w:bCs/>
        </w:rPr>
        <w:t>LLAMADO EN GTÍA</w:t>
      </w:r>
      <w:r w:rsidRPr="00E54314">
        <w:rPr>
          <w:rFonts w:ascii="Arial" w:hAnsi="Arial" w:cs="Arial"/>
        </w:rPr>
        <w:t>: MAPFRE SEGUROS GENERALES DE COLOMBIA S.A</w:t>
      </w:r>
      <w:r w:rsidR="001816BA">
        <w:rPr>
          <w:rFonts w:ascii="Arial" w:hAnsi="Arial" w:cs="Arial"/>
        </w:rPr>
        <w:t>.</w:t>
      </w:r>
    </w:p>
    <w:p w14:paraId="5EC43E35" w14:textId="457AAF13" w:rsidR="00E54314" w:rsidRDefault="00E54314" w:rsidP="00613B12">
      <w:pPr>
        <w:spacing w:after="0" w:line="312" w:lineRule="auto"/>
        <w:ind w:left="708"/>
        <w:jc w:val="both"/>
        <w:rPr>
          <w:rFonts w:ascii="Arial" w:hAnsi="Arial" w:cs="Arial"/>
          <w:b/>
          <w:bCs/>
        </w:rPr>
      </w:pPr>
      <w:r w:rsidRPr="00E54314">
        <w:rPr>
          <w:rFonts w:ascii="Arial" w:hAnsi="Arial" w:cs="Arial"/>
          <w:b/>
          <w:bCs/>
        </w:rPr>
        <w:t>REFERENCIA</w:t>
      </w:r>
      <w:r w:rsidRPr="00E54314">
        <w:rPr>
          <w:rFonts w:ascii="Arial" w:hAnsi="Arial" w:cs="Arial"/>
        </w:rPr>
        <w:t>: RECURSO DE REPOSICIÓN EN SUBSIDIO DE APELACIÓN</w:t>
      </w:r>
    </w:p>
    <w:p w14:paraId="1469CE15" w14:textId="77777777" w:rsidR="00E54314" w:rsidRDefault="00E54314" w:rsidP="00927A5D">
      <w:pPr>
        <w:spacing w:after="0" w:line="312" w:lineRule="auto"/>
        <w:jc w:val="both"/>
        <w:rPr>
          <w:rFonts w:ascii="Arial" w:hAnsi="Arial" w:cs="Arial"/>
          <w:b/>
          <w:bCs/>
        </w:rPr>
      </w:pPr>
    </w:p>
    <w:p w14:paraId="33781713" w14:textId="490B5B26" w:rsidR="002E183A" w:rsidRPr="005B50D5" w:rsidRDefault="002E183A" w:rsidP="00927A5D">
      <w:pPr>
        <w:spacing w:after="0" w:line="312" w:lineRule="auto"/>
        <w:jc w:val="both"/>
        <w:rPr>
          <w:rFonts w:ascii="Arial" w:hAnsi="Arial" w:cs="Arial"/>
        </w:rPr>
      </w:pPr>
      <w:r w:rsidRPr="005B50D5">
        <w:rPr>
          <w:rFonts w:ascii="Arial" w:hAnsi="Arial" w:cs="Arial"/>
          <w:b/>
        </w:rPr>
        <w:t>GUSTAVO ALBERTO HERRERA ÁVILA</w:t>
      </w:r>
      <w:r w:rsidRPr="005B50D5">
        <w:rPr>
          <w:rFonts w:ascii="Arial" w:hAnsi="Arial" w:cs="Arial"/>
          <w:bCs/>
        </w:rPr>
        <w:t>,</w:t>
      </w:r>
      <w:r w:rsidRPr="005B50D5">
        <w:rPr>
          <w:rFonts w:ascii="Arial" w:hAnsi="Arial" w:cs="Arial"/>
          <w:b/>
        </w:rPr>
        <w:t xml:space="preserve"> </w:t>
      </w:r>
      <w:r w:rsidRPr="005B50D5">
        <w:rPr>
          <w:rFonts w:ascii="Arial" w:hAnsi="Arial" w:cs="Arial"/>
        </w:rPr>
        <w:t xml:space="preserve">identificado con cédula de ciudadanía No. 19.395.114 de Bogotá, abogado en ejercicio, portador de la tarjeta profesional No. 39.116 del Consejo Superior de la Judicatura, actuando en mi calidad de apoderado </w:t>
      </w:r>
      <w:r w:rsidR="00FD4EB0" w:rsidRPr="005B50D5">
        <w:rPr>
          <w:rFonts w:ascii="Arial" w:hAnsi="Arial" w:cs="Arial"/>
        </w:rPr>
        <w:t>general</w:t>
      </w:r>
      <w:r w:rsidRPr="005B50D5">
        <w:rPr>
          <w:rFonts w:ascii="Arial" w:hAnsi="Arial" w:cs="Arial"/>
        </w:rPr>
        <w:t xml:space="preserve"> de </w:t>
      </w:r>
      <w:r w:rsidR="00FD4EB0" w:rsidRPr="005B50D5">
        <w:rPr>
          <w:rFonts w:ascii="Arial" w:hAnsi="Arial" w:cs="Arial"/>
          <w:b/>
          <w:bCs/>
        </w:rPr>
        <w:t>MAPFRE SEGUROS GENERALES DE COLOMBIA S.A.</w:t>
      </w:r>
      <w:r w:rsidRPr="005B50D5">
        <w:rPr>
          <w:rFonts w:ascii="Arial" w:hAnsi="Arial" w:cs="Arial"/>
          <w:b/>
          <w:bCs/>
        </w:rPr>
        <w:t xml:space="preserve">, </w:t>
      </w:r>
      <w:r w:rsidRPr="005B50D5">
        <w:rPr>
          <w:rFonts w:ascii="Arial" w:hAnsi="Arial" w:cs="Arial"/>
        </w:rPr>
        <w:t xml:space="preserve">conforme se acredita con </w:t>
      </w:r>
      <w:r w:rsidR="00FD4EB0" w:rsidRPr="005B50D5">
        <w:rPr>
          <w:rFonts w:ascii="Arial" w:hAnsi="Arial" w:cs="Arial"/>
        </w:rPr>
        <w:t>la documentación</w:t>
      </w:r>
      <w:r w:rsidRPr="005B50D5">
        <w:rPr>
          <w:rFonts w:ascii="Arial" w:hAnsi="Arial" w:cs="Arial"/>
        </w:rPr>
        <w:t xml:space="preserve"> </w:t>
      </w:r>
      <w:r w:rsidR="00283A86" w:rsidRPr="005B50D5">
        <w:rPr>
          <w:rFonts w:ascii="Arial" w:hAnsi="Arial" w:cs="Arial"/>
        </w:rPr>
        <w:t>que ya reposa en el plenario, e</w:t>
      </w:r>
      <w:r w:rsidRPr="005B50D5">
        <w:rPr>
          <w:rFonts w:ascii="Arial" w:hAnsi="Arial" w:cs="Arial"/>
        </w:rPr>
        <w:t xml:space="preserve">ncontrándome dentro del término legal previsto para el efecto, me dirijo a su despacho con el fin de presentar </w:t>
      </w:r>
      <w:r w:rsidRPr="005B50D5">
        <w:rPr>
          <w:rFonts w:ascii="Arial" w:hAnsi="Arial" w:cs="Arial"/>
          <w:b/>
          <w:bCs/>
        </w:rPr>
        <w:t>RECURSO DE REPOSICIÓN</w:t>
      </w:r>
      <w:r w:rsidR="00751D76" w:rsidRPr="005B50D5">
        <w:rPr>
          <w:rFonts w:ascii="Arial" w:hAnsi="Arial" w:cs="Arial"/>
          <w:b/>
          <w:bCs/>
        </w:rPr>
        <w:t xml:space="preserve"> </w:t>
      </w:r>
      <w:r w:rsidR="005B50D5" w:rsidRPr="005B50D5">
        <w:rPr>
          <w:rFonts w:ascii="Arial" w:hAnsi="Arial" w:cs="Arial"/>
          <w:b/>
          <w:bCs/>
        </w:rPr>
        <w:t xml:space="preserve">Y </w:t>
      </w:r>
      <w:r w:rsidR="00751D76" w:rsidRPr="005B50D5">
        <w:rPr>
          <w:rFonts w:ascii="Arial" w:hAnsi="Arial" w:cs="Arial"/>
          <w:b/>
          <w:bCs/>
        </w:rPr>
        <w:t>EN SUBSIDIO EL DE APELACIÓN</w:t>
      </w:r>
      <w:r w:rsidRPr="005B50D5">
        <w:rPr>
          <w:rFonts w:ascii="Arial" w:hAnsi="Arial" w:cs="Arial"/>
          <w:b/>
          <w:bCs/>
        </w:rPr>
        <w:t xml:space="preserve"> </w:t>
      </w:r>
      <w:r w:rsidRPr="005B50D5">
        <w:rPr>
          <w:rFonts w:ascii="Arial" w:hAnsi="Arial" w:cs="Arial"/>
        </w:rPr>
        <w:t xml:space="preserve">contra </w:t>
      </w:r>
      <w:r w:rsidR="00E44F0C" w:rsidRPr="005B50D5">
        <w:rPr>
          <w:rFonts w:ascii="Arial" w:hAnsi="Arial" w:cs="Arial"/>
        </w:rPr>
        <w:t xml:space="preserve">el </w:t>
      </w:r>
      <w:r w:rsidR="00751D76" w:rsidRPr="005B50D5">
        <w:rPr>
          <w:rFonts w:ascii="Arial" w:hAnsi="Arial" w:cs="Arial"/>
          <w:b/>
          <w:bCs/>
        </w:rPr>
        <w:t xml:space="preserve">AUTO No. </w:t>
      </w:r>
      <w:r w:rsidR="00FC5E53">
        <w:rPr>
          <w:rFonts w:ascii="Arial" w:hAnsi="Arial" w:cs="Arial"/>
          <w:b/>
          <w:bCs/>
        </w:rPr>
        <w:t>0736</w:t>
      </w:r>
      <w:r w:rsidR="00751D76" w:rsidRPr="005B50D5">
        <w:rPr>
          <w:rFonts w:ascii="Arial" w:hAnsi="Arial" w:cs="Arial"/>
          <w:b/>
          <w:bCs/>
        </w:rPr>
        <w:t xml:space="preserve"> DEL </w:t>
      </w:r>
      <w:r w:rsidR="00FC5E53">
        <w:rPr>
          <w:rFonts w:ascii="Arial" w:hAnsi="Arial" w:cs="Arial"/>
          <w:b/>
          <w:bCs/>
        </w:rPr>
        <w:t>11</w:t>
      </w:r>
      <w:r w:rsidR="00751D76" w:rsidRPr="005B50D5">
        <w:rPr>
          <w:rFonts w:ascii="Arial" w:hAnsi="Arial" w:cs="Arial"/>
          <w:b/>
          <w:bCs/>
        </w:rPr>
        <w:t xml:space="preserve"> DE </w:t>
      </w:r>
      <w:r w:rsidR="00FC5E53">
        <w:rPr>
          <w:rFonts w:ascii="Arial" w:hAnsi="Arial" w:cs="Arial"/>
          <w:b/>
          <w:bCs/>
        </w:rPr>
        <w:t>JUNIO</w:t>
      </w:r>
      <w:r w:rsidR="00751D76" w:rsidRPr="005B50D5">
        <w:rPr>
          <w:rFonts w:ascii="Arial" w:hAnsi="Arial" w:cs="Arial"/>
          <w:b/>
          <w:bCs/>
        </w:rPr>
        <w:t xml:space="preserve"> DE 2025</w:t>
      </w:r>
      <w:r w:rsidR="005B50D5" w:rsidRPr="007E48FA">
        <w:rPr>
          <w:rFonts w:ascii="Arial" w:hAnsi="Arial" w:cs="Arial"/>
        </w:rPr>
        <w:t>,</w:t>
      </w:r>
      <w:r w:rsidR="00751D76" w:rsidRPr="005B50D5">
        <w:rPr>
          <w:rFonts w:ascii="Arial" w:hAnsi="Arial" w:cs="Arial"/>
          <w:b/>
          <w:bCs/>
        </w:rPr>
        <w:t xml:space="preserve"> </w:t>
      </w:r>
      <w:r w:rsidR="00FC0F31" w:rsidRPr="005B50D5">
        <w:rPr>
          <w:rFonts w:ascii="Arial" w:hAnsi="Arial" w:cs="Arial"/>
        </w:rPr>
        <w:t>notificado por estado del 1</w:t>
      </w:r>
      <w:r w:rsidR="00FC5E53">
        <w:rPr>
          <w:rFonts w:ascii="Arial" w:hAnsi="Arial" w:cs="Arial"/>
        </w:rPr>
        <w:t>2</w:t>
      </w:r>
      <w:r w:rsidR="00FC0F31" w:rsidRPr="005B50D5">
        <w:rPr>
          <w:rFonts w:ascii="Arial" w:hAnsi="Arial" w:cs="Arial"/>
        </w:rPr>
        <w:t xml:space="preserve"> de </w:t>
      </w:r>
      <w:r w:rsidR="00FC5E53">
        <w:rPr>
          <w:rFonts w:ascii="Arial" w:hAnsi="Arial" w:cs="Arial"/>
        </w:rPr>
        <w:t>junio</w:t>
      </w:r>
      <w:r w:rsidR="00FC0F31" w:rsidRPr="005B50D5">
        <w:rPr>
          <w:rFonts w:ascii="Arial" w:hAnsi="Arial" w:cs="Arial"/>
        </w:rPr>
        <w:t xml:space="preserve"> de 2025,</w:t>
      </w:r>
      <w:r w:rsidRPr="005B50D5">
        <w:rPr>
          <w:rFonts w:ascii="Arial" w:hAnsi="Arial" w:cs="Arial"/>
        </w:rPr>
        <w:t xml:space="preserve"> </w:t>
      </w:r>
      <w:r w:rsidR="005B50D5" w:rsidRPr="005B50D5">
        <w:rPr>
          <w:rFonts w:ascii="Arial" w:hAnsi="Arial" w:cs="Arial"/>
        </w:rPr>
        <w:t xml:space="preserve">mediante </w:t>
      </w:r>
      <w:r w:rsidR="00FC0F31" w:rsidRPr="005B50D5">
        <w:rPr>
          <w:rFonts w:ascii="Arial" w:hAnsi="Arial" w:cs="Arial"/>
        </w:rPr>
        <w:t xml:space="preserve">el cual </w:t>
      </w:r>
      <w:r w:rsidR="00FC5E53" w:rsidRPr="00FC5E53">
        <w:rPr>
          <w:rFonts w:ascii="Arial" w:hAnsi="Arial" w:cs="Arial"/>
        </w:rPr>
        <w:t>se decidió el incidente de regulación de perjuicios</w:t>
      </w:r>
      <w:r w:rsidR="00DF19DE" w:rsidRPr="005B50D5">
        <w:rPr>
          <w:rFonts w:ascii="Arial" w:hAnsi="Arial" w:cs="Arial"/>
        </w:rPr>
        <w:t xml:space="preserve">; </w:t>
      </w:r>
      <w:r w:rsidR="00FC0F31" w:rsidRPr="005B50D5">
        <w:rPr>
          <w:rFonts w:ascii="Arial" w:hAnsi="Arial" w:cs="Arial"/>
        </w:rPr>
        <w:t>y</w:t>
      </w:r>
      <w:r w:rsidRPr="005B50D5">
        <w:rPr>
          <w:rFonts w:ascii="Arial" w:hAnsi="Arial" w:cs="Arial"/>
        </w:rPr>
        <w:t xml:space="preserve"> que sustento en los siguientes términos:</w:t>
      </w:r>
    </w:p>
    <w:p w14:paraId="2BC06C8A" w14:textId="77777777" w:rsidR="002E183A" w:rsidRPr="005B50D5" w:rsidRDefault="002E183A" w:rsidP="00927A5D">
      <w:pPr>
        <w:spacing w:after="0" w:line="312" w:lineRule="auto"/>
        <w:jc w:val="both"/>
        <w:rPr>
          <w:rFonts w:ascii="Arial" w:hAnsi="Arial" w:cs="Arial"/>
        </w:rPr>
      </w:pPr>
    </w:p>
    <w:p w14:paraId="2119FAF0" w14:textId="36A2D252" w:rsidR="002E183A" w:rsidRPr="005B50D5" w:rsidRDefault="002E183A" w:rsidP="00927A5D">
      <w:pPr>
        <w:spacing w:after="0" w:line="312" w:lineRule="auto"/>
        <w:jc w:val="center"/>
        <w:rPr>
          <w:rFonts w:ascii="Arial" w:hAnsi="Arial" w:cs="Arial"/>
          <w:b/>
          <w:bCs/>
          <w:u w:val="single"/>
        </w:rPr>
      </w:pPr>
      <w:r w:rsidRPr="005B50D5">
        <w:rPr>
          <w:rFonts w:ascii="Arial" w:hAnsi="Arial" w:cs="Arial"/>
          <w:b/>
          <w:bCs/>
          <w:u w:val="single"/>
        </w:rPr>
        <w:t>CAPÍTULO I. OPORTUNIDAD</w:t>
      </w:r>
      <w:r w:rsidR="005B50D5" w:rsidRPr="005B50D5">
        <w:rPr>
          <w:rFonts w:ascii="Arial" w:hAnsi="Arial" w:cs="Arial"/>
          <w:b/>
          <w:bCs/>
          <w:u w:val="single"/>
        </w:rPr>
        <w:t xml:space="preserve"> Y PROCEDENCIA</w:t>
      </w:r>
    </w:p>
    <w:p w14:paraId="7CBC8427" w14:textId="77777777" w:rsidR="002E183A" w:rsidRPr="005B50D5" w:rsidRDefault="002E183A" w:rsidP="00927A5D">
      <w:pPr>
        <w:spacing w:after="0" w:line="312" w:lineRule="auto"/>
        <w:jc w:val="both"/>
        <w:rPr>
          <w:rFonts w:ascii="Arial" w:hAnsi="Arial" w:cs="Arial"/>
        </w:rPr>
      </w:pPr>
    </w:p>
    <w:p w14:paraId="6726CA7F" w14:textId="461A71C8" w:rsidR="002E183A" w:rsidRPr="005B50D5" w:rsidRDefault="005B50D5" w:rsidP="00927A5D">
      <w:pPr>
        <w:spacing w:after="0" w:line="312" w:lineRule="auto"/>
        <w:jc w:val="both"/>
        <w:rPr>
          <w:rFonts w:ascii="Arial" w:hAnsi="Arial" w:cs="Arial"/>
        </w:rPr>
      </w:pPr>
      <w:r w:rsidRPr="005B50D5">
        <w:rPr>
          <w:rFonts w:ascii="Arial" w:hAnsi="Arial" w:cs="Arial"/>
        </w:rPr>
        <w:t>Resulta pertinente precisar que</w:t>
      </w:r>
      <w:r w:rsidR="002E183A" w:rsidRPr="005B50D5">
        <w:rPr>
          <w:rFonts w:ascii="Arial" w:hAnsi="Arial" w:cs="Arial"/>
        </w:rPr>
        <w:t xml:space="preserve"> el </w:t>
      </w:r>
      <w:r w:rsidR="00DA5B3A">
        <w:rPr>
          <w:rFonts w:ascii="Arial" w:hAnsi="Arial" w:cs="Arial"/>
        </w:rPr>
        <w:t>A</w:t>
      </w:r>
      <w:r w:rsidR="002E183A" w:rsidRPr="005B50D5">
        <w:rPr>
          <w:rFonts w:ascii="Arial" w:hAnsi="Arial" w:cs="Arial"/>
        </w:rPr>
        <w:t xml:space="preserve">uto No. </w:t>
      </w:r>
      <w:r w:rsidR="003F6170" w:rsidRPr="005B50D5">
        <w:rPr>
          <w:rFonts w:ascii="Arial" w:hAnsi="Arial" w:cs="Arial"/>
        </w:rPr>
        <w:t>0</w:t>
      </w:r>
      <w:r w:rsidR="00141278">
        <w:rPr>
          <w:rFonts w:ascii="Arial" w:hAnsi="Arial" w:cs="Arial"/>
        </w:rPr>
        <w:t>7</w:t>
      </w:r>
      <w:r w:rsidR="004F407F">
        <w:rPr>
          <w:rFonts w:ascii="Arial" w:hAnsi="Arial" w:cs="Arial"/>
        </w:rPr>
        <w:t>36</w:t>
      </w:r>
      <w:r w:rsidR="00555A8E" w:rsidRPr="005B50D5">
        <w:rPr>
          <w:rFonts w:ascii="Arial" w:hAnsi="Arial" w:cs="Arial"/>
        </w:rPr>
        <w:t xml:space="preserve"> del </w:t>
      </w:r>
      <w:r w:rsidR="004F407F">
        <w:rPr>
          <w:rFonts w:ascii="Arial" w:hAnsi="Arial" w:cs="Arial"/>
        </w:rPr>
        <w:t>11</w:t>
      </w:r>
      <w:r w:rsidR="00555A8E" w:rsidRPr="005B50D5">
        <w:rPr>
          <w:rFonts w:ascii="Arial" w:hAnsi="Arial" w:cs="Arial"/>
        </w:rPr>
        <w:t xml:space="preserve"> de </w:t>
      </w:r>
      <w:r w:rsidR="004F407F">
        <w:rPr>
          <w:rFonts w:ascii="Arial" w:hAnsi="Arial" w:cs="Arial"/>
        </w:rPr>
        <w:t>junio</w:t>
      </w:r>
      <w:r w:rsidR="00555A8E" w:rsidRPr="005B50D5">
        <w:rPr>
          <w:rFonts w:ascii="Arial" w:hAnsi="Arial" w:cs="Arial"/>
        </w:rPr>
        <w:t xml:space="preserve"> de 202</w:t>
      </w:r>
      <w:r w:rsidR="003F6170" w:rsidRPr="005B50D5">
        <w:rPr>
          <w:rFonts w:ascii="Arial" w:hAnsi="Arial" w:cs="Arial"/>
        </w:rPr>
        <w:t>5</w:t>
      </w:r>
      <w:r w:rsidR="002E183A" w:rsidRPr="005B50D5">
        <w:rPr>
          <w:rFonts w:ascii="Arial" w:hAnsi="Arial" w:cs="Arial"/>
        </w:rPr>
        <w:t xml:space="preserve"> se notificó a través de estados electrónicos publicados en la página oficial del despacho el </w:t>
      </w:r>
      <w:r w:rsidR="003F6170" w:rsidRPr="005B50D5">
        <w:rPr>
          <w:rFonts w:ascii="Arial" w:hAnsi="Arial" w:cs="Arial"/>
        </w:rPr>
        <w:t>1</w:t>
      </w:r>
      <w:r w:rsidR="004F407F">
        <w:rPr>
          <w:rFonts w:ascii="Arial" w:hAnsi="Arial" w:cs="Arial"/>
        </w:rPr>
        <w:t>2</w:t>
      </w:r>
      <w:r w:rsidR="006F5D40" w:rsidRPr="005B50D5">
        <w:rPr>
          <w:rFonts w:ascii="Arial" w:hAnsi="Arial" w:cs="Arial"/>
        </w:rPr>
        <w:t xml:space="preserve"> de </w:t>
      </w:r>
      <w:r w:rsidR="004F407F">
        <w:rPr>
          <w:rFonts w:ascii="Arial" w:hAnsi="Arial" w:cs="Arial"/>
        </w:rPr>
        <w:t>junio</w:t>
      </w:r>
      <w:r w:rsidR="006F5D40" w:rsidRPr="005B50D5">
        <w:rPr>
          <w:rFonts w:ascii="Arial" w:hAnsi="Arial" w:cs="Arial"/>
        </w:rPr>
        <w:t xml:space="preserve"> de</w:t>
      </w:r>
      <w:r w:rsidR="002E183A" w:rsidRPr="005B50D5">
        <w:rPr>
          <w:rFonts w:ascii="Arial" w:hAnsi="Arial" w:cs="Arial"/>
        </w:rPr>
        <w:t xml:space="preserve"> 202</w:t>
      </w:r>
      <w:r w:rsidR="003F6170" w:rsidRPr="005B50D5">
        <w:rPr>
          <w:rFonts w:ascii="Arial" w:hAnsi="Arial" w:cs="Arial"/>
        </w:rPr>
        <w:t>5</w:t>
      </w:r>
      <w:r w:rsidR="005B3600" w:rsidRPr="005B50D5">
        <w:rPr>
          <w:rFonts w:ascii="Arial" w:hAnsi="Arial" w:cs="Arial"/>
        </w:rPr>
        <w:t xml:space="preserve">, </w:t>
      </w:r>
      <w:r w:rsidR="0089045F" w:rsidRPr="005B50D5">
        <w:rPr>
          <w:rFonts w:ascii="Arial" w:hAnsi="Arial" w:cs="Arial"/>
        </w:rPr>
        <w:t>véase</w:t>
      </w:r>
      <w:r w:rsidR="00AB68D3" w:rsidRPr="005B50D5">
        <w:rPr>
          <w:rFonts w:ascii="Arial" w:hAnsi="Arial" w:cs="Arial"/>
        </w:rPr>
        <w:t>:</w:t>
      </w:r>
    </w:p>
    <w:p w14:paraId="766CB307" w14:textId="77777777" w:rsidR="0089045F" w:rsidRPr="005B50D5" w:rsidRDefault="0089045F" w:rsidP="00927A5D">
      <w:pPr>
        <w:spacing w:after="0" w:line="312" w:lineRule="auto"/>
        <w:jc w:val="both"/>
        <w:rPr>
          <w:rFonts w:ascii="Arial" w:hAnsi="Arial" w:cs="Arial"/>
        </w:rPr>
      </w:pPr>
    </w:p>
    <w:p w14:paraId="19FF702C" w14:textId="7A17BF34" w:rsidR="002E183A" w:rsidRPr="004F407F" w:rsidRDefault="004F407F" w:rsidP="00927A5D">
      <w:pPr>
        <w:pStyle w:val="NormalWeb"/>
        <w:spacing w:before="0" w:beforeAutospacing="0" w:after="0" w:afterAutospacing="0" w:line="312" w:lineRule="auto"/>
        <w:jc w:val="center"/>
        <w:rPr>
          <w:rFonts w:ascii="Arial" w:eastAsiaTheme="minorHAnsi" w:hAnsi="Arial" w:cs="Arial"/>
          <w:sz w:val="22"/>
          <w:szCs w:val="22"/>
          <w:lang w:eastAsia="en-US"/>
        </w:rPr>
      </w:pPr>
      <w:r w:rsidRPr="004F407F">
        <w:rPr>
          <w:rFonts w:ascii="Arial" w:eastAsiaTheme="minorHAnsi" w:hAnsi="Arial" w:cs="Arial"/>
          <w:i/>
          <w:iCs/>
          <w:noProof/>
          <w:sz w:val="22"/>
          <w:szCs w:val="22"/>
          <w:lang w:eastAsia="en-US"/>
        </w:rPr>
        <w:drawing>
          <wp:inline distT="0" distB="0" distL="0" distR="0" wp14:anchorId="7C0F3A4E" wp14:editId="618443CE">
            <wp:extent cx="6116320" cy="454025"/>
            <wp:effectExtent l="0" t="0" r="0" b="3175"/>
            <wp:docPr id="2096182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82094" name=""/>
                    <pic:cNvPicPr/>
                  </pic:nvPicPr>
                  <pic:blipFill>
                    <a:blip r:embed="rId9"/>
                    <a:stretch>
                      <a:fillRect/>
                    </a:stretch>
                  </pic:blipFill>
                  <pic:spPr>
                    <a:xfrm>
                      <a:off x="0" y="0"/>
                      <a:ext cx="6116320" cy="454025"/>
                    </a:xfrm>
                    <a:prstGeom prst="rect">
                      <a:avLst/>
                    </a:prstGeom>
                  </pic:spPr>
                </pic:pic>
              </a:graphicData>
            </a:graphic>
          </wp:inline>
        </w:drawing>
      </w:r>
    </w:p>
    <w:p w14:paraId="69896F2F" w14:textId="77777777" w:rsidR="002E183A" w:rsidRPr="005B50D5" w:rsidRDefault="002E183A" w:rsidP="00927A5D">
      <w:pPr>
        <w:spacing w:after="0" w:line="312" w:lineRule="auto"/>
        <w:jc w:val="both"/>
        <w:rPr>
          <w:rFonts w:ascii="Arial" w:hAnsi="Arial" w:cs="Arial"/>
        </w:rPr>
      </w:pPr>
    </w:p>
    <w:p w14:paraId="777EF96F" w14:textId="4CF07530" w:rsidR="002E183A" w:rsidRPr="005B50D5" w:rsidRDefault="00D267E0" w:rsidP="00927A5D">
      <w:pPr>
        <w:spacing w:after="0" w:line="312" w:lineRule="auto"/>
        <w:jc w:val="both"/>
        <w:rPr>
          <w:rFonts w:ascii="Arial" w:hAnsi="Arial" w:cs="Arial"/>
        </w:rPr>
      </w:pPr>
      <w:r w:rsidRPr="005B50D5">
        <w:rPr>
          <w:rFonts w:ascii="Arial" w:hAnsi="Arial" w:cs="Arial"/>
        </w:rPr>
        <w:t>En este sentido, de acuerdo con el artículo 322 del Código General del Proceso, los recursos deberán interponerse dentro de los tres (3) días siguientes a su notificación, por lo tanto, considerando que la providencia fue notificada el 1</w:t>
      </w:r>
      <w:r w:rsidR="004F407F">
        <w:rPr>
          <w:rFonts w:ascii="Arial" w:hAnsi="Arial" w:cs="Arial"/>
        </w:rPr>
        <w:t>2</w:t>
      </w:r>
      <w:r w:rsidRPr="005B50D5">
        <w:rPr>
          <w:rFonts w:ascii="Arial" w:hAnsi="Arial" w:cs="Arial"/>
        </w:rPr>
        <w:t xml:space="preserve"> de </w:t>
      </w:r>
      <w:r w:rsidR="004F407F">
        <w:rPr>
          <w:rFonts w:ascii="Arial" w:hAnsi="Arial" w:cs="Arial"/>
        </w:rPr>
        <w:t>junio</w:t>
      </w:r>
      <w:r w:rsidRPr="005B50D5">
        <w:rPr>
          <w:rFonts w:ascii="Arial" w:hAnsi="Arial" w:cs="Arial"/>
        </w:rPr>
        <w:t xml:space="preserve"> de 2025, </w:t>
      </w:r>
      <w:r w:rsidR="00E65026" w:rsidRPr="005B50D5">
        <w:rPr>
          <w:rFonts w:ascii="Arial" w:hAnsi="Arial" w:cs="Arial"/>
        </w:rPr>
        <w:t xml:space="preserve">y que </w:t>
      </w:r>
      <w:r w:rsidRPr="005B50D5">
        <w:rPr>
          <w:rFonts w:ascii="Arial" w:hAnsi="Arial" w:cs="Arial"/>
        </w:rPr>
        <w:t>el t</w:t>
      </w:r>
      <w:r w:rsidR="00AC3BFA">
        <w:rPr>
          <w:rFonts w:ascii="Arial" w:hAnsi="Arial" w:cs="Arial"/>
        </w:rPr>
        <w:t>iempo</w:t>
      </w:r>
      <w:r w:rsidRPr="005B50D5">
        <w:rPr>
          <w:rFonts w:ascii="Arial" w:hAnsi="Arial" w:cs="Arial"/>
        </w:rPr>
        <w:t xml:space="preserve"> para </w:t>
      </w:r>
      <w:r w:rsidRPr="005B50D5">
        <w:rPr>
          <w:rFonts w:ascii="Arial" w:hAnsi="Arial" w:cs="Arial"/>
        </w:rPr>
        <w:lastRenderedPageBreak/>
        <w:t>interponer los recursos corrió desde el 1</w:t>
      </w:r>
      <w:r w:rsidR="004F407F">
        <w:rPr>
          <w:rFonts w:ascii="Arial" w:hAnsi="Arial" w:cs="Arial"/>
        </w:rPr>
        <w:t>3</w:t>
      </w:r>
      <w:r w:rsidRPr="005B50D5">
        <w:rPr>
          <w:rFonts w:ascii="Arial" w:hAnsi="Arial" w:cs="Arial"/>
        </w:rPr>
        <w:t xml:space="preserve"> hasta el </w:t>
      </w:r>
      <w:r w:rsidR="00AC3BFA">
        <w:rPr>
          <w:rFonts w:ascii="Arial" w:hAnsi="Arial" w:cs="Arial"/>
        </w:rPr>
        <w:t>17</w:t>
      </w:r>
      <w:r w:rsidRPr="005B50D5">
        <w:rPr>
          <w:rFonts w:ascii="Arial" w:hAnsi="Arial" w:cs="Arial"/>
        </w:rPr>
        <w:t xml:space="preserve"> de </w:t>
      </w:r>
      <w:r w:rsidR="00AC3BFA">
        <w:rPr>
          <w:rFonts w:ascii="Arial" w:hAnsi="Arial" w:cs="Arial"/>
        </w:rPr>
        <w:t>junio</w:t>
      </w:r>
      <w:r w:rsidRPr="005B50D5">
        <w:rPr>
          <w:rFonts w:ascii="Arial" w:hAnsi="Arial" w:cs="Arial"/>
        </w:rPr>
        <w:t xml:space="preserve"> de 202</w:t>
      </w:r>
      <w:r w:rsidR="00E232E3" w:rsidRPr="005B50D5">
        <w:rPr>
          <w:rFonts w:ascii="Arial" w:hAnsi="Arial" w:cs="Arial"/>
        </w:rPr>
        <w:t>5</w:t>
      </w:r>
      <w:r w:rsidRPr="005B50D5">
        <w:rPr>
          <w:rFonts w:ascii="Arial" w:hAnsi="Arial" w:cs="Arial"/>
        </w:rPr>
        <w:t xml:space="preserve">, </w:t>
      </w:r>
      <w:r w:rsidR="00E65026" w:rsidRPr="005B50D5">
        <w:rPr>
          <w:rFonts w:ascii="Arial" w:hAnsi="Arial" w:cs="Arial"/>
        </w:rPr>
        <w:t>este</w:t>
      </w:r>
      <w:r w:rsidRPr="005B50D5">
        <w:rPr>
          <w:rFonts w:ascii="Arial" w:hAnsi="Arial" w:cs="Arial"/>
        </w:rPr>
        <w:t xml:space="preserve"> escrito se presenta dentro del término previsto.</w:t>
      </w:r>
    </w:p>
    <w:p w14:paraId="5154BF4D" w14:textId="3E1248F0" w:rsidR="002E183A" w:rsidRPr="005B50D5" w:rsidRDefault="002E183A" w:rsidP="00927A5D">
      <w:pPr>
        <w:spacing w:after="0" w:line="312" w:lineRule="auto"/>
        <w:jc w:val="both"/>
        <w:rPr>
          <w:rFonts w:ascii="Arial" w:hAnsi="Arial" w:cs="Arial"/>
        </w:rPr>
      </w:pPr>
    </w:p>
    <w:p w14:paraId="06F7C387" w14:textId="2BFC6E1E" w:rsidR="00B54A9C" w:rsidRPr="005B50D5" w:rsidRDefault="002E183A" w:rsidP="00927A5D">
      <w:pPr>
        <w:spacing w:after="0" w:line="312" w:lineRule="auto"/>
        <w:jc w:val="both"/>
        <w:rPr>
          <w:rFonts w:ascii="Arial" w:hAnsi="Arial" w:cs="Arial"/>
        </w:rPr>
      </w:pPr>
      <w:r w:rsidRPr="005B50D5">
        <w:rPr>
          <w:rFonts w:ascii="Arial" w:hAnsi="Arial" w:cs="Arial"/>
        </w:rPr>
        <w:t>En atención a la aplicación del principio de integración normativa, establecido en el artículo 306 del Código de Procedimiento Administrativo y lo Contencioso Administrativo</w:t>
      </w:r>
      <w:r w:rsidR="005B50D5" w:rsidRPr="005B50D5">
        <w:rPr>
          <w:rFonts w:ascii="Arial" w:hAnsi="Arial" w:cs="Arial"/>
        </w:rPr>
        <w:t>,</w:t>
      </w:r>
      <w:r w:rsidRPr="005B50D5">
        <w:rPr>
          <w:rFonts w:ascii="Arial" w:hAnsi="Arial" w:cs="Arial"/>
        </w:rPr>
        <w:t xml:space="preserve"> debe tenerse en cuenta lo establecido en los artículos 318 a 322 del Código General del Proceso y lo señalado en el artículo 242 </w:t>
      </w:r>
      <w:r w:rsidR="00021B07" w:rsidRPr="005B50D5">
        <w:rPr>
          <w:rFonts w:ascii="Arial" w:hAnsi="Arial" w:cs="Arial"/>
        </w:rPr>
        <w:t xml:space="preserve">y en el numeral 6 del artículo </w:t>
      </w:r>
      <w:r w:rsidR="008430F9" w:rsidRPr="005B50D5">
        <w:rPr>
          <w:rFonts w:ascii="Arial" w:hAnsi="Arial" w:cs="Arial"/>
        </w:rPr>
        <w:t>2</w:t>
      </w:r>
      <w:r w:rsidR="00021B07" w:rsidRPr="005B50D5">
        <w:rPr>
          <w:rFonts w:ascii="Arial" w:hAnsi="Arial" w:cs="Arial"/>
        </w:rPr>
        <w:t xml:space="preserve">43 </w:t>
      </w:r>
      <w:r w:rsidRPr="005B50D5">
        <w:rPr>
          <w:rFonts w:ascii="Arial" w:hAnsi="Arial" w:cs="Arial"/>
        </w:rPr>
        <w:t>de la Ley 1437 de 2011</w:t>
      </w:r>
      <w:r w:rsidR="005B50D5" w:rsidRPr="005B50D5">
        <w:rPr>
          <w:rFonts w:ascii="Arial" w:hAnsi="Arial" w:cs="Arial"/>
        </w:rPr>
        <w:t>,</w:t>
      </w:r>
      <w:r w:rsidRPr="005B50D5">
        <w:rPr>
          <w:rFonts w:ascii="Arial" w:hAnsi="Arial" w:cs="Arial"/>
        </w:rPr>
        <w:t xml:space="preserve"> modificado</w:t>
      </w:r>
      <w:r w:rsidR="008430F9" w:rsidRPr="005B50D5">
        <w:rPr>
          <w:rFonts w:ascii="Arial" w:hAnsi="Arial" w:cs="Arial"/>
        </w:rPr>
        <w:t>s</w:t>
      </w:r>
      <w:r w:rsidRPr="005B50D5">
        <w:rPr>
          <w:rFonts w:ascii="Arial" w:hAnsi="Arial" w:cs="Arial"/>
        </w:rPr>
        <w:t xml:space="preserve"> por la Ley 2080 de 2021</w:t>
      </w:r>
      <w:r w:rsidR="005B50D5" w:rsidRPr="005B50D5">
        <w:rPr>
          <w:rFonts w:ascii="Arial" w:hAnsi="Arial" w:cs="Arial"/>
        </w:rPr>
        <w:t>, el cual establece:</w:t>
      </w:r>
    </w:p>
    <w:p w14:paraId="3B997D97" w14:textId="77777777" w:rsidR="00B54A9C" w:rsidRPr="005B50D5" w:rsidRDefault="00B54A9C" w:rsidP="00927A5D">
      <w:pPr>
        <w:spacing w:after="0" w:line="312" w:lineRule="auto"/>
        <w:jc w:val="both"/>
        <w:rPr>
          <w:rFonts w:ascii="Arial" w:hAnsi="Arial" w:cs="Arial"/>
        </w:rPr>
      </w:pPr>
    </w:p>
    <w:p w14:paraId="1A3AFD9E" w14:textId="01DCD9DE" w:rsidR="00B54A9C" w:rsidRPr="005B50D5" w:rsidRDefault="00B54A9C" w:rsidP="00927A5D">
      <w:pPr>
        <w:spacing w:after="0" w:line="312" w:lineRule="auto"/>
        <w:ind w:left="567" w:right="567"/>
        <w:jc w:val="both"/>
        <w:rPr>
          <w:rFonts w:ascii="Arial" w:hAnsi="Arial" w:cs="Arial"/>
          <w:i/>
          <w:iCs/>
          <w:sz w:val="20"/>
          <w:szCs w:val="20"/>
        </w:rPr>
      </w:pPr>
      <w:r w:rsidRPr="005B50D5">
        <w:rPr>
          <w:rFonts w:ascii="Arial" w:hAnsi="Arial" w:cs="Arial"/>
          <w:i/>
          <w:iCs/>
          <w:sz w:val="20"/>
          <w:szCs w:val="20"/>
        </w:rPr>
        <w:t>ARTÍCULO 243. APELACIÓN. Son apelables las sentencias de primera instancia y los siguientes autos proferidos en la misma instancia:</w:t>
      </w:r>
    </w:p>
    <w:p w14:paraId="358C692F" w14:textId="77777777" w:rsidR="00B54A9C" w:rsidRPr="005B50D5" w:rsidRDefault="00B54A9C" w:rsidP="00927A5D">
      <w:pPr>
        <w:spacing w:after="0" w:line="312" w:lineRule="auto"/>
        <w:ind w:left="567" w:right="567"/>
        <w:jc w:val="both"/>
        <w:rPr>
          <w:rFonts w:ascii="Arial" w:hAnsi="Arial" w:cs="Arial"/>
          <w:i/>
          <w:iCs/>
          <w:sz w:val="20"/>
          <w:szCs w:val="20"/>
        </w:rPr>
      </w:pPr>
    </w:p>
    <w:p w14:paraId="6CD4F7EA" w14:textId="1BB1041B" w:rsidR="00B54A9C" w:rsidRPr="00A11387" w:rsidRDefault="00AC3BFA" w:rsidP="00927A5D">
      <w:pPr>
        <w:spacing w:after="0" w:line="312" w:lineRule="auto"/>
        <w:ind w:left="567" w:right="567"/>
        <w:jc w:val="both"/>
        <w:rPr>
          <w:rFonts w:ascii="Arial" w:hAnsi="Arial" w:cs="Arial"/>
          <w:b/>
          <w:bCs/>
          <w:i/>
          <w:iCs/>
          <w:sz w:val="20"/>
          <w:szCs w:val="20"/>
          <w:u w:val="single"/>
        </w:rPr>
      </w:pPr>
      <w:r w:rsidRPr="00AC3BFA">
        <w:rPr>
          <w:rFonts w:ascii="Arial" w:hAnsi="Arial" w:cs="Arial"/>
          <w:b/>
          <w:bCs/>
          <w:i/>
          <w:iCs/>
          <w:sz w:val="20"/>
          <w:szCs w:val="20"/>
          <w:u w:val="single"/>
        </w:rPr>
        <w:t>4. El que resuelva el incidente de liquidación de la condena en abstracto o de los perjuicios</w:t>
      </w:r>
      <w:r w:rsidR="00B54A9C" w:rsidRPr="00A11387">
        <w:rPr>
          <w:rFonts w:ascii="Arial" w:hAnsi="Arial" w:cs="Arial"/>
          <w:b/>
          <w:bCs/>
          <w:i/>
          <w:iCs/>
          <w:sz w:val="20"/>
          <w:szCs w:val="20"/>
          <w:u w:val="single"/>
        </w:rPr>
        <w:t>.</w:t>
      </w:r>
    </w:p>
    <w:p w14:paraId="44F5B11A" w14:textId="77777777" w:rsidR="00B54A9C" w:rsidRPr="005B50D5" w:rsidRDefault="00B54A9C" w:rsidP="00927A5D">
      <w:pPr>
        <w:spacing w:after="0" w:line="312" w:lineRule="auto"/>
        <w:jc w:val="both"/>
        <w:rPr>
          <w:rFonts w:ascii="Arial" w:hAnsi="Arial" w:cs="Arial"/>
        </w:rPr>
      </w:pPr>
    </w:p>
    <w:p w14:paraId="3FF7507F" w14:textId="284AC745" w:rsidR="00CF53AD" w:rsidRPr="005B50D5" w:rsidRDefault="00B54A9C" w:rsidP="00927A5D">
      <w:pPr>
        <w:spacing w:after="0" w:line="312" w:lineRule="auto"/>
        <w:jc w:val="both"/>
        <w:rPr>
          <w:rFonts w:ascii="Arial" w:hAnsi="Arial" w:cs="Arial"/>
        </w:rPr>
      </w:pPr>
      <w:r w:rsidRPr="005B50D5">
        <w:rPr>
          <w:rFonts w:ascii="Arial" w:hAnsi="Arial" w:cs="Arial"/>
        </w:rPr>
        <w:t>Atendiendo lo anterior</w:t>
      </w:r>
      <w:r w:rsidR="0062454D" w:rsidRPr="005B50D5">
        <w:rPr>
          <w:rFonts w:ascii="Arial" w:hAnsi="Arial" w:cs="Arial"/>
        </w:rPr>
        <w:t xml:space="preserve"> y a que el auto </w:t>
      </w:r>
      <w:r w:rsidR="005B50D5" w:rsidRPr="005B50D5">
        <w:rPr>
          <w:rFonts w:ascii="Arial" w:hAnsi="Arial" w:cs="Arial"/>
        </w:rPr>
        <w:t xml:space="preserve">objeto del recurso </w:t>
      </w:r>
      <w:r w:rsidR="00AC3BFA">
        <w:rPr>
          <w:rFonts w:ascii="Arial" w:hAnsi="Arial" w:cs="Arial"/>
        </w:rPr>
        <w:t xml:space="preserve">resolvió erróneamente la liquidación de perjuicios del caso de marras, </w:t>
      </w:r>
      <w:r w:rsidR="005B50D5" w:rsidRPr="005B50D5">
        <w:rPr>
          <w:rFonts w:ascii="Arial" w:hAnsi="Arial" w:cs="Arial"/>
        </w:rPr>
        <w:t xml:space="preserve">resulta procedente </w:t>
      </w:r>
      <w:r w:rsidR="002E183A" w:rsidRPr="005B50D5">
        <w:rPr>
          <w:rFonts w:ascii="Arial" w:hAnsi="Arial" w:cs="Arial"/>
        </w:rPr>
        <w:t xml:space="preserve">elevar </w:t>
      </w:r>
      <w:r w:rsidR="00C07172" w:rsidRPr="005B50D5">
        <w:rPr>
          <w:rFonts w:ascii="Arial" w:hAnsi="Arial" w:cs="Arial"/>
          <w:b/>
          <w:bCs/>
        </w:rPr>
        <w:t>RECURSO DE REPOSICIÓN</w:t>
      </w:r>
      <w:r w:rsidR="008430F9" w:rsidRPr="005B50D5">
        <w:rPr>
          <w:rFonts w:ascii="Arial" w:hAnsi="Arial" w:cs="Arial"/>
          <w:b/>
          <w:bCs/>
        </w:rPr>
        <w:t xml:space="preserve"> </w:t>
      </w:r>
      <w:r w:rsidR="005B50D5" w:rsidRPr="005B50D5">
        <w:rPr>
          <w:rFonts w:ascii="Arial" w:hAnsi="Arial" w:cs="Arial"/>
          <w:b/>
          <w:bCs/>
        </w:rPr>
        <w:t xml:space="preserve">Y </w:t>
      </w:r>
      <w:r w:rsidR="008430F9" w:rsidRPr="005B50D5">
        <w:rPr>
          <w:rFonts w:ascii="Arial" w:hAnsi="Arial" w:cs="Arial"/>
          <w:b/>
          <w:bCs/>
        </w:rPr>
        <w:t>EN SUBSIDIO EL DE APELACIÓN</w:t>
      </w:r>
      <w:r w:rsidR="00C07172" w:rsidRPr="005B50D5">
        <w:rPr>
          <w:rFonts w:ascii="Arial" w:hAnsi="Arial" w:cs="Arial"/>
          <w:b/>
          <w:bCs/>
        </w:rPr>
        <w:t xml:space="preserve"> </w:t>
      </w:r>
      <w:r w:rsidR="00C07172" w:rsidRPr="005B50D5">
        <w:rPr>
          <w:rFonts w:ascii="Arial" w:hAnsi="Arial" w:cs="Arial"/>
        </w:rPr>
        <w:t xml:space="preserve">contra el </w:t>
      </w:r>
      <w:r w:rsidR="002A38B6">
        <w:rPr>
          <w:rFonts w:ascii="Arial" w:hAnsi="Arial" w:cs="Arial"/>
        </w:rPr>
        <w:t>A</w:t>
      </w:r>
      <w:r w:rsidR="008430F9" w:rsidRPr="005B50D5">
        <w:rPr>
          <w:rFonts w:ascii="Arial" w:hAnsi="Arial" w:cs="Arial"/>
        </w:rPr>
        <w:t xml:space="preserve">uto No. </w:t>
      </w:r>
      <w:r w:rsidR="00AC3BFA" w:rsidRPr="005B50D5">
        <w:rPr>
          <w:rFonts w:ascii="Arial" w:hAnsi="Arial" w:cs="Arial"/>
        </w:rPr>
        <w:t>0</w:t>
      </w:r>
      <w:r w:rsidR="00AC3BFA">
        <w:rPr>
          <w:rFonts w:ascii="Arial" w:hAnsi="Arial" w:cs="Arial"/>
        </w:rPr>
        <w:t>736</w:t>
      </w:r>
      <w:r w:rsidR="00AC3BFA" w:rsidRPr="005B50D5">
        <w:rPr>
          <w:rFonts w:ascii="Arial" w:hAnsi="Arial" w:cs="Arial"/>
        </w:rPr>
        <w:t xml:space="preserve"> del </w:t>
      </w:r>
      <w:r w:rsidR="00AC3BFA">
        <w:rPr>
          <w:rFonts w:ascii="Arial" w:hAnsi="Arial" w:cs="Arial"/>
        </w:rPr>
        <w:t>11</w:t>
      </w:r>
      <w:r w:rsidR="00AC3BFA" w:rsidRPr="005B50D5">
        <w:rPr>
          <w:rFonts w:ascii="Arial" w:hAnsi="Arial" w:cs="Arial"/>
        </w:rPr>
        <w:t xml:space="preserve"> de </w:t>
      </w:r>
      <w:r w:rsidR="00AC3BFA">
        <w:rPr>
          <w:rFonts w:ascii="Arial" w:hAnsi="Arial" w:cs="Arial"/>
        </w:rPr>
        <w:t>junio</w:t>
      </w:r>
      <w:r w:rsidR="00AC3BFA" w:rsidRPr="005B50D5">
        <w:rPr>
          <w:rFonts w:ascii="Arial" w:hAnsi="Arial" w:cs="Arial"/>
        </w:rPr>
        <w:t xml:space="preserve"> de 2025</w:t>
      </w:r>
      <w:r w:rsidR="00CF53AD" w:rsidRPr="005B50D5">
        <w:rPr>
          <w:rFonts w:ascii="Arial" w:hAnsi="Arial" w:cs="Arial"/>
        </w:rPr>
        <w:t xml:space="preserve">. </w:t>
      </w:r>
    </w:p>
    <w:p w14:paraId="31E9244B" w14:textId="77777777" w:rsidR="00CF53AD" w:rsidRPr="005B50D5" w:rsidRDefault="00CF53AD" w:rsidP="00927A5D">
      <w:pPr>
        <w:spacing w:after="0" w:line="312" w:lineRule="auto"/>
        <w:jc w:val="both"/>
        <w:rPr>
          <w:rFonts w:ascii="Arial" w:hAnsi="Arial" w:cs="Arial"/>
        </w:rPr>
      </w:pPr>
    </w:p>
    <w:p w14:paraId="7F4CAAF9" w14:textId="7C2C364D" w:rsidR="002E183A" w:rsidRPr="005B50D5" w:rsidRDefault="002E183A" w:rsidP="00927A5D">
      <w:pPr>
        <w:pStyle w:val="Standard"/>
        <w:tabs>
          <w:tab w:val="left" w:pos="426"/>
          <w:tab w:val="left" w:pos="2268"/>
        </w:tabs>
        <w:spacing w:after="0" w:line="312" w:lineRule="auto"/>
        <w:jc w:val="center"/>
        <w:rPr>
          <w:rFonts w:ascii="Arial" w:hAnsi="Arial" w:cs="Arial"/>
          <w:b/>
          <w:bCs/>
          <w:u w:val="single"/>
        </w:rPr>
      </w:pPr>
      <w:r w:rsidRPr="005B50D5">
        <w:rPr>
          <w:rFonts w:ascii="Arial" w:hAnsi="Arial" w:cs="Arial"/>
          <w:b/>
          <w:bCs/>
          <w:u w:val="single"/>
        </w:rPr>
        <w:t>CAP</w:t>
      </w:r>
      <w:r w:rsidR="00433B9C" w:rsidRPr="005B50D5">
        <w:rPr>
          <w:rFonts w:ascii="Arial" w:hAnsi="Arial" w:cs="Arial"/>
          <w:b/>
          <w:bCs/>
          <w:u w:val="single"/>
        </w:rPr>
        <w:t>Í</w:t>
      </w:r>
      <w:r w:rsidRPr="005B50D5">
        <w:rPr>
          <w:rFonts w:ascii="Arial" w:hAnsi="Arial" w:cs="Arial"/>
          <w:b/>
          <w:bCs/>
          <w:u w:val="single"/>
        </w:rPr>
        <w:t xml:space="preserve">TULO II. </w:t>
      </w:r>
      <w:r w:rsidR="00B54A9C" w:rsidRPr="005B50D5">
        <w:rPr>
          <w:rFonts w:ascii="Arial" w:hAnsi="Arial" w:cs="Arial"/>
          <w:b/>
          <w:bCs/>
          <w:u w:val="single"/>
        </w:rPr>
        <w:t xml:space="preserve">FUNDAMENTOS DEL RECURSO DE REPOSICIÓN </w:t>
      </w:r>
      <w:r w:rsidR="005B50D5" w:rsidRPr="005B50D5">
        <w:rPr>
          <w:rFonts w:ascii="Arial" w:hAnsi="Arial" w:cs="Arial"/>
          <w:b/>
          <w:bCs/>
          <w:u w:val="single"/>
        </w:rPr>
        <w:t xml:space="preserve">Y </w:t>
      </w:r>
      <w:r w:rsidR="00B54A9C" w:rsidRPr="005B50D5">
        <w:rPr>
          <w:rFonts w:ascii="Arial" w:hAnsi="Arial" w:cs="Arial"/>
          <w:b/>
          <w:bCs/>
          <w:u w:val="single"/>
        </w:rPr>
        <w:t>EN SUBSIDIO EL DE APELACIÓN</w:t>
      </w:r>
    </w:p>
    <w:p w14:paraId="3B4809F8" w14:textId="77777777" w:rsidR="002E183A" w:rsidRPr="005B50D5" w:rsidRDefault="002E183A" w:rsidP="00927A5D">
      <w:pPr>
        <w:pStyle w:val="Standard"/>
        <w:tabs>
          <w:tab w:val="left" w:pos="426"/>
          <w:tab w:val="left" w:pos="2268"/>
        </w:tabs>
        <w:spacing w:after="0" w:line="312" w:lineRule="auto"/>
        <w:jc w:val="both"/>
        <w:rPr>
          <w:rFonts w:ascii="Arial" w:hAnsi="Arial" w:cs="Arial"/>
        </w:rPr>
      </w:pPr>
    </w:p>
    <w:p w14:paraId="5FECE8B7" w14:textId="4C8A524F" w:rsidR="00436520" w:rsidRPr="00E501D0" w:rsidRDefault="00436520" w:rsidP="00E501D0">
      <w:pPr>
        <w:pStyle w:val="Default"/>
        <w:numPr>
          <w:ilvl w:val="0"/>
          <w:numId w:val="5"/>
        </w:numPr>
        <w:spacing w:line="312" w:lineRule="auto"/>
        <w:jc w:val="both"/>
        <w:rPr>
          <w:b/>
          <w:bCs/>
          <w:color w:val="auto"/>
          <w:sz w:val="22"/>
          <w:szCs w:val="22"/>
        </w:rPr>
      </w:pPr>
      <w:r w:rsidRPr="00E501D0">
        <w:rPr>
          <w:b/>
          <w:bCs/>
          <w:color w:val="auto"/>
          <w:sz w:val="22"/>
          <w:szCs w:val="22"/>
        </w:rPr>
        <w:t>LA CONDENA EN ABSTRACTO NO ES OBICE PARA DESCONOCER LA JURISPRUDENCIA RELACIONADA CON EL RECONOCIMIENTO PERJUICIOS MATERIALES POR CONCEPTO DE LUCRO CESANTE</w:t>
      </w:r>
      <w:r w:rsidR="002A38B6">
        <w:rPr>
          <w:b/>
          <w:bCs/>
          <w:color w:val="auto"/>
          <w:sz w:val="22"/>
          <w:szCs w:val="22"/>
        </w:rPr>
        <w:t xml:space="preserve"> – DESCONOCIMIENTO DE LA SENTENCIA DE UNIFICACIÓN. </w:t>
      </w:r>
    </w:p>
    <w:p w14:paraId="47C3FF48" w14:textId="77777777" w:rsidR="00436520" w:rsidRDefault="00436520" w:rsidP="00927A5D">
      <w:pPr>
        <w:pStyle w:val="Default"/>
        <w:spacing w:line="312" w:lineRule="auto"/>
        <w:jc w:val="both"/>
        <w:rPr>
          <w:color w:val="auto"/>
          <w:sz w:val="22"/>
          <w:szCs w:val="22"/>
        </w:rPr>
      </w:pPr>
    </w:p>
    <w:p w14:paraId="6F740A92" w14:textId="2C75FA83" w:rsidR="00926E07" w:rsidRDefault="002E183A" w:rsidP="00927A5D">
      <w:pPr>
        <w:pStyle w:val="Default"/>
        <w:spacing w:line="312" w:lineRule="auto"/>
        <w:jc w:val="both"/>
        <w:rPr>
          <w:color w:val="auto"/>
          <w:sz w:val="22"/>
          <w:szCs w:val="22"/>
        </w:rPr>
      </w:pPr>
      <w:r w:rsidRPr="00926E07">
        <w:rPr>
          <w:color w:val="auto"/>
          <w:sz w:val="22"/>
          <w:szCs w:val="22"/>
        </w:rPr>
        <w:t xml:space="preserve">No comparto la </w:t>
      </w:r>
      <w:r w:rsidR="00926E07">
        <w:rPr>
          <w:color w:val="auto"/>
          <w:sz w:val="22"/>
          <w:szCs w:val="22"/>
        </w:rPr>
        <w:t>liquidac</w:t>
      </w:r>
      <w:r w:rsidRPr="00926E07">
        <w:rPr>
          <w:color w:val="auto"/>
          <w:sz w:val="22"/>
          <w:szCs w:val="22"/>
        </w:rPr>
        <w:t>i</w:t>
      </w:r>
      <w:r w:rsidR="00D70442" w:rsidRPr="00926E07">
        <w:rPr>
          <w:color w:val="auto"/>
          <w:sz w:val="22"/>
          <w:szCs w:val="22"/>
        </w:rPr>
        <w:t>ón</w:t>
      </w:r>
      <w:r w:rsidRPr="00926E07">
        <w:rPr>
          <w:color w:val="auto"/>
          <w:sz w:val="22"/>
          <w:szCs w:val="22"/>
        </w:rPr>
        <w:t xml:space="preserve"> adoptada por el despacho en el sentido de</w:t>
      </w:r>
      <w:r w:rsidR="00926E07">
        <w:rPr>
          <w:color w:val="auto"/>
          <w:sz w:val="22"/>
          <w:szCs w:val="22"/>
        </w:rPr>
        <w:t xml:space="preserve"> utilizar como criterio base de esta, una presunción de que la demandante devengaba un salario mínimo mensual legal vigente, y a partir de ahí realizar los cálculos que a la postre determinan el valor de la condena respecto de los perjuicios materiales (lucro cesante consolidado y futuro). Lo anterior tiene como sustento que el trámite incidental tenía como finalidad determinar los valores y criterios con base en los cuales determinar las sumas de la condena, y a efectos de ellos el juez tenía la posibilidad de decretar las pruebas que considerará necesarias, aspecto este del cual hizo uso para determinar uno de los </w:t>
      </w:r>
      <w:r w:rsidR="00926E07">
        <w:rPr>
          <w:color w:val="auto"/>
          <w:sz w:val="22"/>
          <w:szCs w:val="22"/>
        </w:rPr>
        <w:lastRenderedPageBreak/>
        <w:t xml:space="preserve">elementos indispensables del cálculo, como era la pérdida de capacidad laboral, sin embargo, frente al lucro cesante no se procuró la claridad de los ingresos de la señora </w:t>
      </w:r>
      <w:r w:rsidR="002A38B6">
        <w:rPr>
          <w:color w:val="auto"/>
          <w:sz w:val="22"/>
          <w:szCs w:val="22"/>
        </w:rPr>
        <w:t xml:space="preserve">Doris </w:t>
      </w:r>
      <w:r w:rsidR="00926E07">
        <w:rPr>
          <w:color w:val="auto"/>
          <w:sz w:val="22"/>
          <w:szCs w:val="22"/>
        </w:rPr>
        <w:t>Henao, a pesar de que la concepción pacifica de la jurisprudencia administrativa es que los ingresos de una persona no admiten presunción, tal como se explicará en adelante.</w:t>
      </w:r>
    </w:p>
    <w:p w14:paraId="43250734" w14:textId="77777777" w:rsidR="00926E07" w:rsidRDefault="00926E07" w:rsidP="00927A5D">
      <w:pPr>
        <w:pStyle w:val="Default"/>
        <w:spacing w:line="312" w:lineRule="auto"/>
        <w:jc w:val="both"/>
        <w:rPr>
          <w:color w:val="auto"/>
          <w:sz w:val="22"/>
          <w:szCs w:val="22"/>
        </w:rPr>
      </w:pPr>
    </w:p>
    <w:p w14:paraId="7DF93DFF" w14:textId="472ED19F" w:rsidR="00133554" w:rsidRDefault="00926E07" w:rsidP="00927A5D">
      <w:pPr>
        <w:pStyle w:val="Default"/>
        <w:spacing w:line="312" w:lineRule="auto"/>
        <w:jc w:val="both"/>
        <w:rPr>
          <w:color w:val="auto"/>
          <w:sz w:val="22"/>
          <w:szCs w:val="22"/>
        </w:rPr>
      </w:pPr>
      <w:r>
        <w:rPr>
          <w:color w:val="auto"/>
          <w:sz w:val="22"/>
          <w:szCs w:val="22"/>
        </w:rPr>
        <w:t>Frente al particular este despacho determinó en la decisión de primera instancia</w:t>
      </w:r>
      <w:r w:rsidR="0093314A">
        <w:rPr>
          <w:color w:val="auto"/>
          <w:sz w:val="22"/>
          <w:szCs w:val="22"/>
        </w:rPr>
        <w:t xml:space="preserve"> lo siguiente:</w:t>
      </w:r>
    </w:p>
    <w:p w14:paraId="42E0CDC2" w14:textId="77777777" w:rsidR="0093314A" w:rsidRDefault="0093314A" w:rsidP="00927A5D">
      <w:pPr>
        <w:pStyle w:val="Default"/>
        <w:spacing w:line="312" w:lineRule="auto"/>
        <w:jc w:val="both"/>
        <w:rPr>
          <w:color w:val="auto"/>
          <w:sz w:val="22"/>
          <w:szCs w:val="22"/>
        </w:rPr>
      </w:pPr>
    </w:p>
    <w:p w14:paraId="1D0DBEEE" w14:textId="583563E3" w:rsidR="0093314A" w:rsidRPr="0093314A" w:rsidRDefault="0093314A" w:rsidP="00927A5D">
      <w:pPr>
        <w:pStyle w:val="Default"/>
        <w:spacing w:line="312" w:lineRule="auto"/>
        <w:ind w:left="567" w:right="567"/>
        <w:jc w:val="both"/>
        <w:rPr>
          <w:i/>
          <w:iCs/>
          <w:color w:val="auto"/>
          <w:sz w:val="20"/>
          <w:szCs w:val="20"/>
        </w:rPr>
      </w:pPr>
      <w:r w:rsidRPr="0093314A">
        <w:rPr>
          <w:i/>
          <w:iCs/>
          <w:color w:val="auto"/>
          <w:sz w:val="20"/>
          <w:szCs w:val="20"/>
        </w:rPr>
        <w:t>QUINTO. - CONDÉNASE a la Sociedad Grupo Integrado de Transporte Masivo SA, a reconocer y pagar a la señora DORIS EMILIA HENAO PULGARIN; por concepto de perjuicios materiales en la modalidad de lucro cesante</w:t>
      </w:r>
      <w:r w:rsidRPr="000A35A0">
        <w:rPr>
          <w:i/>
          <w:iCs/>
          <w:color w:val="auto"/>
          <w:sz w:val="20"/>
          <w:szCs w:val="20"/>
        </w:rPr>
        <w:t xml:space="preserve">, </w:t>
      </w:r>
      <w:r w:rsidRPr="0093314A">
        <w:rPr>
          <w:i/>
          <w:iCs/>
          <w:color w:val="auto"/>
          <w:sz w:val="20"/>
          <w:szCs w:val="20"/>
          <w:u w:val="single"/>
        </w:rPr>
        <w:t xml:space="preserve">la cuantía </w:t>
      </w:r>
      <w:r w:rsidRPr="0093314A">
        <w:rPr>
          <w:b/>
          <w:bCs/>
          <w:i/>
          <w:iCs/>
          <w:color w:val="auto"/>
          <w:sz w:val="20"/>
          <w:szCs w:val="20"/>
          <w:u w:val="single"/>
        </w:rPr>
        <w:t>que se establezca</w:t>
      </w:r>
      <w:r w:rsidRPr="0093314A">
        <w:rPr>
          <w:i/>
          <w:iCs/>
          <w:color w:val="auto"/>
          <w:sz w:val="20"/>
          <w:szCs w:val="20"/>
          <w:u w:val="single"/>
        </w:rPr>
        <w:t xml:space="preserve"> dentro del trámite incidental que para el efecto deberán promover el mencionado actor</w:t>
      </w:r>
      <w:r w:rsidRPr="0093314A">
        <w:rPr>
          <w:i/>
          <w:iCs/>
          <w:color w:val="auto"/>
          <w:sz w:val="20"/>
          <w:szCs w:val="20"/>
        </w:rPr>
        <w:t>, dentro de los sesenta (60) días siguientes a la ejecutoria de esta decisión, y de conformidad con los parámetros estableados en la parte motiva de esta providencia. La misma deberá ser reducida en un 50% por la existencia de la concurrencia de culpas determinada en la parte considerativa del presente asunto.</w:t>
      </w:r>
    </w:p>
    <w:p w14:paraId="3E491938" w14:textId="77777777" w:rsidR="0093314A" w:rsidRDefault="0093314A" w:rsidP="00927A5D">
      <w:pPr>
        <w:pStyle w:val="Default"/>
        <w:spacing w:line="312" w:lineRule="auto"/>
        <w:jc w:val="both"/>
        <w:rPr>
          <w:color w:val="auto"/>
          <w:sz w:val="22"/>
          <w:szCs w:val="22"/>
        </w:rPr>
      </w:pPr>
    </w:p>
    <w:p w14:paraId="0C2FE53C" w14:textId="461A632A" w:rsidR="0093314A" w:rsidRDefault="0093314A" w:rsidP="00927A5D">
      <w:pPr>
        <w:pStyle w:val="Default"/>
        <w:spacing w:line="312" w:lineRule="auto"/>
        <w:jc w:val="both"/>
        <w:rPr>
          <w:color w:val="auto"/>
          <w:sz w:val="22"/>
          <w:szCs w:val="22"/>
        </w:rPr>
      </w:pPr>
      <w:r>
        <w:rPr>
          <w:color w:val="auto"/>
          <w:sz w:val="22"/>
          <w:szCs w:val="22"/>
        </w:rPr>
        <w:t xml:space="preserve">Dicha decisión fue modificada por el </w:t>
      </w:r>
      <w:r>
        <w:rPr>
          <w:i/>
          <w:iCs/>
          <w:color w:val="auto"/>
          <w:sz w:val="22"/>
          <w:szCs w:val="22"/>
        </w:rPr>
        <w:t>Ad-Quem</w:t>
      </w:r>
      <w:r>
        <w:rPr>
          <w:color w:val="auto"/>
          <w:sz w:val="22"/>
          <w:szCs w:val="22"/>
        </w:rPr>
        <w:t>, dejando como decisión en firme, lo siguiente:</w:t>
      </w:r>
    </w:p>
    <w:p w14:paraId="75CD27DD" w14:textId="77777777" w:rsidR="0093314A" w:rsidRDefault="0093314A" w:rsidP="00927A5D">
      <w:pPr>
        <w:pStyle w:val="Default"/>
        <w:spacing w:line="312" w:lineRule="auto"/>
        <w:jc w:val="both"/>
        <w:rPr>
          <w:color w:val="auto"/>
          <w:sz w:val="22"/>
          <w:szCs w:val="22"/>
        </w:rPr>
      </w:pPr>
    </w:p>
    <w:p w14:paraId="04515C08" w14:textId="3C5114A3" w:rsidR="00926E07" w:rsidRPr="0093314A" w:rsidRDefault="0093314A" w:rsidP="00927A5D">
      <w:pPr>
        <w:pStyle w:val="Default"/>
        <w:spacing w:line="312" w:lineRule="auto"/>
        <w:ind w:left="567" w:right="567"/>
        <w:jc w:val="both"/>
        <w:rPr>
          <w:i/>
          <w:iCs/>
          <w:color w:val="auto"/>
          <w:sz w:val="20"/>
          <w:szCs w:val="20"/>
        </w:rPr>
      </w:pPr>
      <w:r w:rsidRPr="0093314A">
        <w:rPr>
          <w:i/>
          <w:iCs/>
          <w:color w:val="auto"/>
          <w:sz w:val="20"/>
          <w:szCs w:val="20"/>
        </w:rPr>
        <w:t xml:space="preserve">QUINTO. CONDÉNASE a la Sociedad Grupo Integrado de Transporte Masivo S.A., a indemnizar a los demandantes Doris Emilia Henao Pulgarín, Esperanza Henao Pulgarín, Martha Isabel Esguerra Henao y Emily Vanessa Rincón Henao, por las sumas que resulten por concepto de perjuicios materiales en la modalidad de lucro cesante </w:t>
      </w:r>
      <w:r w:rsidRPr="0093314A">
        <w:rPr>
          <w:i/>
          <w:iCs/>
          <w:color w:val="auto"/>
          <w:sz w:val="20"/>
          <w:szCs w:val="20"/>
          <w:u w:val="single"/>
        </w:rPr>
        <w:t xml:space="preserve">en la cuantía </w:t>
      </w:r>
      <w:r w:rsidRPr="0093314A">
        <w:rPr>
          <w:b/>
          <w:bCs/>
          <w:i/>
          <w:iCs/>
          <w:color w:val="auto"/>
          <w:sz w:val="20"/>
          <w:szCs w:val="20"/>
          <w:u w:val="single"/>
        </w:rPr>
        <w:t>que se establezca dentro del trámite incidental</w:t>
      </w:r>
      <w:r w:rsidRPr="0093314A">
        <w:rPr>
          <w:i/>
          <w:iCs/>
          <w:color w:val="auto"/>
          <w:sz w:val="20"/>
          <w:szCs w:val="20"/>
          <w:u w:val="single"/>
        </w:rPr>
        <w:t xml:space="preserve"> que para el efecto deberán promover dentro de los sesenta (60) días siguientes a la ejecutoria de esta sentencia</w:t>
      </w:r>
      <w:r w:rsidRPr="0093314A">
        <w:rPr>
          <w:i/>
          <w:iCs/>
          <w:color w:val="auto"/>
          <w:sz w:val="20"/>
          <w:szCs w:val="20"/>
        </w:rPr>
        <w:t xml:space="preserve">, de conformidad con lo expuesto </w:t>
      </w:r>
    </w:p>
    <w:p w14:paraId="32CE7BBD" w14:textId="77777777" w:rsidR="00926E07" w:rsidRPr="005B50D5" w:rsidRDefault="00926E07" w:rsidP="00927A5D">
      <w:pPr>
        <w:pStyle w:val="Default"/>
        <w:spacing w:line="312" w:lineRule="auto"/>
        <w:jc w:val="both"/>
        <w:rPr>
          <w:color w:val="auto"/>
          <w:sz w:val="22"/>
          <w:szCs w:val="22"/>
        </w:rPr>
      </w:pPr>
    </w:p>
    <w:p w14:paraId="45D7C586" w14:textId="584B04E2" w:rsidR="0093314A" w:rsidRDefault="0093314A" w:rsidP="00927A5D">
      <w:pPr>
        <w:pStyle w:val="Default"/>
        <w:spacing w:line="312" w:lineRule="auto"/>
        <w:jc w:val="both"/>
        <w:rPr>
          <w:color w:val="auto"/>
          <w:sz w:val="22"/>
          <w:szCs w:val="22"/>
        </w:rPr>
      </w:pPr>
      <w:r>
        <w:rPr>
          <w:color w:val="auto"/>
          <w:sz w:val="22"/>
          <w:szCs w:val="22"/>
        </w:rPr>
        <w:t xml:space="preserve">Lo anterior da cuenta que las dos decisiones de instancia dejaron como presupuesto de </w:t>
      </w:r>
      <w:r w:rsidR="00B30730">
        <w:rPr>
          <w:color w:val="auto"/>
          <w:sz w:val="22"/>
          <w:szCs w:val="22"/>
        </w:rPr>
        <w:t xml:space="preserve">convicción que las sumas deberían determinarse en el trámite incidental, para lo cual se debería haber acudido a los medios necesarios para determinar la cuantía respecto de </w:t>
      </w:r>
      <w:r w:rsidR="00CF4C2F">
        <w:rPr>
          <w:color w:val="auto"/>
          <w:sz w:val="22"/>
          <w:szCs w:val="22"/>
        </w:rPr>
        <w:t>la cual</w:t>
      </w:r>
      <w:r w:rsidR="00B30730">
        <w:rPr>
          <w:color w:val="auto"/>
          <w:sz w:val="22"/>
          <w:szCs w:val="22"/>
        </w:rPr>
        <w:t xml:space="preserve"> fijar el valor de los ingresos de la actora, situación que no ocurrió</w:t>
      </w:r>
      <w:r w:rsidR="00CF4C2F">
        <w:rPr>
          <w:color w:val="auto"/>
          <w:sz w:val="22"/>
          <w:szCs w:val="22"/>
        </w:rPr>
        <w:t>, y al contrario sensu, decidió por el despacho apropiado rememorar un argumento que contrario a justificar su decisión, fortalece el argumento de este escrito en el sentido de advertir que no había prueba de los ingresos, y en tal sentido rememoró lo siguiente de la decisión de primera instancia:</w:t>
      </w:r>
    </w:p>
    <w:p w14:paraId="1C1663C0" w14:textId="77777777" w:rsidR="00CF4C2F" w:rsidRDefault="00CF4C2F" w:rsidP="00927A5D">
      <w:pPr>
        <w:pStyle w:val="Default"/>
        <w:spacing w:line="312" w:lineRule="auto"/>
        <w:jc w:val="both"/>
        <w:rPr>
          <w:color w:val="auto"/>
          <w:sz w:val="22"/>
          <w:szCs w:val="22"/>
        </w:rPr>
      </w:pPr>
    </w:p>
    <w:p w14:paraId="146DBFBC" w14:textId="1EA617A0" w:rsidR="00CF4C2F" w:rsidRPr="00CF4C2F" w:rsidRDefault="00CF4C2F" w:rsidP="00927A5D">
      <w:pPr>
        <w:pStyle w:val="Default"/>
        <w:spacing w:line="312" w:lineRule="auto"/>
        <w:ind w:left="567" w:right="567"/>
        <w:jc w:val="both"/>
        <w:rPr>
          <w:i/>
          <w:iCs/>
          <w:color w:val="auto"/>
          <w:sz w:val="20"/>
          <w:szCs w:val="20"/>
        </w:rPr>
      </w:pPr>
      <w:r w:rsidRPr="00CF4C2F">
        <w:rPr>
          <w:i/>
          <w:iCs/>
          <w:color w:val="auto"/>
          <w:sz w:val="20"/>
          <w:szCs w:val="20"/>
        </w:rPr>
        <w:t xml:space="preserve">En tal sentido, </w:t>
      </w:r>
      <w:r w:rsidRPr="00AE1AA0">
        <w:rPr>
          <w:b/>
          <w:bCs/>
          <w:i/>
          <w:iCs/>
          <w:color w:val="auto"/>
          <w:sz w:val="20"/>
          <w:szCs w:val="20"/>
          <w:u w:val="single"/>
        </w:rPr>
        <w:t>al no demostrar en forma clara y concreta a través de los elementos de prueba material los ingresos devengados para la fecha del accidente</w:t>
      </w:r>
      <w:r w:rsidRPr="00CF4C2F">
        <w:rPr>
          <w:i/>
          <w:iCs/>
          <w:color w:val="auto"/>
          <w:sz w:val="20"/>
          <w:szCs w:val="20"/>
        </w:rPr>
        <w:t xml:space="preserve"> (28- mayo 2012 hasta el final de la incapacidad) </w:t>
      </w:r>
      <w:r w:rsidRPr="00AE1AA0">
        <w:rPr>
          <w:b/>
          <w:bCs/>
          <w:i/>
          <w:iCs/>
          <w:color w:val="auto"/>
          <w:sz w:val="20"/>
          <w:szCs w:val="20"/>
          <w:u w:val="single"/>
        </w:rPr>
        <w:t xml:space="preserve">es preciso acudir a los criterios auxiliares de la actividad judicial, </w:t>
      </w:r>
      <w:r w:rsidRPr="00AE1AA0">
        <w:rPr>
          <w:b/>
          <w:bCs/>
          <w:i/>
          <w:iCs/>
          <w:color w:val="auto"/>
          <w:sz w:val="20"/>
          <w:szCs w:val="20"/>
          <w:u w:val="single"/>
        </w:rPr>
        <w:lastRenderedPageBreak/>
        <w:t>entre otros</w:t>
      </w:r>
      <w:r w:rsidRPr="00CF4C2F">
        <w:rPr>
          <w:i/>
          <w:iCs/>
          <w:color w:val="auto"/>
          <w:sz w:val="20"/>
          <w:szCs w:val="20"/>
        </w:rPr>
        <w:t xml:space="preserve">, la equidad, </w:t>
      </w:r>
      <w:r w:rsidRPr="00AE1AA0">
        <w:rPr>
          <w:b/>
          <w:bCs/>
          <w:i/>
          <w:iCs/>
          <w:color w:val="auto"/>
          <w:sz w:val="20"/>
          <w:szCs w:val="20"/>
          <w:u w:val="single"/>
        </w:rPr>
        <w:t>la jurisprudencia</w:t>
      </w:r>
      <w:r w:rsidRPr="00CF4C2F">
        <w:rPr>
          <w:i/>
          <w:iCs/>
          <w:color w:val="auto"/>
          <w:sz w:val="20"/>
          <w:szCs w:val="20"/>
        </w:rPr>
        <w:t xml:space="preserve"> y la doctrina, tal como lo mandan los artículos 230 Superior y 16 de la Ley 446 de 1998, asunto sobre el cual el Consejo de Estado ha sostenido, entre otras cosas, refiriéndose a la mentada problemática, que ante la falta de otros medios de convicción, debe el juzgador acoger como referente para dicha tasación el salario mínimo legal.</w:t>
      </w:r>
    </w:p>
    <w:p w14:paraId="6A097CBF" w14:textId="77777777" w:rsidR="00CF4C2F" w:rsidRDefault="00CF4C2F" w:rsidP="00927A5D">
      <w:pPr>
        <w:pStyle w:val="Default"/>
        <w:spacing w:line="312" w:lineRule="auto"/>
        <w:jc w:val="both"/>
        <w:rPr>
          <w:color w:val="auto"/>
          <w:sz w:val="22"/>
          <w:szCs w:val="22"/>
        </w:rPr>
      </w:pPr>
    </w:p>
    <w:p w14:paraId="6CAF7377" w14:textId="5DD3248B" w:rsidR="00CF4C2F" w:rsidRDefault="00D73B9C" w:rsidP="00927A5D">
      <w:pPr>
        <w:pStyle w:val="Default"/>
        <w:spacing w:line="312" w:lineRule="auto"/>
        <w:jc w:val="both"/>
        <w:rPr>
          <w:color w:val="auto"/>
          <w:sz w:val="22"/>
          <w:szCs w:val="22"/>
        </w:rPr>
      </w:pPr>
      <w:r>
        <w:rPr>
          <w:color w:val="auto"/>
          <w:sz w:val="22"/>
          <w:szCs w:val="22"/>
        </w:rPr>
        <w:t>En ese mismo hilo de convicción dijo el despacho de segunda instancia que:</w:t>
      </w:r>
    </w:p>
    <w:p w14:paraId="605F7993" w14:textId="77777777" w:rsidR="00D73B9C" w:rsidRDefault="00D73B9C" w:rsidP="00927A5D">
      <w:pPr>
        <w:pStyle w:val="Default"/>
        <w:spacing w:line="312" w:lineRule="auto"/>
        <w:jc w:val="both"/>
        <w:rPr>
          <w:color w:val="auto"/>
          <w:sz w:val="22"/>
          <w:szCs w:val="22"/>
        </w:rPr>
      </w:pPr>
    </w:p>
    <w:p w14:paraId="13F6E8BD" w14:textId="7D45D3D7" w:rsidR="00D73B9C" w:rsidRPr="00D73B9C" w:rsidRDefault="00D73B9C" w:rsidP="00927A5D">
      <w:pPr>
        <w:pStyle w:val="Default"/>
        <w:spacing w:line="312" w:lineRule="auto"/>
        <w:ind w:left="567" w:right="567"/>
        <w:jc w:val="both"/>
        <w:rPr>
          <w:i/>
          <w:iCs/>
          <w:color w:val="auto"/>
          <w:sz w:val="20"/>
          <w:szCs w:val="20"/>
        </w:rPr>
      </w:pPr>
      <w:r w:rsidRPr="00D73B9C">
        <w:rPr>
          <w:i/>
          <w:iCs/>
          <w:color w:val="auto"/>
          <w:sz w:val="20"/>
          <w:szCs w:val="20"/>
        </w:rPr>
        <w:t xml:space="preserve">De manera que, si bien la parte apelante afirma que hay pruebas para cuantificar el perjuicio, la Sala comparte la decisión del juez toda vez que </w:t>
      </w:r>
      <w:r w:rsidRPr="00D73B9C">
        <w:rPr>
          <w:b/>
          <w:bCs/>
          <w:i/>
          <w:iCs/>
          <w:color w:val="auto"/>
          <w:sz w:val="20"/>
          <w:szCs w:val="20"/>
          <w:u w:val="single"/>
        </w:rPr>
        <w:t>la certificación arrimada al proceso no expresa como se lleva la contabilidad, ni el detalle de los hechos que se pretenden demostrar, así como tampoco existen comprobantes internos o externos que lleve al convencimiento del hecho que se pretende probar</w:t>
      </w:r>
      <w:r w:rsidRPr="00D73B9C">
        <w:rPr>
          <w:i/>
          <w:iCs/>
          <w:color w:val="auto"/>
          <w:sz w:val="20"/>
          <w:szCs w:val="20"/>
        </w:rPr>
        <w:t>.</w:t>
      </w:r>
    </w:p>
    <w:p w14:paraId="753D9A65" w14:textId="77777777" w:rsidR="0093314A" w:rsidRDefault="0093314A" w:rsidP="00927A5D">
      <w:pPr>
        <w:pStyle w:val="Default"/>
        <w:spacing w:line="312" w:lineRule="auto"/>
        <w:jc w:val="both"/>
        <w:rPr>
          <w:color w:val="auto"/>
          <w:sz w:val="22"/>
          <w:szCs w:val="22"/>
        </w:rPr>
      </w:pPr>
    </w:p>
    <w:p w14:paraId="085B3569" w14:textId="07C7BE41" w:rsidR="00D73B9C" w:rsidRDefault="00D73B9C" w:rsidP="00927A5D">
      <w:pPr>
        <w:pStyle w:val="Default"/>
        <w:spacing w:line="312" w:lineRule="auto"/>
        <w:jc w:val="both"/>
        <w:rPr>
          <w:color w:val="auto"/>
          <w:sz w:val="22"/>
          <w:szCs w:val="22"/>
        </w:rPr>
      </w:pPr>
      <w:r>
        <w:rPr>
          <w:color w:val="auto"/>
          <w:sz w:val="22"/>
          <w:szCs w:val="22"/>
        </w:rPr>
        <w:t xml:space="preserve">En este contexto tenemos claro que no hubo prueba en el proceso de reparación directa, de los perjuicios materiales, y que teniéndose en cuenta esa situación, se difirió hasta el trámite incidental la </w:t>
      </w:r>
      <w:r w:rsidR="007272BA">
        <w:rPr>
          <w:color w:val="auto"/>
          <w:sz w:val="22"/>
          <w:szCs w:val="22"/>
        </w:rPr>
        <w:t xml:space="preserve">determinación de los criterios con los cuales </w:t>
      </w:r>
      <w:r w:rsidR="003C297C">
        <w:rPr>
          <w:color w:val="auto"/>
          <w:sz w:val="22"/>
          <w:szCs w:val="22"/>
        </w:rPr>
        <w:t xml:space="preserve">establecer los valores de la condena. En ese marco argumentativo, y atendiendo lo considerado por el despacho, lo correcto era en principio acudir a los medios de prueba obrantes para determinar si existía un ingreso en el cual basarse para realizar el cálculo, y en segunda medida, en ausencia de este, como finalmente ocurrió, se debía acudir a </w:t>
      </w:r>
      <w:r w:rsidR="00927A5D">
        <w:rPr>
          <w:color w:val="auto"/>
          <w:sz w:val="22"/>
          <w:szCs w:val="22"/>
        </w:rPr>
        <w:t>los criterios</w:t>
      </w:r>
      <w:r w:rsidR="003C297C">
        <w:rPr>
          <w:color w:val="auto"/>
          <w:sz w:val="22"/>
          <w:szCs w:val="22"/>
        </w:rPr>
        <w:t xml:space="preserve"> auxiliares del derecho para </w:t>
      </w:r>
      <w:r w:rsidR="00BF094B">
        <w:rPr>
          <w:color w:val="auto"/>
          <w:sz w:val="22"/>
          <w:szCs w:val="22"/>
        </w:rPr>
        <w:t xml:space="preserve">zanjar la </w:t>
      </w:r>
      <w:r w:rsidR="00CC3FAC">
        <w:rPr>
          <w:color w:val="auto"/>
          <w:sz w:val="22"/>
          <w:szCs w:val="22"/>
        </w:rPr>
        <w:t>incertidumbre</w:t>
      </w:r>
      <w:r w:rsidR="00927A5D">
        <w:rPr>
          <w:color w:val="auto"/>
          <w:sz w:val="22"/>
          <w:szCs w:val="22"/>
        </w:rPr>
        <w:t xml:space="preserve">. </w:t>
      </w:r>
    </w:p>
    <w:p w14:paraId="1F2AE576" w14:textId="77777777" w:rsidR="00927A5D" w:rsidRDefault="00927A5D" w:rsidP="00927A5D">
      <w:pPr>
        <w:pStyle w:val="Default"/>
        <w:spacing w:line="312" w:lineRule="auto"/>
        <w:jc w:val="both"/>
        <w:rPr>
          <w:color w:val="auto"/>
          <w:sz w:val="22"/>
          <w:szCs w:val="22"/>
        </w:rPr>
      </w:pPr>
    </w:p>
    <w:p w14:paraId="1D6B83E3" w14:textId="24B996DA" w:rsidR="00927A5D" w:rsidRDefault="00927A5D" w:rsidP="00927A5D">
      <w:pPr>
        <w:pStyle w:val="Default"/>
        <w:spacing w:line="312" w:lineRule="auto"/>
        <w:jc w:val="both"/>
        <w:rPr>
          <w:rFonts w:eastAsia="Arial"/>
        </w:rPr>
      </w:pPr>
      <w:r>
        <w:rPr>
          <w:color w:val="auto"/>
          <w:sz w:val="22"/>
          <w:szCs w:val="22"/>
        </w:rPr>
        <w:t>Teniendo en cuenta lo anterior es deber del suscrito traer a colación que,</w:t>
      </w:r>
      <w:r w:rsidRPr="00997CDD">
        <w:rPr>
          <w:rFonts w:eastAsia="Arial"/>
        </w:rPr>
        <w:t xml:space="preserve"> </w:t>
      </w:r>
      <w:r w:rsidRPr="00927A5D">
        <w:rPr>
          <w:rFonts w:eastAsia="Arial"/>
          <w:sz w:val="22"/>
          <w:szCs w:val="22"/>
        </w:rPr>
        <w:t>para que sea posible el reconocimiento de</w:t>
      </w:r>
      <w:r>
        <w:rPr>
          <w:rFonts w:eastAsia="Arial"/>
          <w:sz w:val="22"/>
          <w:szCs w:val="22"/>
        </w:rPr>
        <w:t xml:space="preserve"> este tipo de</w:t>
      </w:r>
      <w:r w:rsidRPr="00927A5D">
        <w:rPr>
          <w:rFonts w:eastAsia="Arial"/>
          <w:sz w:val="22"/>
          <w:szCs w:val="22"/>
        </w:rPr>
        <w:t xml:space="preserve"> perjuicio</w:t>
      </w:r>
      <w:r>
        <w:rPr>
          <w:rFonts w:eastAsia="Arial"/>
          <w:sz w:val="22"/>
          <w:szCs w:val="22"/>
        </w:rPr>
        <w:t>s</w:t>
      </w:r>
      <w:r w:rsidRPr="00927A5D">
        <w:rPr>
          <w:rFonts w:eastAsia="Arial"/>
          <w:sz w:val="22"/>
          <w:szCs w:val="22"/>
        </w:rPr>
        <w:t xml:space="preserve"> de naturaleza económica, es necesario que se acredite su existencia cierta, actual o futura mediante elementos de convicción que permitan determinar el valor dejado de percibir. Al respecto, la Corte Suprema de Justicia ha sostenido lo siguiente: </w:t>
      </w:r>
    </w:p>
    <w:p w14:paraId="645BB9F5" w14:textId="77777777" w:rsidR="00927A5D" w:rsidRPr="00997CDD" w:rsidRDefault="00927A5D" w:rsidP="00927A5D">
      <w:pPr>
        <w:pStyle w:val="Default"/>
        <w:spacing w:line="312" w:lineRule="auto"/>
        <w:jc w:val="both"/>
        <w:rPr>
          <w:rFonts w:eastAsia="Arial"/>
        </w:rPr>
      </w:pPr>
    </w:p>
    <w:p w14:paraId="40AF577C" w14:textId="6DF5033E" w:rsidR="00927A5D" w:rsidRPr="00927A5D" w:rsidRDefault="00927A5D" w:rsidP="00927A5D">
      <w:pPr>
        <w:spacing w:after="0" w:line="312" w:lineRule="auto"/>
        <w:ind w:left="567" w:right="567"/>
        <w:jc w:val="both"/>
        <w:rPr>
          <w:rFonts w:ascii="Arial" w:eastAsia="Arial" w:hAnsi="Arial" w:cs="Arial"/>
          <w:sz w:val="20"/>
          <w:szCs w:val="20"/>
        </w:rPr>
      </w:pPr>
      <w:r w:rsidRPr="00927A5D">
        <w:rPr>
          <w:rFonts w:ascii="Arial" w:eastAsia="Arial" w:hAnsi="Arial" w:cs="Arial"/>
          <w:i/>
          <w:iCs/>
          <w:sz w:val="20"/>
          <w:szCs w:val="20"/>
        </w:rPr>
        <w:t xml:space="preserve">El perjuicio es la consecuencia que se deriva del daño para la víctima del mismo, y la indemnización corresponde al resarcimiento o pago del “(…) perjuicio que el daño ocasionó (…). </w:t>
      </w:r>
      <w:r w:rsidRPr="00927A5D">
        <w:rPr>
          <w:rFonts w:ascii="Arial" w:eastAsia="Arial" w:hAnsi="Arial" w:cs="Arial"/>
          <w:b/>
          <w:bCs/>
          <w:i/>
          <w:iCs/>
          <w:sz w:val="20"/>
          <w:szCs w:val="20"/>
          <w:u w:val="single"/>
        </w:rPr>
        <w:t xml:space="preserve">Este último para que sea reparable, debe ser inequívoco, real y no eventual o hipotético. Es decir, “(…) cierto y no puramente conjetural, [por cuanto] (…) no basta afirmarlo, puesto que es absolutamente imperativo que se acredite procesalmente con los medios </w:t>
      </w:r>
      <w:r w:rsidRPr="00927A5D">
        <w:rPr>
          <w:rFonts w:ascii="Arial" w:eastAsia="Arial" w:hAnsi="Arial" w:cs="Arial"/>
          <w:b/>
          <w:bCs/>
          <w:i/>
          <w:iCs/>
          <w:sz w:val="20"/>
          <w:szCs w:val="20"/>
          <w:u w:val="single"/>
        </w:rPr>
        <w:lastRenderedPageBreak/>
        <w:t>de convicción regular y oportunamente decretados y arrimados al plenario</w:t>
      </w:r>
      <w:r w:rsidRPr="00927A5D">
        <w:rPr>
          <w:rFonts w:ascii="Arial" w:eastAsia="Arial" w:hAnsi="Arial" w:cs="Arial"/>
          <w:i/>
          <w:iCs/>
          <w:sz w:val="20"/>
          <w:szCs w:val="20"/>
        </w:rPr>
        <w:t xml:space="preserve"> (...).</w:t>
      </w:r>
      <w:r w:rsidRPr="00927A5D">
        <w:rPr>
          <w:rStyle w:val="Refdenotaalpie"/>
          <w:rFonts w:ascii="Arial" w:hAnsi="Arial" w:cs="Arial"/>
          <w:sz w:val="20"/>
          <w:szCs w:val="20"/>
        </w:rPr>
        <w:footnoteReference w:id="1"/>
      </w:r>
      <w:r w:rsidRPr="00927A5D">
        <w:rPr>
          <w:rFonts w:ascii="Arial" w:eastAsia="Arial" w:hAnsi="Arial" w:cs="Arial"/>
          <w:i/>
          <w:iCs/>
          <w:sz w:val="20"/>
          <w:szCs w:val="20"/>
        </w:rPr>
        <w:t xml:space="preserve"> </w:t>
      </w:r>
      <w:r w:rsidRPr="00927A5D">
        <w:rPr>
          <w:rFonts w:ascii="Arial" w:eastAsia="Arial" w:hAnsi="Arial" w:cs="Arial"/>
          <w:sz w:val="20"/>
          <w:szCs w:val="20"/>
        </w:rPr>
        <w:t>(</w:t>
      </w:r>
      <w:r>
        <w:rPr>
          <w:rFonts w:ascii="Arial" w:eastAsia="Arial" w:hAnsi="Arial" w:cs="Arial"/>
          <w:sz w:val="20"/>
          <w:szCs w:val="20"/>
        </w:rPr>
        <w:t>Subrayado y n</w:t>
      </w:r>
      <w:r w:rsidRPr="00927A5D">
        <w:rPr>
          <w:rFonts w:ascii="Arial" w:eastAsia="Arial" w:hAnsi="Arial" w:cs="Arial"/>
          <w:sz w:val="20"/>
          <w:szCs w:val="20"/>
        </w:rPr>
        <w:t>egrilla</w:t>
      </w:r>
      <w:r>
        <w:rPr>
          <w:rFonts w:ascii="Arial" w:eastAsia="Arial" w:hAnsi="Arial" w:cs="Arial"/>
          <w:sz w:val="20"/>
          <w:szCs w:val="20"/>
        </w:rPr>
        <w:t>s</w:t>
      </w:r>
      <w:r w:rsidRPr="00927A5D">
        <w:rPr>
          <w:rFonts w:ascii="Arial" w:eastAsia="Arial" w:hAnsi="Arial" w:cs="Arial"/>
          <w:sz w:val="20"/>
          <w:szCs w:val="20"/>
        </w:rPr>
        <w:t xml:space="preserve"> fuera del texto</w:t>
      </w:r>
      <w:r>
        <w:rPr>
          <w:rFonts w:ascii="Arial" w:eastAsia="Arial" w:hAnsi="Arial" w:cs="Arial"/>
          <w:sz w:val="20"/>
          <w:szCs w:val="20"/>
        </w:rPr>
        <w:t xml:space="preserve"> original</w:t>
      </w:r>
      <w:r w:rsidRPr="00927A5D">
        <w:rPr>
          <w:rFonts w:ascii="Arial" w:eastAsia="Arial" w:hAnsi="Arial" w:cs="Arial"/>
          <w:sz w:val="20"/>
          <w:szCs w:val="20"/>
        </w:rPr>
        <w:t>)</w:t>
      </w:r>
    </w:p>
    <w:p w14:paraId="21BBF67B" w14:textId="77777777" w:rsidR="00927A5D" w:rsidRPr="00997CDD" w:rsidRDefault="00927A5D" w:rsidP="00927A5D">
      <w:pPr>
        <w:spacing w:after="0" w:line="312" w:lineRule="auto"/>
        <w:ind w:left="708"/>
        <w:jc w:val="both"/>
        <w:rPr>
          <w:rFonts w:ascii="Arial" w:eastAsia="Arial" w:hAnsi="Arial" w:cs="Arial"/>
          <w:sz w:val="20"/>
          <w:szCs w:val="20"/>
        </w:rPr>
      </w:pPr>
    </w:p>
    <w:p w14:paraId="42EB9CA2" w14:textId="77777777" w:rsidR="00927A5D" w:rsidRPr="00997CDD" w:rsidRDefault="00927A5D" w:rsidP="00927A5D">
      <w:pPr>
        <w:spacing w:after="0" w:line="312" w:lineRule="auto"/>
        <w:jc w:val="both"/>
        <w:rPr>
          <w:rFonts w:ascii="Arial" w:eastAsia="Arial" w:hAnsi="Arial" w:cs="Arial"/>
        </w:rPr>
      </w:pPr>
      <w:r w:rsidRPr="00997CDD">
        <w:rPr>
          <w:rFonts w:ascii="Arial" w:eastAsia="Arial" w:hAnsi="Arial" w:cs="Arial"/>
        </w:rPr>
        <w:t xml:space="preserve">En igual sentido, la misma corporación afirmó en sentencia del 24 de junio de 2008 lo siguiente: </w:t>
      </w:r>
    </w:p>
    <w:p w14:paraId="63E4C56C" w14:textId="77777777" w:rsidR="00927A5D" w:rsidRPr="00997CDD" w:rsidRDefault="00927A5D" w:rsidP="00927A5D">
      <w:pPr>
        <w:spacing w:after="0" w:line="312" w:lineRule="auto"/>
        <w:jc w:val="both"/>
        <w:rPr>
          <w:rFonts w:ascii="Arial" w:eastAsia="Arial" w:hAnsi="Arial" w:cs="Arial"/>
        </w:rPr>
      </w:pPr>
    </w:p>
    <w:p w14:paraId="5A76A084" w14:textId="77777777" w:rsidR="00927A5D" w:rsidRPr="00404001" w:rsidRDefault="00927A5D" w:rsidP="00404001">
      <w:pPr>
        <w:spacing w:after="0" w:line="312" w:lineRule="auto"/>
        <w:ind w:left="567" w:right="567"/>
        <w:jc w:val="both"/>
        <w:rPr>
          <w:rFonts w:ascii="Arial" w:eastAsia="Arial" w:hAnsi="Arial" w:cs="Arial"/>
          <w:i/>
          <w:iCs/>
          <w:sz w:val="20"/>
          <w:szCs w:val="20"/>
        </w:rPr>
      </w:pPr>
      <w:r w:rsidRPr="00404001">
        <w:rPr>
          <w:rFonts w:ascii="Arial" w:eastAsia="Arial" w:hAnsi="Arial" w:cs="Arial"/>
          <w:i/>
          <w:iCs/>
          <w:sz w:val="20"/>
          <w:szCs w:val="20"/>
        </w:rPr>
        <w:t xml:space="preserve">(…) </w:t>
      </w:r>
      <w:r w:rsidRPr="00404001">
        <w:rPr>
          <w:rFonts w:ascii="Arial" w:eastAsia="Arial" w:hAnsi="Arial" w:cs="Arial"/>
          <w:b/>
          <w:bCs/>
          <w:i/>
          <w:iCs/>
          <w:sz w:val="20"/>
          <w:szCs w:val="20"/>
          <w:u w:val="single"/>
        </w:rPr>
        <w:t>En cuanto perjuicio, el lucro cesante debe ser cierto, es decir, que supone una existencia real, tangible, no meramente hipotética o eventual</w:t>
      </w:r>
      <w:r w:rsidRPr="007E5E28">
        <w:rPr>
          <w:rFonts w:ascii="Arial" w:eastAsia="Arial" w:hAnsi="Arial" w:cs="Arial"/>
          <w:i/>
          <w:iCs/>
          <w:sz w:val="20"/>
          <w:szCs w:val="20"/>
        </w:rPr>
        <w:t>.</w:t>
      </w:r>
      <w:r w:rsidRPr="007E5E28">
        <w:rPr>
          <w:rFonts w:ascii="Arial" w:eastAsia="Arial" w:hAnsi="Arial" w:cs="Arial"/>
          <w:b/>
          <w:bCs/>
          <w:i/>
          <w:iCs/>
          <w:sz w:val="20"/>
          <w:szCs w:val="20"/>
        </w:rPr>
        <w:t xml:space="preserve"> </w:t>
      </w:r>
      <w:r w:rsidRPr="00404001">
        <w:rPr>
          <w:rFonts w:ascii="Arial" w:eastAsia="Arial" w:hAnsi="Arial" w:cs="Arial"/>
          <w:i/>
          <w:iCs/>
          <w:sz w:val="20"/>
          <w:szCs w:val="20"/>
        </w:rPr>
        <w:t xml:space="preserve">Ahora, sin ahondar en la materia, porque no es del caso hacerlo, esa certidumbre no se opone a que, en determinados eventos, v. gr. lucro cesante futuro, el requisito mencionado se concrete en que el perjuicio sea altamente probable, o sea, cuando es posible concluir, válidamente, que verosímilmente acaecerá, hipótesis en la cual cualquier elucubración ha de tener como punto de partida una situación concreta, tangible, que debe estar presente al momento de surgir la lesión del interés jurídicamente tutelado (…) </w:t>
      </w:r>
    </w:p>
    <w:p w14:paraId="13F8D175" w14:textId="77777777" w:rsidR="00927A5D" w:rsidRPr="00404001" w:rsidRDefault="00927A5D" w:rsidP="00404001">
      <w:pPr>
        <w:spacing w:after="0" w:line="312" w:lineRule="auto"/>
        <w:ind w:left="567" w:right="567"/>
        <w:jc w:val="both"/>
        <w:rPr>
          <w:rFonts w:ascii="Arial" w:hAnsi="Arial" w:cs="Arial"/>
          <w:i/>
          <w:iCs/>
          <w:sz w:val="20"/>
          <w:szCs w:val="20"/>
        </w:rPr>
      </w:pPr>
    </w:p>
    <w:p w14:paraId="4B881F63" w14:textId="77777777" w:rsidR="00927A5D" w:rsidRPr="00404001" w:rsidRDefault="00927A5D" w:rsidP="00404001">
      <w:pPr>
        <w:spacing w:after="0" w:line="312" w:lineRule="auto"/>
        <w:ind w:left="567" w:right="567"/>
        <w:jc w:val="both"/>
        <w:rPr>
          <w:rFonts w:ascii="Arial" w:eastAsia="Arial" w:hAnsi="Arial" w:cs="Arial"/>
          <w:i/>
          <w:iCs/>
          <w:sz w:val="20"/>
          <w:szCs w:val="20"/>
        </w:rPr>
      </w:pPr>
      <w:r w:rsidRPr="00404001">
        <w:rPr>
          <w:rFonts w:ascii="Arial" w:eastAsia="Arial" w:hAnsi="Arial" w:cs="Arial"/>
          <w:i/>
          <w:iCs/>
          <w:sz w:val="20"/>
          <w:szCs w:val="20"/>
        </w:rPr>
        <w:t xml:space="preserve">Vale decir que </w:t>
      </w:r>
      <w:r w:rsidRPr="00404001">
        <w:rPr>
          <w:rFonts w:ascii="Arial" w:eastAsia="Arial" w:hAnsi="Arial" w:cs="Arial"/>
          <w:b/>
          <w:bCs/>
          <w:i/>
          <w:iCs/>
          <w:sz w:val="20"/>
          <w:szCs w:val="20"/>
          <w:u w:val="single"/>
        </w:rPr>
        <w:t>el lucro cesante ha de ser indemnizado cuando se afinca en una situación real, existente al momento del evento dañino, condiciones estas que, justamente, permiten inferir, razonablemente, que las ganancias o ventajas que se percibían o se aspiraba razonablemente a captar dejarán de ingresar al patrimonio fatal o muy probablemente</w:t>
      </w:r>
      <w:r w:rsidRPr="00404001">
        <w:rPr>
          <w:rFonts w:ascii="Arial" w:eastAsia="Arial" w:hAnsi="Arial" w:cs="Arial"/>
          <w:i/>
          <w:iCs/>
          <w:sz w:val="20"/>
          <w:szCs w:val="20"/>
        </w:rPr>
        <w:t xml:space="preserve"> (…) </w:t>
      </w:r>
    </w:p>
    <w:p w14:paraId="40290769" w14:textId="77777777" w:rsidR="00927A5D" w:rsidRPr="00404001" w:rsidRDefault="00927A5D" w:rsidP="00404001">
      <w:pPr>
        <w:spacing w:after="0" w:line="312" w:lineRule="auto"/>
        <w:ind w:left="567" w:right="567"/>
        <w:jc w:val="both"/>
        <w:rPr>
          <w:rFonts w:ascii="Arial" w:eastAsia="Arial" w:hAnsi="Arial" w:cs="Arial"/>
          <w:i/>
          <w:iCs/>
          <w:sz w:val="20"/>
          <w:szCs w:val="20"/>
        </w:rPr>
      </w:pPr>
    </w:p>
    <w:p w14:paraId="010E16F3" w14:textId="6F960CAA" w:rsidR="00927A5D" w:rsidRPr="00404001" w:rsidRDefault="00927A5D" w:rsidP="00404001">
      <w:pPr>
        <w:spacing w:after="0" w:line="312" w:lineRule="auto"/>
        <w:ind w:left="567" w:right="567"/>
        <w:jc w:val="both"/>
        <w:rPr>
          <w:rFonts w:ascii="Arial" w:eastAsia="Arial" w:hAnsi="Arial" w:cs="Arial"/>
          <w:sz w:val="20"/>
          <w:szCs w:val="20"/>
        </w:rPr>
      </w:pPr>
      <w:r w:rsidRPr="00404001">
        <w:rPr>
          <w:rFonts w:ascii="Arial" w:eastAsia="Arial" w:hAnsi="Arial" w:cs="Arial"/>
          <w:i/>
          <w:iCs/>
          <w:sz w:val="20"/>
          <w:szCs w:val="20"/>
        </w:rPr>
        <w:t xml:space="preserve">Por último, están </w:t>
      </w:r>
      <w:r w:rsidRPr="00404001">
        <w:rPr>
          <w:rFonts w:ascii="Arial" w:eastAsia="Arial" w:hAnsi="Arial" w:cs="Arial"/>
          <w:b/>
          <w:bCs/>
          <w:i/>
          <w:iCs/>
          <w:sz w:val="20"/>
          <w:szCs w:val="20"/>
          <w:u w:val="single"/>
        </w:rPr>
        <w:t>todos aquellos “sueños de ganancia”, como suele calificarlos la doctrina especializada, que no son más que conjeturas o eventuales perjuicios que tienen como apoyatura meras hipótesis, sin anclaje en la realidad que rodea la causación del daño, los cuales, por obvias razones, no son indemnizables</w:t>
      </w:r>
      <w:r w:rsidRPr="00404001">
        <w:rPr>
          <w:rFonts w:ascii="Arial" w:eastAsia="Arial" w:hAnsi="Arial" w:cs="Arial"/>
          <w:i/>
          <w:iCs/>
          <w:sz w:val="20"/>
          <w:szCs w:val="20"/>
        </w:rPr>
        <w:t>”.</w:t>
      </w:r>
      <w:r w:rsidRPr="00404001">
        <w:rPr>
          <w:rStyle w:val="Refdenotaalpie"/>
          <w:rFonts w:ascii="Arial" w:hAnsi="Arial" w:cs="Arial"/>
          <w:sz w:val="20"/>
          <w:szCs w:val="20"/>
        </w:rPr>
        <w:footnoteReference w:id="2"/>
      </w:r>
      <w:r w:rsidRPr="00404001">
        <w:rPr>
          <w:rFonts w:ascii="Arial" w:eastAsia="Arial" w:hAnsi="Arial" w:cs="Arial"/>
          <w:i/>
          <w:iCs/>
          <w:sz w:val="20"/>
          <w:szCs w:val="20"/>
        </w:rPr>
        <w:t xml:space="preserve"> </w:t>
      </w:r>
      <w:r w:rsidR="00404001" w:rsidRPr="00927A5D">
        <w:rPr>
          <w:rFonts w:ascii="Arial" w:eastAsia="Arial" w:hAnsi="Arial" w:cs="Arial"/>
          <w:sz w:val="20"/>
          <w:szCs w:val="20"/>
        </w:rPr>
        <w:t>(</w:t>
      </w:r>
      <w:r w:rsidR="00404001">
        <w:rPr>
          <w:rFonts w:ascii="Arial" w:eastAsia="Arial" w:hAnsi="Arial" w:cs="Arial"/>
          <w:sz w:val="20"/>
          <w:szCs w:val="20"/>
        </w:rPr>
        <w:t>Subrayado y n</w:t>
      </w:r>
      <w:r w:rsidR="00404001" w:rsidRPr="00927A5D">
        <w:rPr>
          <w:rFonts w:ascii="Arial" w:eastAsia="Arial" w:hAnsi="Arial" w:cs="Arial"/>
          <w:sz w:val="20"/>
          <w:szCs w:val="20"/>
        </w:rPr>
        <w:t>egrilla</w:t>
      </w:r>
      <w:r w:rsidR="00404001">
        <w:rPr>
          <w:rFonts w:ascii="Arial" w:eastAsia="Arial" w:hAnsi="Arial" w:cs="Arial"/>
          <w:sz w:val="20"/>
          <w:szCs w:val="20"/>
        </w:rPr>
        <w:t>s</w:t>
      </w:r>
      <w:r w:rsidR="00404001" w:rsidRPr="00927A5D">
        <w:rPr>
          <w:rFonts w:ascii="Arial" w:eastAsia="Arial" w:hAnsi="Arial" w:cs="Arial"/>
          <w:sz w:val="20"/>
          <w:szCs w:val="20"/>
        </w:rPr>
        <w:t xml:space="preserve"> fuera del texto</w:t>
      </w:r>
      <w:r w:rsidR="00404001">
        <w:rPr>
          <w:rFonts w:ascii="Arial" w:eastAsia="Arial" w:hAnsi="Arial" w:cs="Arial"/>
          <w:sz w:val="20"/>
          <w:szCs w:val="20"/>
        </w:rPr>
        <w:t xml:space="preserve"> original</w:t>
      </w:r>
      <w:r w:rsidR="00404001" w:rsidRPr="00927A5D">
        <w:rPr>
          <w:rFonts w:ascii="Arial" w:eastAsia="Arial" w:hAnsi="Arial" w:cs="Arial"/>
          <w:sz w:val="20"/>
          <w:szCs w:val="20"/>
        </w:rPr>
        <w:t>)</w:t>
      </w:r>
    </w:p>
    <w:p w14:paraId="1493068D" w14:textId="77777777" w:rsidR="00927A5D" w:rsidRPr="00997CDD" w:rsidRDefault="00927A5D" w:rsidP="00927A5D">
      <w:pPr>
        <w:spacing w:after="0" w:line="312" w:lineRule="auto"/>
        <w:ind w:left="708"/>
        <w:jc w:val="both"/>
        <w:rPr>
          <w:rFonts w:ascii="Arial" w:eastAsia="Arial" w:hAnsi="Arial" w:cs="Arial"/>
          <w:sz w:val="20"/>
          <w:szCs w:val="20"/>
        </w:rPr>
      </w:pPr>
    </w:p>
    <w:p w14:paraId="676F1162" w14:textId="5AD67C7E" w:rsidR="00927A5D" w:rsidRPr="00997CDD" w:rsidRDefault="00927A5D" w:rsidP="00927A5D">
      <w:pPr>
        <w:spacing w:after="0" w:line="312" w:lineRule="auto"/>
        <w:jc w:val="both"/>
        <w:rPr>
          <w:rFonts w:ascii="Arial" w:eastAsia="Arial" w:hAnsi="Arial" w:cs="Arial"/>
        </w:rPr>
      </w:pPr>
      <w:r w:rsidRPr="00997CDD">
        <w:rPr>
          <w:rFonts w:ascii="Arial" w:eastAsia="Arial" w:hAnsi="Arial" w:cs="Arial"/>
        </w:rPr>
        <w:t>En consecuencia,</w:t>
      </w:r>
      <w:r w:rsidR="00925E6B">
        <w:rPr>
          <w:rFonts w:ascii="Arial" w:eastAsia="Arial" w:hAnsi="Arial" w:cs="Arial"/>
        </w:rPr>
        <w:t xml:space="preserve"> es claro afirmar que la línea de concepto uno de los criterios auxiliares del derecho a los que debía a acudir el juez para tasar los daños, indica</w:t>
      </w:r>
      <w:r w:rsidRPr="00997CDD">
        <w:rPr>
          <w:rFonts w:ascii="Arial" w:eastAsia="Arial" w:hAnsi="Arial" w:cs="Arial"/>
        </w:rPr>
        <w:t xml:space="preserve"> el lucro cesante no puede constituirse sobre conceptos hipotéticos o simples conjeturas que no están justificadas en posibilidad ciertas y objetivas. De manera que </w:t>
      </w:r>
      <w:r>
        <w:rPr>
          <w:rFonts w:ascii="Arial" w:eastAsia="Arial" w:hAnsi="Arial" w:cs="Arial"/>
        </w:rPr>
        <w:t>resulta como</w:t>
      </w:r>
      <w:r w:rsidRPr="00997CDD">
        <w:rPr>
          <w:rFonts w:ascii="Arial" w:eastAsia="Arial" w:hAnsi="Arial" w:cs="Arial"/>
        </w:rPr>
        <w:t xml:space="preserve"> deber </w:t>
      </w:r>
      <w:r>
        <w:rPr>
          <w:rFonts w:ascii="Arial" w:eastAsia="Arial" w:hAnsi="Arial" w:cs="Arial"/>
        </w:rPr>
        <w:t xml:space="preserve">indispensable </w:t>
      </w:r>
      <w:r w:rsidRPr="00997CDD">
        <w:rPr>
          <w:rFonts w:ascii="Arial" w:eastAsia="Arial" w:hAnsi="Arial" w:cs="Arial"/>
        </w:rPr>
        <w:t>de la parte demandante acreditar el ingreso que dejó de percibir al momento de la ocurrencia del daño, la actividad productiva que desarrollaba al momento del accidente, pero todo esto basado en medios de convicción ciertos y no meramente especulativos</w:t>
      </w:r>
      <w:r w:rsidR="00925E6B">
        <w:rPr>
          <w:rFonts w:ascii="Arial" w:eastAsia="Arial" w:hAnsi="Arial" w:cs="Arial"/>
        </w:rPr>
        <w:t xml:space="preserve">, y en ese escenario era deber del despacho </w:t>
      </w:r>
      <w:r w:rsidR="00925E6B">
        <w:rPr>
          <w:rFonts w:ascii="Arial" w:eastAsia="Arial" w:hAnsi="Arial" w:cs="Arial"/>
        </w:rPr>
        <w:lastRenderedPageBreak/>
        <w:t>corroborarlo en el trámite incidental, y de no estar probado, como fue en este caso, procurar los elementos de convicción para el efecto, o liquidar con base en el valor probado</w:t>
      </w:r>
      <w:r w:rsidR="00CB6E99">
        <w:rPr>
          <w:rFonts w:ascii="Arial" w:eastAsia="Arial" w:hAnsi="Arial" w:cs="Arial"/>
        </w:rPr>
        <w:t xml:space="preserve"> como ingreso</w:t>
      </w:r>
      <w:r w:rsidR="00925E6B">
        <w:rPr>
          <w:rFonts w:ascii="Arial" w:eastAsia="Arial" w:hAnsi="Arial" w:cs="Arial"/>
        </w:rPr>
        <w:t>, es decir, cero (0)</w:t>
      </w:r>
      <w:r w:rsidRPr="00997CDD">
        <w:rPr>
          <w:rFonts w:ascii="Arial" w:eastAsia="Arial" w:hAnsi="Arial" w:cs="Arial"/>
        </w:rPr>
        <w:t xml:space="preserve">. </w:t>
      </w:r>
    </w:p>
    <w:p w14:paraId="2AFAD0DB" w14:textId="77777777" w:rsidR="00927A5D" w:rsidRPr="00997CDD" w:rsidRDefault="00927A5D" w:rsidP="00927A5D">
      <w:pPr>
        <w:spacing w:after="0" w:line="312" w:lineRule="auto"/>
        <w:jc w:val="both"/>
        <w:rPr>
          <w:rFonts w:ascii="Arial" w:eastAsia="Arial" w:hAnsi="Arial" w:cs="Arial"/>
        </w:rPr>
      </w:pPr>
    </w:p>
    <w:p w14:paraId="732B2118" w14:textId="74E6A3F3" w:rsidR="00927A5D" w:rsidRPr="00997CDD" w:rsidRDefault="00B91947" w:rsidP="00927A5D">
      <w:pPr>
        <w:spacing w:after="0" w:line="312" w:lineRule="auto"/>
        <w:jc w:val="both"/>
        <w:rPr>
          <w:rFonts w:ascii="Arial" w:eastAsia="Arial" w:hAnsi="Arial" w:cs="Arial"/>
        </w:rPr>
      </w:pPr>
      <w:r>
        <w:rPr>
          <w:rFonts w:ascii="Arial" w:eastAsia="Arial" w:hAnsi="Arial" w:cs="Arial"/>
        </w:rPr>
        <w:t>Aunado a lo anterior e</w:t>
      </w:r>
      <w:r w:rsidR="00927A5D" w:rsidRPr="00997CDD">
        <w:rPr>
          <w:rFonts w:ascii="Arial" w:eastAsia="Arial" w:hAnsi="Arial" w:cs="Arial"/>
        </w:rPr>
        <w:t xml:space="preserve">l Consejo de Estado en sentencia </w:t>
      </w:r>
      <w:r w:rsidR="00927A5D">
        <w:rPr>
          <w:rFonts w:ascii="Arial" w:eastAsia="Arial" w:hAnsi="Arial" w:cs="Arial"/>
        </w:rPr>
        <w:t xml:space="preserve">reciente </w:t>
      </w:r>
      <w:r w:rsidR="00927A5D" w:rsidRPr="00997CDD">
        <w:rPr>
          <w:rFonts w:ascii="Arial" w:eastAsia="Arial" w:hAnsi="Arial" w:cs="Arial"/>
        </w:rPr>
        <w:t>de unificación del 10 de julio de 2019, limitó todas las posibles discusiones que se pudieran derivar de este perjuicio y eliminó la presunción de que toda persona en edad productiva devenga al menos un salario mínimo, en cuanto contrariaba con</w:t>
      </w:r>
      <w:r w:rsidR="00927A5D">
        <w:rPr>
          <w:rFonts w:ascii="Arial" w:eastAsia="Arial" w:hAnsi="Arial" w:cs="Arial"/>
        </w:rPr>
        <w:t xml:space="preserve"> uno de los elementos, esto es,</w:t>
      </w:r>
      <w:r w:rsidR="00927A5D" w:rsidRPr="00997CDD">
        <w:rPr>
          <w:rFonts w:ascii="Arial" w:eastAsia="Arial" w:hAnsi="Arial" w:cs="Arial"/>
        </w:rPr>
        <w:t xml:space="preserve"> la certeza exigida para conceder dicha indemnización, de manera que estableció que el lucro cesante solo sería reconocido cuando obren las pruebas suficientes que acrediten</w:t>
      </w:r>
      <w:r w:rsidR="002A38B6">
        <w:rPr>
          <w:rFonts w:ascii="Arial" w:eastAsia="Arial" w:hAnsi="Arial" w:cs="Arial"/>
        </w:rPr>
        <w:t xml:space="preserve"> que la víctima ejercía una actividad legal y productiva</w:t>
      </w:r>
      <w:r w:rsidR="00927A5D" w:rsidRPr="00997CDD">
        <w:rPr>
          <w:rFonts w:ascii="Arial" w:eastAsia="Arial" w:hAnsi="Arial" w:cs="Arial"/>
        </w:rPr>
        <w:t xml:space="preserve">: </w:t>
      </w:r>
    </w:p>
    <w:p w14:paraId="58A1971E" w14:textId="77777777" w:rsidR="00927A5D" w:rsidRPr="00997CDD" w:rsidRDefault="00927A5D" w:rsidP="00927A5D">
      <w:pPr>
        <w:spacing w:after="0" w:line="312" w:lineRule="auto"/>
        <w:jc w:val="both"/>
        <w:rPr>
          <w:rFonts w:ascii="Arial" w:eastAsia="Arial" w:hAnsi="Arial" w:cs="Arial"/>
        </w:rPr>
      </w:pPr>
    </w:p>
    <w:p w14:paraId="4A2F4E69" w14:textId="77777777" w:rsidR="00927A5D" w:rsidRPr="00811B8D" w:rsidRDefault="00927A5D" w:rsidP="00811B8D">
      <w:pPr>
        <w:spacing w:after="0" w:line="312" w:lineRule="auto"/>
        <w:ind w:left="567" w:right="567"/>
        <w:jc w:val="both"/>
        <w:rPr>
          <w:rFonts w:ascii="Arial" w:eastAsia="Arial" w:hAnsi="Arial" w:cs="Arial"/>
          <w:i/>
          <w:iCs/>
          <w:sz w:val="20"/>
          <w:szCs w:val="20"/>
        </w:rPr>
      </w:pPr>
      <w:r w:rsidRPr="00811B8D">
        <w:rPr>
          <w:rFonts w:ascii="Arial" w:eastAsia="Arial" w:hAnsi="Arial" w:cs="Arial"/>
          <w:b/>
          <w:bCs/>
          <w:i/>
          <w:iCs/>
          <w:sz w:val="20"/>
          <w:szCs w:val="20"/>
          <w:u w:val="single"/>
        </w:rPr>
        <w:t>La ausencia de petición, en los términos anteriores, así como el incumplimiento de la carga probatoria dirigida a demostrar la existencia y cuantía de los perjuicios debe conducir, necesariamente, a denegar su decreto.</w:t>
      </w:r>
      <w:r w:rsidRPr="00811B8D">
        <w:rPr>
          <w:rFonts w:ascii="Arial" w:eastAsia="Arial" w:hAnsi="Arial" w:cs="Arial"/>
          <w:i/>
          <w:iCs/>
          <w:sz w:val="20"/>
          <w:szCs w:val="20"/>
        </w:rPr>
        <w:t xml:space="preserve"> (…) </w:t>
      </w:r>
    </w:p>
    <w:p w14:paraId="13DFFD4C" w14:textId="77777777" w:rsidR="00927A5D" w:rsidRPr="00811B8D" w:rsidRDefault="00927A5D" w:rsidP="00811B8D">
      <w:pPr>
        <w:spacing w:after="0" w:line="312" w:lineRule="auto"/>
        <w:ind w:left="567" w:right="567"/>
        <w:jc w:val="both"/>
        <w:rPr>
          <w:rFonts w:ascii="Arial" w:eastAsia="Arial" w:hAnsi="Arial" w:cs="Arial"/>
          <w:i/>
          <w:iCs/>
          <w:sz w:val="20"/>
          <w:szCs w:val="20"/>
        </w:rPr>
      </w:pPr>
    </w:p>
    <w:p w14:paraId="1304F659" w14:textId="77777777" w:rsidR="00927A5D" w:rsidRPr="00811B8D" w:rsidRDefault="00927A5D" w:rsidP="00811B8D">
      <w:pPr>
        <w:spacing w:after="0" w:line="312" w:lineRule="auto"/>
        <w:ind w:left="567" w:right="567"/>
        <w:jc w:val="both"/>
        <w:rPr>
          <w:rFonts w:ascii="Arial" w:eastAsia="Arial" w:hAnsi="Arial" w:cs="Arial"/>
          <w:b/>
          <w:bCs/>
          <w:i/>
          <w:iCs/>
          <w:sz w:val="20"/>
          <w:szCs w:val="20"/>
          <w:u w:val="single"/>
        </w:rPr>
      </w:pPr>
      <w:r w:rsidRPr="00811B8D">
        <w:rPr>
          <w:rFonts w:ascii="Arial" w:eastAsia="Arial" w:hAnsi="Arial" w:cs="Arial"/>
          <w:i/>
          <w:iCs/>
          <w:sz w:val="20"/>
          <w:szCs w:val="20"/>
        </w:rPr>
        <w:t xml:space="preserve">En los casos en los que se pruebe que la detención produjo la pérdida del derecho cierto a obtener un beneficio económico, lo cual se presenta cuando la detención ha afectado el derecho a percibir un ingreso que se tenía o que con certeza se iba a empezar a percibir, el juzgador </w:t>
      </w:r>
      <w:r w:rsidRPr="00811B8D">
        <w:rPr>
          <w:rFonts w:ascii="Arial" w:eastAsia="Arial" w:hAnsi="Arial" w:cs="Arial"/>
          <w:b/>
          <w:bCs/>
          <w:i/>
          <w:iCs/>
          <w:sz w:val="20"/>
          <w:szCs w:val="20"/>
          <w:u w:val="single"/>
        </w:rPr>
        <w:t xml:space="preserve">solo podrá disponer una condena si, a partir de las pruebas obrantes en el expediente, se cumplen los presupuestos para ello, frente a lo cual se requiere que se demuestre que la posibilidad de tener un ingreso era cierta, es decir, que correspondía a la continuación de una situación precedente o que iba a darse efectivamente por existir previamente una actividad productiva lícita ya consolidada que le permitiría a la víctima directa de la privación de la libertad obtener un determinado ingreso y que dejó de percibirlo como consecuencia de la detención. </w:t>
      </w:r>
    </w:p>
    <w:p w14:paraId="406B6E7A" w14:textId="77777777" w:rsidR="00927A5D" w:rsidRPr="00811B8D" w:rsidRDefault="00927A5D" w:rsidP="00811B8D">
      <w:pPr>
        <w:spacing w:after="0" w:line="312" w:lineRule="auto"/>
        <w:ind w:left="567" w:right="567"/>
        <w:jc w:val="both"/>
        <w:rPr>
          <w:rFonts w:ascii="Arial" w:eastAsia="Arial" w:hAnsi="Arial" w:cs="Arial"/>
          <w:i/>
          <w:iCs/>
          <w:sz w:val="20"/>
          <w:szCs w:val="20"/>
        </w:rPr>
      </w:pPr>
    </w:p>
    <w:p w14:paraId="747A165C" w14:textId="77777777" w:rsidR="00927A5D" w:rsidRPr="00811B8D" w:rsidRDefault="00927A5D" w:rsidP="00811B8D">
      <w:pPr>
        <w:spacing w:after="0" w:line="312" w:lineRule="auto"/>
        <w:ind w:left="567" w:right="567"/>
        <w:jc w:val="both"/>
        <w:rPr>
          <w:rFonts w:ascii="Arial" w:eastAsia="Arial" w:hAnsi="Arial" w:cs="Arial"/>
          <w:i/>
          <w:iCs/>
          <w:sz w:val="20"/>
          <w:szCs w:val="20"/>
        </w:rPr>
      </w:pPr>
      <w:r w:rsidRPr="00811B8D">
        <w:rPr>
          <w:rFonts w:ascii="Arial" w:eastAsia="Arial" w:hAnsi="Arial" w:cs="Arial"/>
          <w:i/>
          <w:iCs/>
          <w:sz w:val="20"/>
          <w:szCs w:val="20"/>
        </w:rPr>
        <w:t xml:space="preserve">Entonces, resulta oportuno recoger la jurisprudencia en torno a los parámetros empleados para la indemnización del lucro cesante y, en su lugar, unificarla en orden a establecer los criterios necesarios para: i) acceder al reconocimiento de este tipo de perjuicio y ii) proceder a su liquidación. </w:t>
      </w:r>
    </w:p>
    <w:p w14:paraId="0AB8B1AC" w14:textId="77777777" w:rsidR="00927A5D" w:rsidRPr="00811B8D" w:rsidRDefault="00927A5D" w:rsidP="00811B8D">
      <w:pPr>
        <w:spacing w:after="0" w:line="312" w:lineRule="auto"/>
        <w:ind w:left="567" w:right="567"/>
        <w:jc w:val="both"/>
        <w:rPr>
          <w:rFonts w:ascii="Arial" w:eastAsia="Arial" w:hAnsi="Arial" w:cs="Arial"/>
          <w:i/>
          <w:iCs/>
          <w:sz w:val="20"/>
          <w:szCs w:val="20"/>
        </w:rPr>
      </w:pPr>
    </w:p>
    <w:p w14:paraId="6A84DCD6" w14:textId="024D56B9" w:rsidR="00927A5D" w:rsidRPr="00811B8D" w:rsidRDefault="00927A5D" w:rsidP="00811B8D">
      <w:pPr>
        <w:spacing w:after="0" w:line="312" w:lineRule="auto"/>
        <w:ind w:left="567" w:right="567"/>
        <w:jc w:val="both"/>
        <w:rPr>
          <w:rFonts w:ascii="Arial" w:eastAsia="Arial" w:hAnsi="Arial" w:cs="Arial"/>
          <w:b/>
          <w:bCs/>
          <w:i/>
          <w:iCs/>
          <w:sz w:val="20"/>
          <w:szCs w:val="20"/>
          <w:u w:val="single"/>
        </w:rPr>
      </w:pPr>
      <w:r w:rsidRPr="00811B8D">
        <w:rPr>
          <w:rFonts w:ascii="Arial" w:eastAsia="Arial" w:hAnsi="Arial" w:cs="Arial"/>
          <w:b/>
          <w:bCs/>
          <w:i/>
          <w:iCs/>
          <w:sz w:val="20"/>
          <w:szCs w:val="20"/>
          <w:u w:val="single"/>
        </w:rPr>
        <w:t xml:space="preserve">La precisión jurisprudencial tiene por objeto eliminar las presunciones que han llevado a considerar que la indemnización del perjuicio es un derecho que se tiene per se y establecer que su existencia y cuantía deben reconocerse solo: i) a partir de la ruptura de una relación laboral anterior o de una que, aun cuando futura, era cierta en tanto que ya </w:t>
      </w:r>
      <w:r w:rsidRPr="00811B8D">
        <w:rPr>
          <w:rFonts w:ascii="Arial" w:eastAsia="Arial" w:hAnsi="Arial" w:cs="Arial"/>
          <w:b/>
          <w:bCs/>
          <w:i/>
          <w:iCs/>
          <w:sz w:val="20"/>
          <w:szCs w:val="20"/>
          <w:u w:val="single"/>
        </w:rPr>
        <w:lastRenderedPageBreak/>
        <w:t>estaba perfeccionada al producirse la privación de la libertad o ii) a partir de la existencia de una actividad productiva lícita previa no derivada de una relación laboral, pero de la cual emane la existencia del lucro cesante</w:t>
      </w:r>
      <w:r w:rsidRPr="00811B8D">
        <w:rPr>
          <w:rFonts w:ascii="Arial" w:eastAsia="Arial" w:hAnsi="Arial" w:cs="Arial"/>
          <w:i/>
          <w:iCs/>
          <w:sz w:val="20"/>
          <w:szCs w:val="20"/>
        </w:rPr>
        <w:t>.</w:t>
      </w:r>
      <w:r w:rsidRPr="00811B8D">
        <w:rPr>
          <w:rStyle w:val="Refdenotaalpie"/>
          <w:rFonts w:ascii="Arial" w:hAnsi="Arial" w:cs="Arial"/>
          <w:b/>
          <w:bCs/>
          <w:i/>
          <w:iCs/>
          <w:sz w:val="20"/>
          <w:szCs w:val="20"/>
        </w:rPr>
        <w:footnoteReference w:id="3"/>
      </w:r>
      <w:r w:rsidR="00811B8D" w:rsidRPr="00811B8D">
        <w:rPr>
          <w:rFonts w:ascii="Arial" w:eastAsia="Arial" w:hAnsi="Arial" w:cs="Arial"/>
          <w:b/>
          <w:bCs/>
          <w:i/>
          <w:iCs/>
          <w:sz w:val="20"/>
          <w:szCs w:val="20"/>
        </w:rPr>
        <w:t xml:space="preserve"> </w:t>
      </w:r>
      <w:r w:rsidR="00811B8D" w:rsidRPr="00927A5D">
        <w:rPr>
          <w:rFonts w:ascii="Arial" w:eastAsia="Arial" w:hAnsi="Arial" w:cs="Arial"/>
          <w:sz w:val="20"/>
          <w:szCs w:val="20"/>
        </w:rPr>
        <w:t>(</w:t>
      </w:r>
      <w:r w:rsidR="00811B8D">
        <w:rPr>
          <w:rFonts w:ascii="Arial" w:eastAsia="Arial" w:hAnsi="Arial" w:cs="Arial"/>
          <w:sz w:val="20"/>
          <w:szCs w:val="20"/>
        </w:rPr>
        <w:t>Subrayado y n</w:t>
      </w:r>
      <w:r w:rsidR="00811B8D" w:rsidRPr="00927A5D">
        <w:rPr>
          <w:rFonts w:ascii="Arial" w:eastAsia="Arial" w:hAnsi="Arial" w:cs="Arial"/>
          <w:sz w:val="20"/>
          <w:szCs w:val="20"/>
        </w:rPr>
        <w:t>egrilla</w:t>
      </w:r>
      <w:r w:rsidR="00811B8D">
        <w:rPr>
          <w:rFonts w:ascii="Arial" w:eastAsia="Arial" w:hAnsi="Arial" w:cs="Arial"/>
          <w:sz w:val="20"/>
          <w:szCs w:val="20"/>
        </w:rPr>
        <w:t>s</w:t>
      </w:r>
      <w:r w:rsidR="00811B8D" w:rsidRPr="00927A5D">
        <w:rPr>
          <w:rFonts w:ascii="Arial" w:eastAsia="Arial" w:hAnsi="Arial" w:cs="Arial"/>
          <w:sz w:val="20"/>
          <w:szCs w:val="20"/>
        </w:rPr>
        <w:t xml:space="preserve"> fuera del texto</w:t>
      </w:r>
      <w:r w:rsidR="00811B8D">
        <w:rPr>
          <w:rFonts w:ascii="Arial" w:eastAsia="Arial" w:hAnsi="Arial" w:cs="Arial"/>
          <w:sz w:val="20"/>
          <w:szCs w:val="20"/>
        </w:rPr>
        <w:t xml:space="preserve"> original</w:t>
      </w:r>
      <w:r w:rsidR="00811B8D" w:rsidRPr="00927A5D">
        <w:rPr>
          <w:rFonts w:ascii="Arial" w:eastAsia="Arial" w:hAnsi="Arial" w:cs="Arial"/>
          <w:sz w:val="20"/>
          <w:szCs w:val="20"/>
        </w:rPr>
        <w:t>)</w:t>
      </w:r>
    </w:p>
    <w:p w14:paraId="0618F748" w14:textId="77777777" w:rsidR="00927A5D" w:rsidRPr="00997CDD" w:rsidRDefault="00927A5D" w:rsidP="00927A5D">
      <w:pPr>
        <w:spacing w:after="0" w:line="312" w:lineRule="auto"/>
        <w:ind w:left="708"/>
        <w:jc w:val="both"/>
        <w:rPr>
          <w:rFonts w:ascii="Arial" w:eastAsia="Arial" w:hAnsi="Arial" w:cs="Arial"/>
          <w:b/>
          <w:bCs/>
          <w:sz w:val="20"/>
          <w:szCs w:val="20"/>
          <w:u w:val="single"/>
        </w:rPr>
      </w:pPr>
    </w:p>
    <w:p w14:paraId="3EFC23AE" w14:textId="77777777" w:rsidR="00436520" w:rsidRDefault="00927A5D" w:rsidP="00927A5D">
      <w:pPr>
        <w:spacing w:after="0" w:line="312" w:lineRule="auto"/>
        <w:jc w:val="both"/>
        <w:rPr>
          <w:rFonts w:ascii="Arial" w:eastAsia="Arial" w:hAnsi="Arial" w:cs="Arial"/>
        </w:rPr>
      </w:pPr>
      <w:r w:rsidRPr="00997CDD">
        <w:rPr>
          <w:rFonts w:ascii="Arial" w:eastAsia="Arial" w:hAnsi="Arial" w:cs="Arial"/>
        </w:rPr>
        <w:t xml:space="preserve">En definitiva, </w:t>
      </w:r>
      <w:r w:rsidR="009368E0">
        <w:rPr>
          <w:rFonts w:ascii="Arial" w:eastAsia="Arial" w:hAnsi="Arial" w:cs="Arial"/>
        </w:rPr>
        <w:t xml:space="preserve">resulta claro que la jurisprudencia como criterio auxiliar del derecho le indicaba al despacho que </w:t>
      </w:r>
      <w:r w:rsidRPr="00997CDD">
        <w:rPr>
          <w:rFonts w:ascii="Arial" w:eastAsia="Arial" w:hAnsi="Arial" w:cs="Arial"/>
        </w:rPr>
        <w:t xml:space="preserve">no </w:t>
      </w:r>
      <w:r w:rsidR="009368E0">
        <w:rPr>
          <w:rFonts w:ascii="Arial" w:eastAsia="Arial" w:hAnsi="Arial" w:cs="Arial"/>
        </w:rPr>
        <w:t>era</w:t>
      </w:r>
      <w:r w:rsidRPr="00997CDD">
        <w:rPr>
          <w:rFonts w:ascii="Arial" w:eastAsia="Arial" w:hAnsi="Arial" w:cs="Arial"/>
        </w:rPr>
        <w:t xml:space="preserve"> posible reconocer ningún perjuicio a título de lucro cesante</w:t>
      </w:r>
      <w:r>
        <w:rPr>
          <w:rFonts w:ascii="Arial" w:eastAsia="Arial" w:hAnsi="Arial" w:cs="Arial"/>
        </w:rPr>
        <w:t xml:space="preserve"> (consolidado o futuro)</w:t>
      </w:r>
      <w:r w:rsidRPr="00997CDD">
        <w:rPr>
          <w:rFonts w:ascii="Arial" w:eastAsia="Arial" w:hAnsi="Arial" w:cs="Arial"/>
        </w:rPr>
        <w:t xml:space="preserve">, en cuanto </w:t>
      </w:r>
      <w:r>
        <w:rPr>
          <w:rFonts w:ascii="Arial" w:eastAsia="Arial" w:hAnsi="Arial" w:cs="Arial"/>
        </w:rPr>
        <w:t>la</w:t>
      </w:r>
      <w:r w:rsidRPr="00997CDD">
        <w:rPr>
          <w:rFonts w:ascii="Arial" w:eastAsia="Arial" w:hAnsi="Arial" w:cs="Arial"/>
        </w:rPr>
        <w:t xml:space="preserve"> demandante sustentó sus pretensiones en meras suposiciones y no allegó ningún medio probatorio que permitiera demostrar que ejercía una actividad productiva al momento de los hechos</w:t>
      </w:r>
      <w:r>
        <w:rPr>
          <w:rFonts w:ascii="Arial" w:eastAsia="Arial" w:hAnsi="Arial" w:cs="Arial"/>
        </w:rPr>
        <w:t>, que como</w:t>
      </w:r>
      <w:r w:rsidRPr="00997CDD">
        <w:rPr>
          <w:rFonts w:ascii="Arial" w:eastAsia="Arial" w:hAnsi="Arial" w:cs="Arial"/>
        </w:rPr>
        <w:t xml:space="preserve"> consecuencia de ella recibía una remuneración</w:t>
      </w:r>
      <w:r>
        <w:rPr>
          <w:rFonts w:ascii="Arial" w:eastAsia="Arial" w:hAnsi="Arial" w:cs="Arial"/>
        </w:rPr>
        <w:t xml:space="preserve"> y así como tampoco la suma cierta y determinada de esa remuneración</w:t>
      </w:r>
      <w:r w:rsidRPr="00997CDD">
        <w:rPr>
          <w:rFonts w:ascii="Arial" w:eastAsia="Arial" w:hAnsi="Arial" w:cs="Arial"/>
        </w:rPr>
        <w:t>, por lo que, cualquier indemnización de este perjuicio resultaría insostenible y exagerada</w:t>
      </w:r>
      <w:r w:rsidR="009368E0">
        <w:rPr>
          <w:rFonts w:ascii="Arial" w:eastAsia="Arial" w:hAnsi="Arial" w:cs="Arial"/>
        </w:rPr>
        <w:t xml:space="preserve">, situación que </w:t>
      </w:r>
      <w:r w:rsidR="00C55283">
        <w:rPr>
          <w:rFonts w:ascii="Arial" w:eastAsia="Arial" w:hAnsi="Arial" w:cs="Arial"/>
        </w:rPr>
        <w:t xml:space="preserve">ya fue advertida en su momento por los jueces de instancia, por lo que resulta incomprensible que </w:t>
      </w:r>
      <w:r w:rsidR="00050BD2">
        <w:rPr>
          <w:rFonts w:ascii="Arial" w:eastAsia="Arial" w:hAnsi="Arial" w:cs="Arial"/>
        </w:rPr>
        <w:t xml:space="preserve">en el escenario en el que se da la liquidación, </w:t>
      </w:r>
      <w:r w:rsidR="004A3C6B">
        <w:rPr>
          <w:rFonts w:ascii="Arial" w:eastAsia="Arial" w:hAnsi="Arial" w:cs="Arial"/>
        </w:rPr>
        <w:t>no se haya hecho uso por el juzgador, de la facultad oficiosa de decretar las pruebas necesarias para determinar los valores ciertos y reales percibidos por la demandante a efectos de liquidar los perjuicios materiales, tal como sí se hizo con la pérdida de capacidad laboral</w:t>
      </w:r>
      <w:r w:rsidRPr="00997CDD">
        <w:rPr>
          <w:rFonts w:ascii="Arial" w:eastAsia="Arial" w:hAnsi="Arial" w:cs="Arial"/>
        </w:rPr>
        <w:t>.</w:t>
      </w:r>
    </w:p>
    <w:p w14:paraId="78180268" w14:textId="77777777" w:rsidR="00436520" w:rsidRDefault="00436520" w:rsidP="00927A5D">
      <w:pPr>
        <w:spacing w:after="0" w:line="312" w:lineRule="auto"/>
        <w:jc w:val="both"/>
        <w:rPr>
          <w:rFonts w:ascii="Arial" w:eastAsia="Arial" w:hAnsi="Arial" w:cs="Arial"/>
        </w:rPr>
      </w:pPr>
    </w:p>
    <w:p w14:paraId="4C21457E" w14:textId="70F012D2" w:rsidR="00436520" w:rsidRPr="00A01564" w:rsidRDefault="005A049B" w:rsidP="004E6A94">
      <w:pPr>
        <w:pStyle w:val="Prrafodelista"/>
        <w:numPr>
          <w:ilvl w:val="0"/>
          <w:numId w:val="5"/>
        </w:numPr>
        <w:spacing w:after="0" w:line="312" w:lineRule="auto"/>
        <w:jc w:val="both"/>
        <w:rPr>
          <w:rFonts w:ascii="Arial" w:eastAsia="Arial" w:hAnsi="Arial" w:cs="Arial"/>
          <w:b/>
          <w:bCs/>
        </w:rPr>
      </w:pPr>
      <w:r>
        <w:rPr>
          <w:rFonts w:ascii="Arial" w:eastAsia="Arial" w:hAnsi="Arial" w:cs="Arial"/>
          <w:b/>
          <w:bCs/>
          <w:lang w:val="es-ES"/>
        </w:rPr>
        <w:t xml:space="preserve">EN LA LIQUIDACIÓN </w:t>
      </w:r>
      <w:r w:rsidR="0016174C">
        <w:rPr>
          <w:rFonts w:ascii="Arial" w:eastAsia="Arial" w:hAnsi="Arial" w:cs="Arial"/>
          <w:b/>
          <w:bCs/>
          <w:lang w:val="es-ES"/>
        </w:rPr>
        <w:t xml:space="preserve">SE OMITIÓ </w:t>
      </w:r>
      <w:r>
        <w:rPr>
          <w:rFonts w:ascii="Arial" w:eastAsia="Arial" w:hAnsi="Arial" w:cs="Arial"/>
          <w:b/>
          <w:bCs/>
          <w:lang w:val="es-ES"/>
        </w:rPr>
        <w:t xml:space="preserve">TENER EN CUENTA </w:t>
      </w:r>
      <w:r w:rsidR="0016174C">
        <w:rPr>
          <w:rFonts w:ascii="Arial" w:eastAsia="Arial" w:hAnsi="Arial" w:cs="Arial"/>
          <w:b/>
          <w:bCs/>
          <w:lang w:val="es-ES"/>
        </w:rPr>
        <w:t xml:space="preserve">LA </w:t>
      </w:r>
      <w:r w:rsidR="00436520" w:rsidRPr="00A01564">
        <w:rPr>
          <w:rFonts w:ascii="Arial" w:eastAsia="Arial" w:hAnsi="Arial" w:cs="Arial"/>
          <w:b/>
          <w:bCs/>
          <w:lang w:val="es-ES"/>
        </w:rPr>
        <w:t xml:space="preserve">EXISTENCIA DE UN DEDUCIBLE </w:t>
      </w:r>
      <w:r w:rsidR="0016174C">
        <w:rPr>
          <w:rFonts w:ascii="Arial" w:eastAsia="Arial" w:hAnsi="Arial" w:cs="Arial"/>
          <w:b/>
          <w:bCs/>
          <w:lang w:val="es-ES"/>
        </w:rPr>
        <w:t xml:space="preserve">QUE FUE </w:t>
      </w:r>
      <w:r w:rsidR="00436520" w:rsidRPr="00A01564">
        <w:rPr>
          <w:rFonts w:ascii="Arial" w:eastAsia="Arial" w:hAnsi="Arial" w:cs="Arial"/>
          <w:b/>
          <w:bCs/>
          <w:lang w:val="es-ES"/>
        </w:rPr>
        <w:t xml:space="preserve">PACTADO EN LA </w:t>
      </w:r>
      <w:r w:rsidR="00436520" w:rsidRPr="00A01564">
        <w:rPr>
          <w:rFonts w:ascii="Arial" w:hAnsi="Arial" w:cs="Arial"/>
          <w:b/>
          <w:bCs/>
        </w:rPr>
        <w:t xml:space="preserve">PÓLIZA DE No. </w:t>
      </w:r>
      <w:r w:rsidR="004E6A94" w:rsidRPr="004E6A94">
        <w:rPr>
          <w:rFonts w:ascii="Arial" w:hAnsi="Arial" w:cs="Arial"/>
          <w:b/>
          <w:bCs/>
        </w:rPr>
        <w:t>1518111007419</w:t>
      </w:r>
    </w:p>
    <w:p w14:paraId="711369D0" w14:textId="77777777" w:rsidR="006C326D" w:rsidRDefault="006C326D" w:rsidP="006C326D">
      <w:pPr>
        <w:spacing w:after="0" w:line="312" w:lineRule="auto"/>
        <w:jc w:val="both"/>
        <w:rPr>
          <w:rFonts w:ascii="Arial" w:eastAsia="Arial" w:hAnsi="Arial" w:cs="Arial"/>
          <w:color w:val="000000" w:themeColor="text1"/>
        </w:rPr>
      </w:pPr>
    </w:p>
    <w:p w14:paraId="368F3907" w14:textId="2BC13F01" w:rsidR="00436520" w:rsidRDefault="00436520" w:rsidP="006C326D">
      <w:pPr>
        <w:spacing w:after="0"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Es preciso </w:t>
      </w:r>
      <w:r w:rsidR="006C326D">
        <w:rPr>
          <w:rFonts w:ascii="Arial" w:eastAsia="Arial" w:hAnsi="Arial" w:cs="Arial"/>
          <w:color w:val="000000" w:themeColor="text1"/>
        </w:rPr>
        <w:t>reitera</w:t>
      </w:r>
      <w:r w:rsidRPr="004551BE">
        <w:rPr>
          <w:rFonts w:ascii="Arial" w:eastAsia="Arial" w:hAnsi="Arial" w:cs="Arial"/>
          <w:color w:val="000000" w:themeColor="text1"/>
        </w:rPr>
        <w:t xml:space="preserve">r al despacho, </w:t>
      </w:r>
      <w:r w:rsidR="006C326D">
        <w:rPr>
          <w:rFonts w:ascii="Arial" w:eastAsia="Arial" w:hAnsi="Arial" w:cs="Arial"/>
          <w:color w:val="000000" w:themeColor="text1"/>
        </w:rPr>
        <w:t>al momento de liquidar la condena y</w:t>
      </w:r>
      <w:r w:rsidRPr="004551BE">
        <w:rPr>
          <w:rFonts w:ascii="Arial" w:eastAsia="Arial" w:hAnsi="Arial" w:cs="Arial"/>
          <w:color w:val="000000" w:themeColor="text1"/>
        </w:rPr>
        <w:t xml:space="preserve"> afectar el contrato de seguro expedido por mi procurada, </w:t>
      </w:r>
      <w:r w:rsidR="006C326D">
        <w:rPr>
          <w:rFonts w:ascii="Arial" w:eastAsia="Arial" w:hAnsi="Arial" w:cs="Arial"/>
          <w:color w:val="000000" w:themeColor="text1"/>
        </w:rPr>
        <w:t xml:space="preserve">debía tenerse en cuenta respecto de ésta última, que </w:t>
      </w:r>
      <w:r w:rsidRPr="004551BE">
        <w:rPr>
          <w:rFonts w:ascii="Arial" w:eastAsia="Arial" w:hAnsi="Arial" w:cs="Arial"/>
          <w:color w:val="000000" w:themeColor="text1"/>
        </w:rPr>
        <w:t>en el mismo se pactó un deducible, el cual se traduce en una porción del siniestro que en todo caso debe ser asumido por cuenta propia del asegurado.</w:t>
      </w:r>
      <w:r w:rsidR="006C326D">
        <w:rPr>
          <w:rFonts w:ascii="Arial" w:eastAsia="Arial" w:hAnsi="Arial" w:cs="Arial"/>
          <w:color w:val="000000" w:themeColor="text1"/>
        </w:rPr>
        <w:t xml:space="preserve"> Al respecto dice el contrato de seguro lo siguiente:</w:t>
      </w:r>
      <w:r w:rsidRPr="004551BE">
        <w:rPr>
          <w:rFonts w:ascii="Arial" w:eastAsia="Arial" w:hAnsi="Arial" w:cs="Arial"/>
          <w:color w:val="000000" w:themeColor="text1"/>
        </w:rPr>
        <w:t xml:space="preserve"> </w:t>
      </w:r>
    </w:p>
    <w:p w14:paraId="5FBE52C2" w14:textId="77777777" w:rsidR="006C326D" w:rsidRPr="006C326D" w:rsidRDefault="006C326D" w:rsidP="006C326D">
      <w:pPr>
        <w:spacing w:after="0" w:line="312" w:lineRule="auto"/>
        <w:jc w:val="both"/>
        <w:rPr>
          <w:rFonts w:ascii="Arial" w:eastAsia="Arial" w:hAnsi="Arial" w:cs="Arial"/>
          <w:color w:val="000000" w:themeColor="text1"/>
        </w:rPr>
      </w:pPr>
    </w:p>
    <w:p w14:paraId="2F8B880D" w14:textId="30DB54AA" w:rsidR="00436520" w:rsidRPr="004551BE" w:rsidRDefault="006C326D" w:rsidP="006C326D">
      <w:pPr>
        <w:spacing w:after="0" w:line="312" w:lineRule="auto"/>
        <w:jc w:val="both"/>
        <w:rPr>
          <w:rFonts w:ascii="Arial" w:hAnsi="Arial" w:cs="Arial"/>
        </w:rPr>
      </w:pPr>
      <w:r w:rsidRPr="006C326D">
        <w:rPr>
          <w:rFonts w:ascii="Arial" w:hAnsi="Arial" w:cs="Arial"/>
          <w:noProof/>
        </w:rPr>
        <w:drawing>
          <wp:inline distT="0" distB="0" distL="0" distR="0" wp14:anchorId="694BCBD5" wp14:editId="072DE17E">
            <wp:extent cx="6116320" cy="628650"/>
            <wp:effectExtent l="0" t="0" r="0" b="0"/>
            <wp:docPr id="1992194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94917" name=""/>
                    <pic:cNvPicPr/>
                  </pic:nvPicPr>
                  <pic:blipFill>
                    <a:blip r:embed="rId10"/>
                    <a:stretch>
                      <a:fillRect/>
                    </a:stretch>
                  </pic:blipFill>
                  <pic:spPr>
                    <a:xfrm>
                      <a:off x="0" y="0"/>
                      <a:ext cx="6116320" cy="628650"/>
                    </a:xfrm>
                    <a:prstGeom prst="rect">
                      <a:avLst/>
                    </a:prstGeom>
                  </pic:spPr>
                </pic:pic>
              </a:graphicData>
            </a:graphic>
          </wp:inline>
        </w:drawing>
      </w:r>
    </w:p>
    <w:p w14:paraId="0A3A2F2C" w14:textId="77777777" w:rsidR="006C326D" w:rsidRDefault="006C326D" w:rsidP="00436520">
      <w:pPr>
        <w:spacing w:line="312" w:lineRule="auto"/>
        <w:jc w:val="both"/>
        <w:rPr>
          <w:rFonts w:ascii="Arial" w:eastAsia="Arial" w:hAnsi="Arial" w:cs="Arial"/>
          <w:color w:val="000000" w:themeColor="text1"/>
        </w:rPr>
      </w:pPr>
    </w:p>
    <w:p w14:paraId="71502F06" w14:textId="3CBBD18A" w:rsidR="00436520" w:rsidRPr="004551BE" w:rsidRDefault="0059226D" w:rsidP="00436520">
      <w:pPr>
        <w:spacing w:line="312" w:lineRule="auto"/>
        <w:jc w:val="both"/>
        <w:rPr>
          <w:rFonts w:ascii="Arial" w:eastAsia="Arial" w:hAnsi="Arial" w:cs="Arial"/>
          <w:color w:val="000000" w:themeColor="text1"/>
        </w:rPr>
      </w:pPr>
      <w:r>
        <w:rPr>
          <w:rFonts w:ascii="Arial" w:eastAsia="Arial" w:hAnsi="Arial" w:cs="Arial"/>
          <w:color w:val="000000" w:themeColor="text1"/>
        </w:rPr>
        <w:t xml:space="preserve">Sobre este tema </w:t>
      </w:r>
      <w:r w:rsidR="00B02553">
        <w:rPr>
          <w:rFonts w:ascii="Arial" w:eastAsia="Arial" w:hAnsi="Arial" w:cs="Arial"/>
          <w:color w:val="000000" w:themeColor="text1"/>
        </w:rPr>
        <w:t xml:space="preserve">del deducible, </w:t>
      </w:r>
      <w:r w:rsidR="00436520" w:rsidRPr="004551BE">
        <w:rPr>
          <w:rFonts w:ascii="Arial" w:eastAsia="Arial" w:hAnsi="Arial" w:cs="Arial"/>
          <w:color w:val="000000" w:themeColor="text1"/>
        </w:rPr>
        <w:t xml:space="preserve">la Superintendencia Financiera de Colombia ha dicho: </w:t>
      </w:r>
    </w:p>
    <w:p w14:paraId="2C290034" w14:textId="77777777" w:rsidR="00436520" w:rsidRPr="004551BE" w:rsidRDefault="00436520" w:rsidP="006C2D31">
      <w:pPr>
        <w:spacing w:after="0" w:line="312" w:lineRule="auto"/>
        <w:ind w:left="567"/>
        <w:jc w:val="both"/>
        <w:rPr>
          <w:rFonts w:ascii="Arial" w:eastAsia="Arial" w:hAnsi="Arial" w:cs="Arial"/>
          <w:color w:val="000000" w:themeColor="text1"/>
          <w:sz w:val="20"/>
          <w:szCs w:val="20"/>
        </w:rPr>
      </w:pPr>
    </w:p>
    <w:p w14:paraId="3BF98AA8" w14:textId="77777777" w:rsidR="00436520" w:rsidRPr="00EA1722" w:rsidRDefault="00436520" w:rsidP="006C2D31">
      <w:pPr>
        <w:spacing w:after="0" w:line="312" w:lineRule="auto"/>
        <w:ind w:left="567" w:right="567"/>
        <w:jc w:val="both"/>
        <w:rPr>
          <w:rFonts w:ascii="Arial" w:eastAsia="Arial" w:hAnsi="Arial" w:cs="Arial"/>
          <w:i/>
          <w:iCs/>
          <w:color w:val="000000" w:themeColor="text1"/>
          <w:sz w:val="20"/>
          <w:szCs w:val="20"/>
        </w:rPr>
      </w:pPr>
      <w:r w:rsidRPr="00EA1722">
        <w:rPr>
          <w:rFonts w:ascii="Arial" w:eastAsia="Arial" w:hAnsi="Arial" w:cs="Arial"/>
          <w:i/>
          <w:iCs/>
          <w:color w:val="000000" w:themeColor="text1"/>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39150FA7" w14:textId="77777777" w:rsidR="006C2D31" w:rsidRDefault="006C2D31" w:rsidP="006C2D31">
      <w:pPr>
        <w:spacing w:after="0" w:line="312" w:lineRule="auto"/>
        <w:ind w:left="567" w:right="567"/>
        <w:jc w:val="both"/>
        <w:rPr>
          <w:rFonts w:ascii="Arial" w:eastAsia="Arial" w:hAnsi="Arial" w:cs="Arial"/>
          <w:i/>
          <w:iCs/>
          <w:color w:val="000000" w:themeColor="text1"/>
          <w:sz w:val="20"/>
          <w:szCs w:val="20"/>
        </w:rPr>
      </w:pPr>
    </w:p>
    <w:p w14:paraId="624200BF" w14:textId="70EFC2E7" w:rsidR="00436520" w:rsidRPr="00EA1722" w:rsidRDefault="00436520" w:rsidP="006C2D31">
      <w:pPr>
        <w:spacing w:after="0" w:line="312" w:lineRule="auto"/>
        <w:ind w:left="567" w:right="567"/>
        <w:jc w:val="both"/>
        <w:rPr>
          <w:rFonts w:ascii="Arial" w:eastAsia="Arial" w:hAnsi="Arial" w:cs="Arial"/>
          <w:i/>
          <w:iCs/>
          <w:color w:val="000000" w:themeColor="text1"/>
          <w:sz w:val="20"/>
          <w:szCs w:val="20"/>
        </w:rPr>
      </w:pPr>
      <w:r w:rsidRPr="00EA1722">
        <w:rPr>
          <w:rFonts w:ascii="Arial" w:eastAsia="Arial" w:hAnsi="Arial" w:cs="Arial"/>
          <w:i/>
          <w:iCs/>
          <w:color w:val="000000" w:themeColor="text1"/>
          <w:sz w:val="20"/>
          <w:szCs w:val="20"/>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p>
    <w:p w14:paraId="192384C4" w14:textId="77777777" w:rsidR="00436520" w:rsidRPr="00EA1722" w:rsidRDefault="00436520" w:rsidP="006C2D31">
      <w:pPr>
        <w:spacing w:after="0" w:line="312" w:lineRule="auto"/>
        <w:ind w:left="567" w:right="567"/>
        <w:jc w:val="both"/>
        <w:rPr>
          <w:rFonts w:ascii="Arial" w:eastAsia="Aptos" w:hAnsi="Arial" w:cs="Arial"/>
          <w:i/>
          <w:iCs/>
          <w:color w:val="000000" w:themeColor="text1"/>
        </w:rPr>
      </w:pPr>
    </w:p>
    <w:p w14:paraId="02A923D4" w14:textId="77777777" w:rsidR="00436520" w:rsidRPr="00EA1722" w:rsidRDefault="00436520" w:rsidP="006C2D31">
      <w:pPr>
        <w:spacing w:after="0" w:line="312" w:lineRule="auto"/>
        <w:ind w:left="567" w:right="567"/>
        <w:jc w:val="both"/>
        <w:rPr>
          <w:rFonts w:ascii="Arial" w:eastAsia="Arial" w:hAnsi="Arial" w:cs="Arial"/>
          <w:i/>
          <w:iCs/>
          <w:color w:val="000000" w:themeColor="text1"/>
          <w:sz w:val="20"/>
          <w:szCs w:val="20"/>
        </w:rPr>
      </w:pPr>
      <w:r w:rsidRPr="00EA1722">
        <w:rPr>
          <w:rFonts w:ascii="Arial" w:eastAsia="Arial" w:hAnsi="Arial" w:cs="Arial"/>
          <w:i/>
          <w:iCs/>
          <w:color w:val="000000" w:themeColor="text1"/>
          <w:sz w:val="20"/>
          <w:szCs w:val="20"/>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2DD04094" w14:textId="77777777" w:rsidR="00436520" w:rsidRPr="00EA1722" w:rsidRDefault="00436520" w:rsidP="006C2D31">
      <w:pPr>
        <w:spacing w:after="0" w:line="312" w:lineRule="auto"/>
        <w:ind w:left="567" w:right="567"/>
        <w:jc w:val="both"/>
        <w:rPr>
          <w:rFonts w:ascii="Arial" w:eastAsia="Arial" w:hAnsi="Arial" w:cs="Arial"/>
          <w:i/>
          <w:iCs/>
          <w:color w:val="000000" w:themeColor="text1"/>
          <w:sz w:val="20"/>
          <w:szCs w:val="20"/>
        </w:rPr>
      </w:pPr>
    </w:p>
    <w:p w14:paraId="294A28F7" w14:textId="77777777" w:rsidR="00436520" w:rsidRPr="004551BE" w:rsidRDefault="00436520" w:rsidP="006F61F7">
      <w:pPr>
        <w:spacing w:after="0" w:line="312" w:lineRule="auto"/>
        <w:ind w:left="567" w:right="567"/>
        <w:jc w:val="both"/>
        <w:rPr>
          <w:rFonts w:ascii="Arial" w:eastAsia="Arial" w:hAnsi="Arial" w:cs="Arial"/>
          <w:color w:val="000000" w:themeColor="text1"/>
          <w:sz w:val="20"/>
          <w:szCs w:val="20"/>
          <w:vertAlign w:val="superscript"/>
        </w:rPr>
      </w:pPr>
      <w:r w:rsidRPr="00EA1722">
        <w:rPr>
          <w:rFonts w:ascii="Arial" w:eastAsia="Arial" w:hAnsi="Arial" w:cs="Arial"/>
          <w:i/>
          <w:iCs/>
          <w:color w:val="000000" w:themeColor="text1"/>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Pr="004551BE">
        <w:rPr>
          <w:rFonts w:ascii="Arial" w:eastAsia="Arial" w:hAnsi="Arial" w:cs="Arial"/>
          <w:color w:val="000000" w:themeColor="text1"/>
          <w:sz w:val="20"/>
          <w:szCs w:val="20"/>
        </w:rPr>
        <w:t>.</w:t>
      </w:r>
      <w:r w:rsidRPr="004551BE">
        <w:rPr>
          <w:rStyle w:val="Refdenotaalpie"/>
          <w:rFonts w:ascii="Arial" w:eastAsia="Arial" w:hAnsi="Arial" w:cs="Arial"/>
          <w:color w:val="000000" w:themeColor="text1"/>
        </w:rPr>
        <w:footnoteReference w:id="4"/>
      </w:r>
    </w:p>
    <w:p w14:paraId="64AD00A2" w14:textId="77777777" w:rsidR="006F61F7" w:rsidRDefault="006F61F7" w:rsidP="006F61F7">
      <w:pPr>
        <w:spacing w:after="0" w:line="312" w:lineRule="auto"/>
        <w:jc w:val="both"/>
        <w:rPr>
          <w:rFonts w:ascii="Arial" w:eastAsia="Arial" w:hAnsi="Arial" w:cs="Arial"/>
          <w:color w:val="000000" w:themeColor="text1"/>
        </w:rPr>
      </w:pPr>
    </w:p>
    <w:p w14:paraId="609C7F96" w14:textId="2D4568CD" w:rsidR="00436520" w:rsidRPr="004551BE" w:rsidRDefault="00436520" w:rsidP="00436520">
      <w:pPr>
        <w:spacing w:line="312" w:lineRule="auto"/>
        <w:jc w:val="both"/>
        <w:rPr>
          <w:rFonts w:ascii="Arial" w:eastAsia="Arial" w:hAnsi="Arial" w:cs="Arial"/>
          <w:color w:val="000000" w:themeColor="text1"/>
        </w:rPr>
      </w:pPr>
      <w:r w:rsidRPr="004551BE">
        <w:rPr>
          <w:rFonts w:ascii="Arial" w:eastAsia="Arial" w:hAnsi="Arial" w:cs="Arial"/>
          <w:color w:val="000000" w:themeColor="text1"/>
        </w:rPr>
        <w:t xml:space="preserve">De esta manera, en la </w:t>
      </w:r>
      <w:r w:rsidRPr="00087866">
        <w:rPr>
          <w:rFonts w:ascii="Arial" w:eastAsia="Arial" w:hAnsi="Arial" w:cs="Arial"/>
          <w:b/>
          <w:bCs/>
          <w:color w:val="000000" w:themeColor="text1"/>
        </w:rPr>
        <w:t xml:space="preserve">Póliza No. </w:t>
      </w:r>
      <w:r w:rsidR="006F61F7" w:rsidRPr="004E6A94">
        <w:rPr>
          <w:rFonts w:ascii="Arial" w:hAnsi="Arial" w:cs="Arial"/>
          <w:b/>
          <w:bCs/>
        </w:rPr>
        <w:t>1518111007419</w:t>
      </w:r>
      <w:r w:rsidRPr="004551BE">
        <w:rPr>
          <w:rFonts w:ascii="Arial" w:eastAsia="Arial" w:hAnsi="Arial" w:cs="Arial"/>
          <w:color w:val="000000" w:themeColor="text1"/>
        </w:rPr>
        <w:t xml:space="preserve"> se pactó un deducible para el amparo de </w:t>
      </w:r>
      <w:r w:rsidR="006F61F7">
        <w:rPr>
          <w:rFonts w:ascii="Arial" w:eastAsia="Arial" w:hAnsi="Arial" w:cs="Arial"/>
          <w:color w:val="000000" w:themeColor="text1"/>
        </w:rPr>
        <w:t>Responsabilidad Civil Extracontractual</w:t>
      </w:r>
      <w:r>
        <w:rPr>
          <w:rFonts w:ascii="Arial" w:eastAsia="Arial" w:hAnsi="Arial" w:cs="Arial"/>
          <w:color w:val="000000" w:themeColor="text1"/>
        </w:rPr>
        <w:t>, el cual equivale al</w:t>
      </w:r>
      <w:r w:rsidRPr="004551BE">
        <w:rPr>
          <w:rFonts w:ascii="Arial" w:eastAsia="Arial" w:hAnsi="Arial" w:cs="Arial"/>
          <w:b/>
          <w:bCs/>
          <w:color w:val="000000" w:themeColor="text1"/>
        </w:rPr>
        <w:t xml:space="preserve"> </w:t>
      </w:r>
      <w:r w:rsidR="006F61F7">
        <w:rPr>
          <w:rFonts w:ascii="Arial" w:eastAsia="Arial" w:hAnsi="Arial" w:cs="Arial"/>
          <w:b/>
          <w:bCs/>
          <w:color w:val="000000" w:themeColor="text1"/>
        </w:rPr>
        <w:t>diez</w:t>
      </w:r>
      <w:r>
        <w:rPr>
          <w:rFonts w:ascii="Arial" w:eastAsia="Arial" w:hAnsi="Arial" w:cs="Arial"/>
          <w:b/>
          <w:bCs/>
          <w:color w:val="000000" w:themeColor="text1"/>
        </w:rPr>
        <w:t xml:space="preserve"> por ciento (</w:t>
      </w:r>
      <w:r w:rsidR="006F61F7">
        <w:rPr>
          <w:rFonts w:ascii="Arial" w:eastAsia="Arial" w:hAnsi="Arial" w:cs="Arial"/>
          <w:b/>
          <w:bCs/>
          <w:color w:val="000000" w:themeColor="text1"/>
        </w:rPr>
        <w:t>10</w:t>
      </w:r>
      <w:r w:rsidRPr="004551BE">
        <w:rPr>
          <w:rFonts w:ascii="Arial" w:eastAsia="Arial" w:hAnsi="Arial" w:cs="Arial"/>
          <w:b/>
          <w:bCs/>
          <w:color w:val="000000" w:themeColor="text1"/>
        </w:rPr>
        <w:t>%</w:t>
      </w:r>
      <w:r>
        <w:rPr>
          <w:rFonts w:ascii="Arial" w:eastAsia="Arial" w:hAnsi="Arial" w:cs="Arial"/>
          <w:b/>
          <w:bCs/>
          <w:color w:val="000000" w:themeColor="text1"/>
        </w:rPr>
        <w:t>)</w:t>
      </w:r>
      <w:r w:rsidRPr="004551BE">
        <w:rPr>
          <w:rFonts w:ascii="Arial" w:eastAsia="Arial" w:hAnsi="Arial" w:cs="Arial"/>
          <w:b/>
          <w:bCs/>
          <w:color w:val="000000" w:themeColor="text1"/>
        </w:rPr>
        <w:t xml:space="preserve"> del valor de la pérdida</w:t>
      </w:r>
      <w:r>
        <w:rPr>
          <w:rFonts w:ascii="Arial" w:eastAsia="Arial" w:hAnsi="Arial" w:cs="Arial"/>
          <w:b/>
          <w:bCs/>
          <w:color w:val="000000" w:themeColor="text1"/>
        </w:rPr>
        <w:t xml:space="preserve"> o </w:t>
      </w:r>
      <w:r w:rsidRPr="004551BE">
        <w:rPr>
          <w:rFonts w:ascii="Arial" w:eastAsia="Arial" w:hAnsi="Arial" w:cs="Arial"/>
          <w:b/>
          <w:bCs/>
          <w:color w:val="000000" w:themeColor="text1"/>
        </w:rPr>
        <w:t xml:space="preserve">mínimo </w:t>
      </w:r>
      <w:r w:rsidR="006F61F7">
        <w:rPr>
          <w:rFonts w:ascii="Arial" w:eastAsia="Arial" w:hAnsi="Arial" w:cs="Arial"/>
          <w:b/>
          <w:bCs/>
          <w:color w:val="000000" w:themeColor="text1"/>
        </w:rPr>
        <w:t>1</w:t>
      </w:r>
      <w:r w:rsidRPr="004551BE">
        <w:rPr>
          <w:rFonts w:ascii="Arial" w:eastAsia="Arial" w:hAnsi="Arial" w:cs="Arial"/>
          <w:b/>
          <w:bCs/>
          <w:color w:val="000000" w:themeColor="text1"/>
        </w:rPr>
        <w:t xml:space="preserve"> SMMLV</w:t>
      </w:r>
      <w:r w:rsidRPr="00BD4D57">
        <w:rPr>
          <w:rFonts w:ascii="Arial" w:eastAsia="Arial" w:hAnsi="Arial" w:cs="Arial"/>
          <w:color w:val="000000" w:themeColor="text1"/>
        </w:rPr>
        <w:t>,</w:t>
      </w:r>
      <w:r w:rsidRPr="004551BE">
        <w:rPr>
          <w:rFonts w:ascii="Arial" w:eastAsia="Arial" w:hAnsi="Arial" w:cs="Arial"/>
          <w:b/>
          <w:bCs/>
          <w:color w:val="000000" w:themeColor="text1"/>
        </w:rPr>
        <w:t xml:space="preserve"> </w:t>
      </w:r>
      <w:r w:rsidRPr="004551BE">
        <w:rPr>
          <w:rFonts w:ascii="Arial" w:eastAsia="Arial" w:hAnsi="Arial" w:cs="Arial"/>
          <w:color w:val="000000" w:themeColor="text1"/>
        </w:rPr>
        <w:t xml:space="preserve">por lo que, al momento de proferir </w:t>
      </w:r>
      <w:r w:rsidR="001235F6">
        <w:rPr>
          <w:rFonts w:ascii="Arial" w:eastAsia="Arial" w:hAnsi="Arial" w:cs="Arial"/>
          <w:color w:val="000000" w:themeColor="text1"/>
        </w:rPr>
        <w:t>la liquidación que objetivara la condena en abstracto,</w:t>
      </w:r>
      <w:r w:rsidRPr="004551BE">
        <w:rPr>
          <w:rFonts w:ascii="Arial" w:eastAsia="Arial" w:hAnsi="Arial" w:cs="Arial"/>
          <w:color w:val="000000" w:themeColor="text1"/>
        </w:rPr>
        <w:t xml:space="preserve"> deb</w:t>
      </w:r>
      <w:r w:rsidR="001235F6">
        <w:rPr>
          <w:rFonts w:ascii="Arial" w:eastAsia="Arial" w:hAnsi="Arial" w:cs="Arial"/>
          <w:color w:val="000000" w:themeColor="text1"/>
        </w:rPr>
        <w:t>ió</w:t>
      </w:r>
      <w:r w:rsidRPr="004551BE">
        <w:rPr>
          <w:rFonts w:ascii="Arial" w:eastAsia="Arial" w:hAnsi="Arial" w:cs="Arial"/>
          <w:color w:val="000000" w:themeColor="text1"/>
        </w:rPr>
        <w:t xml:space="preserve"> tenerse en cuenta el deducible pactado</w:t>
      </w:r>
      <w:r w:rsidR="006354B1">
        <w:rPr>
          <w:rFonts w:ascii="Arial" w:eastAsia="Arial" w:hAnsi="Arial" w:cs="Arial"/>
          <w:color w:val="000000" w:themeColor="text1"/>
        </w:rPr>
        <w:t xml:space="preserve">, situación que no se avizora, más allá de la mención aislada que se hizo del cumplimiento de los </w:t>
      </w:r>
      <w:r w:rsidR="00D733E9">
        <w:rPr>
          <w:rFonts w:ascii="Arial" w:eastAsia="Arial" w:hAnsi="Arial" w:cs="Arial"/>
          <w:color w:val="000000" w:themeColor="text1"/>
        </w:rPr>
        <w:t>por menores del contrato de seguro</w:t>
      </w:r>
      <w:r w:rsidRPr="004551BE">
        <w:rPr>
          <w:rFonts w:ascii="Arial" w:eastAsia="Arial" w:hAnsi="Arial" w:cs="Arial"/>
          <w:color w:val="000000" w:themeColor="text1"/>
        </w:rPr>
        <w:t xml:space="preserve">. </w:t>
      </w:r>
    </w:p>
    <w:p w14:paraId="6ED79321" w14:textId="77777777" w:rsidR="00436520" w:rsidRPr="004551BE" w:rsidRDefault="00436520" w:rsidP="00436520">
      <w:pPr>
        <w:spacing w:line="312" w:lineRule="auto"/>
        <w:jc w:val="both"/>
        <w:rPr>
          <w:rFonts w:ascii="Arial" w:eastAsia="Arial" w:hAnsi="Arial" w:cs="Arial"/>
          <w:color w:val="000000" w:themeColor="text1"/>
        </w:rPr>
      </w:pPr>
    </w:p>
    <w:p w14:paraId="5E264295" w14:textId="4F65573D" w:rsidR="008739BB" w:rsidRPr="005B50D5" w:rsidRDefault="003C4B91" w:rsidP="00927A5D">
      <w:pPr>
        <w:pStyle w:val="Default"/>
        <w:spacing w:line="312" w:lineRule="auto"/>
        <w:jc w:val="both"/>
        <w:rPr>
          <w:color w:val="auto"/>
          <w:sz w:val="22"/>
          <w:szCs w:val="22"/>
        </w:rPr>
      </w:pPr>
      <w:r w:rsidRPr="005B50D5">
        <w:rPr>
          <w:color w:val="auto"/>
          <w:sz w:val="22"/>
          <w:szCs w:val="22"/>
        </w:rPr>
        <w:t xml:space="preserve">En </w:t>
      </w:r>
      <w:r w:rsidR="00E62A41" w:rsidRPr="005B50D5">
        <w:rPr>
          <w:color w:val="auto"/>
          <w:sz w:val="22"/>
          <w:szCs w:val="22"/>
        </w:rPr>
        <w:t>consecuencia</w:t>
      </w:r>
      <w:r w:rsidRPr="005B50D5">
        <w:rPr>
          <w:color w:val="auto"/>
          <w:sz w:val="22"/>
          <w:szCs w:val="22"/>
        </w:rPr>
        <w:t xml:space="preserve"> de </w:t>
      </w:r>
      <w:r w:rsidR="00D66C12">
        <w:rPr>
          <w:color w:val="auto"/>
          <w:sz w:val="22"/>
          <w:szCs w:val="22"/>
        </w:rPr>
        <w:t xml:space="preserve">todo </w:t>
      </w:r>
      <w:r w:rsidRPr="005B50D5">
        <w:rPr>
          <w:color w:val="auto"/>
          <w:sz w:val="22"/>
          <w:szCs w:val="22"/>
        </w:rPr>
        <w:t>lo expuesto</w:t>
      </w:r>
      <w:r w:rsidR="007728EB">
        <w:rPr>
          <w:color w:val="auto"/>
          <w:sz w:val="22"/>
          <w:szCs w:val="22"/>
        </w:rPr>
        <w:t>,</w:t>
      </w:r>
      <w:r w:rsidRPr="005B50D5">
        <w:rPr>
          <w:color w:val="auto"/>
          <w:sz w:val="22"/>
          <w:szCs w:val="22"/>
        </w:rPr>
        <w:t xml:space="preserve"> es necesario que el despacho </w:t>
      </w:r>
      <w:r w:rsidR="00254F4B">
        <w:rPr>
          <w:color w:val="auto"/>
          <w:sz w:val="22"/>
          <w:szCs w:val="22"/>
        </w:rPr>
        <w:t>reponga su decisión con el fin de liquidar correctamente los valores relativos a los daños materiales</w:t>
      </w:r>
      <w:r w:rsidR="007A61B2">
        <w:rPr>
          <w:color w:val="auto"/>
          <w:sz w:val="22"/>
          <w:szCs w:val="22"/>
        </w:rPr>
        <w:t>,</w:t>
      </w:r>
      <w:r w:rsidR="007728EB">
        <w:rPr>
          <w:color w:val="auto"/>
          <w:sz w:val="22"/>
          <w:szCs w:val="22"/>
        </w:rPr>
        <w:t xml:space="preserve"> </w:t>
      </w:r>
      <w:r w:rsidR="00254F4B">
        <w:rPr>
          <w:color w:val="auto"/>
          <w:sz w:val="22"/>
          <w:szCs w:val="22"/>
        </w:rPr>
        <w:t xml:space="preserve">y ello infiere que se haga </w:t>
      </w:r>
      <w:r w:rsidR="007A61B2">
        <w:rPr>
          <w:color w:val="auto"/>
          <w:sz w:val="22"/>
          <w:szCs w:val="22"/>
        </w:rPr>
        <w:t>haciendo uso de</w:t>
      </w:r>
      <w:r w:rsidR="00254F4B">
        <w:rPr>
          <w:color w:val="auto"/>
          <w:sz w:val="22"/>
          <w:szCs w:val="22"/>
        </w:rPr>
        <w:t xml:space="preserve"> lo que haya sido efectivamente probado como daño real y efectivo, y no </w:t>
      </w:r>
      <w:r w:rsidR="007A61B2">
        <w:rPr>
          <w:color w:val="auto"/>
          <w:sz w:val="22"/>
          <w:szCs w:val="22"/>
        </w:rPr>
        <w:t xml:space="preserve">lo que obre </w:t>
      </w:r>
      <w:r w:rsidR="00254F4B">
        <w:rPr>
          <w:color w:val="auto"/>
          <w:sz w:val="22"/>
          <w:szCs w:val="22"/>
        </w:rPr>
        <w:t xml:space="preserve">como meras suposiciones o conjeturas, para lo cual, en el caso de marras, al no estar probado el daño y haberse superado la etapa probatoria, corresponderá liquidar bajo la premisa de que el daño material es cero (0), </w:t>
      </w:r>
      <w:r w:rsidR="007A61B2">
        <w:rPr>
          <w:color w:val="auto"/>
          <w:sz w:val="22"/>
          <w:szCs w:val="22"/>
        </w:rPr>
        <w:t>lo cual deberá ser</w:t>
      </w:r>
      <w:r w:rsidR="00254F4B">
        <w:rPr>
          <w:color w:val="auto"/>
          <w:sz w:val="22"/>
          <w:szCs w:val="22"/>
        </w:rPr>
        <w:t xml:space="preserve"> aplica</w:t>
      </w:r>
      <w:r w:rsidR="007A61B2">
        <w:rPr>
          <w:color w:val="auto"/>
          <w:sz w:val="22"/>
          <w:szCs w:val="22"/>
        </w:rPr>
        <w:t>do</w:t>
      </w:r>
      <w:r w:rsidR="00254F4B">
        <w:rPr>
          <w:color w:val="auto"/>
          <w:sz w:val="22"/>
          <w:szCs w:val="22"/>
        </w:rPr>
        <w:t xml:space="preserve"> a la </w:t>
      </w:r>
      <w:r w:rsidR="00785743">
        <w:rPr>
          <w:color w:val="auto"/>
          <w:sz w:val="22"/>
          <w:szCs w:val="22"/>
        </w:rPr>
        <w:t>ecuación correspondiente</w:t>
      </w:r>
      <w:r w:rsidR="00DC03B5" w:rsidRPr="005B50D5">
        <w:rPr>
          <w:color w:val="auto"/>
          <w:sz w:val="22"/>
          <w:szCs w:val="22"/>
        </w:rPr>
        <w:t>.</w:t>
      </w:r>
      <w:r w:rsidR="007A61B2">
        <w:rPr>
          <w:color w:val="auto"/>
          <w:sz w:val="22"/>
          <w:szCs w:val="22"/>
        </w:rPr>
        <w:t xml:space="preserve"> De igual manera se deberá hacer mención en los resultados, al aspecto del deducible pactado en la póliza, el cual fue desconocido en la decisión.</w:t>
      </w:r>
    </w:p>
    <w:p w14:paraId="2C8C1DC3" w14:textId="77777777" w:rsidR="005D3412" w:rsidRPr="005B50D5" w:rsidRDefault="005D3412" w:rsidP="00927A5D">
      <w:pPr>
        <w:pStyle w:val="Default"/>
        <w:spacing w:line="312" w:lineRule="auto"/>
        <w:jc w:val="both"/>
        <w:rPr>
          <w:b/>
          <w:bCs/>
          <w:color w:val="auto"/>
          <w:sz w:val="22"/>
          <w:szCs w:val="22"/>
        </w:rPr>
      </w:pPr>
    </w:p>
    <w:p w14:paraId="45AF1E27" w14:textId="560F2273" w:rsidR="00560548" w:rsidRPr="005B50D5" w:rsidRDefault="005D3412" w:rsidP="00927A5D">
      <w:pPr>
        <w:pStyle w:val="Default"/>
        <w:spacing w:line="312" w:lineRule="auto"/>
        <w:jc w:val="both"/>
        <w:rPr>
          <w:color w:val="auto"/>
          <w:sz w:val="22"/>
          <w:szCs w:val="22"/>
        </w:rPr>
      </w:pPr>
      <w:r w:rsidRPr="005B50D5">
        <w:rPr>
          <w:color w:val="auto"/>
          <w:sz w:val="22"/>
          <w:szCs w:val="22"/>
        </w:rPr>
        <w:t xml:space="preserve">En conclusión, </w:t>
      </w:r>
      <w:r w:rsidR="00F70D49" w:rsidRPr="005B50D5">
        <w:rPr>
          <w:color w:val="auto"/>
          <w:sz w:val="22"/>
          <w:szCs w:val="22"/>
        </w:rPr>
        <w:t xml:space="preserve">el despacho deberá </w:t>
      </w:r>
      <w:r w:rsidR="00C84D77" w:rsidRPr="005B50D5">
        <w:rPr>
          <w:b/>
          <w:bCs/>
          <w:color w:val="auto"/>
          <w:sz w:val="22"/>
          <w:szCs w:val="22"/>
        </w:rPr>
        <w:t>REVOCAR</w:t>
      </w:r>
      <w:r w:rsidR="00C84D77" w:rsidRPr="005B50D5">
        <w:rPr>
          <w:color w:val="auto"/>
          <w:sz w:val="22"/>
          <w:szCs w:val="22"/>
        </w:rPr>
        <w:t xml:space="preserve"> el </w:t>
      </w:r>
      <w:r w:rsidR="00DA5B3A" w:rsidRPr="00DA5B3A">
        <w:rPr>
          <w:color w:val="auto"/>
          <w:sz w:val="22"/>
          <w:szCs w:val="22"/>
        </w:rPr>
        <w:t>Auto No. 0736 del 11 de junio de 2025</w:t>
      </w:r>
      <w:r w:rsidR="00C84D77" w:rsidRPr="005B50D5">
        <w:rPr>
          <w:color w:val="auto"/>
          <w:sz w:val="22"/>
          <w:szCs w:val="22"/>
        </w:rPr>
        <w:t xml:space="preserve"> ante </w:t>
      </w:r>
      <w:r w:rsidR="00E62A41" w:rsidRPr="005B50D5">
        <w:rPr>
          <w:color w:val="auto"/>
          <w:sz w:val="22"/>
          <w:szCs w:val="22"/>
        </w:rPr>
        <w:t>los evidentes yerros</w:t>
      </w:r>
      <w:r w:rsidR="00C84D77" w:rsidRPr="005B50D5">
        <w:rPr>
          <w:color w:val="auto"/>
          <w:sz w:val="22"/>
          <w:szCs w:val="22"/>
        </w:rPr>
        <w:t xml:space="preserve"> </w:t>
      </w:r>
      <w:r w:rsidR="00E62A41" w:rsidRPr="005B50D5">
        <w:rPr>
          <w:color w:val="auto"/>
          <w:sz w:val="22"/>
          <w:szCs w:val="22"/>
        </w:rPr>
        <w:t xml:space="preserve">tanto </w:t>
      </w:r>
      <w:r w:rsidR="00C84D77" w:rsidRPr="005B50D5">
        <w:rPr>
          <w:color w:val="auto"/>
          <w:sz w:val="22"/>
          <w:szCs w:val="22"/>
        </w:rPr>
        <w:t xml:space="preserve">jurídicos </w:t>
      </w:r>
      <w:r w:rsidR="00E62A41" w:rsidRPr="005B50D5">
        <w:rPr>
          <w:color w:val="auto"/>
          <w:sz w:val="22"/>
          <w:szCs w:val="22"/>
        </w:rPr>
        <w:t xml:space="preserve">como de valoración de los elementos facticos </w:t>
      </w:r>
      <w:r w:rsidR="00A93A57">
        <w:rPr>
          <w:color w:val="auto"/>
          <w:sz w:val="22"/>
          <w:szCs w:val="22"/>
        </w:rPr>
        <w:t>que llevaron a determinar valores con fundamento en presunciones y conjeturas</w:t>
      </w:r>
      <w:r w:rsidR="0039019A" w:rsidRPr="005B50D5">
        <w:rPr>
          <w:color w:val="auto"/>
          <w:sz w:val="22"/>
          <w:szCs w:val="22"/>
        </w:rPr>
        <w:t xml:space="preserve">. Por lo tanto, el fallador no tiene otra opción </w:t>
      </w:r>
      <w:r w:rsidR="006C703F" w:rsidRPr="005B50D5">
        <w:rPr>
          <w:color w:val="auto"/>
          <w:sz w:val="22"/>
          <w:szCs w:val="22"/>
        </w:rPr>
        <w:t>más</w:t>
      </w:r>
      <w:r w:rsidR="0039019A" w:rsidRPr="005B50D5">
        <w:rPr>
          <w:color w:val="auto"/>
          <w:sz w:val="22"/>
          <w:szCs w:val="22"/>
        </w:rPr>
        <w:t xml:space="preserve"> que </w:t>
      </w:r>
      <w:r w:rsidR="005F51E0" w:rsidRPr="005B50D5">
        <w:rPr>
          <w:color w:val="auto"/>
          <w:sz w:val="22"/>
          <w:szCs w:val="22"/>
        </w:rPr>
        <w:t>atender las solicitudes que a continuación se presentan</w:t>
      </w:r>
      <w:r w:rsidR="006C703F" w:rsidRPr="005B50D5">
        <w:rPr>
          <w:color w:val="auto"/>
          <w:sz w:val="22"/>
          <w:szCs w:val="22"/>
        </w:rPr>
        <w:t>.</w:t>
      </w:r>
    </w:p>
    <w:p w14:paraId="131FBA09" w14:textId="77777777" w:rsidR="002E183A" w:rsidRPr="005B50D5" w:rsidRDefault="002E183A" w:rsidP="00927A5D">
      <w:pPr>
        <w:spacing w:after="0" w:line="312" w:lineRule="auto"/>
        <w:jc w:val="both"/>
        <w:rPr>
          <w:rFonts w:ascii="Arial" w:eastAsia="Times New Roman" w:hAnsi="Arial" w:cs="Arial"/>
        </w:rPr>
      </w:pPr>
    </w:p>
    <w:p w14:paraId="4330960E" w14:textId="24014A3E" w:rsidR="002E183A" w:rsidRPr="002D2835" w:rsidRDefault="002E183A" w:rsidP="00927A5D">
      <w:pPr>
        <w:spacing w:after="0" w:line="312" w:lineRule="auto"/>
        <w:jc w:val="center"/>
        <w:rPr>
          <w:rFonts w:ascii="Arial" w:hAnsi="Arial" w:cs="Arial"/>
          <w:u w:val="single"/>
        </w:rPr>
      </w:pPr>
      <w:r w:rsidRPr="002D2835">
        <w:rPr>
          <w:rFonts w:ascii="Arial" w:eastAsia="Arial" w:hAnsi="Arial" w:cs="Arial"/>
          <w:b/>
          <w:u w:val="single"/>
        </w:rPr>
        <w:t xml:space="preserve">CAPÍTULO </w:t>
      </w:r>
      <w:r w:rsidR="002D2835">
        <w:rPr>
          <w:rFonts w:ascii="Arial" w:eastAsia="Arial" w:hAnsi="Arial" w:cs="Arial"/>
          <w:b/>
          <w:u w:val="single"/>
        </w:rPr>
        <w:t>III</w:t>
      </w:r>
      <w:r w:rsidRPr="002D2835">
        <w:rPr>
          <w:rFonts w:ascii="Arial" w:eastAsia="Arial" w:hAnsi="Arial" w:cs="Arial"/>
          <w:b/>
          <w:u w:val="single"/>
        </w:rPr>
        <w:t>. PETICIONES</w:t>
      </w:r>
    </w:p>
    <w:p w14:paraId="39F96610" w14:textId="77777777" w:rsidR="002E183A" w:rsidRPr="002D2835" w:rsidRDefault="002E183A" w:rsidP="00927A5D">
      <w:pPr>
        <w:spacing w:after="0" w:line="312" w:lineRule="auto"/>
        <w:rPr>
          <w:rFonts w:ascii="Arial" w:hAnsi="Arial" w:cs="Arial"/>
        </w:rPr>
      </w:pPr>
      <w:r w:rsidRPr="002D2835">
        <w:rPr>
          <w:rFonts w:ascii="Arial" w:eastAsia="Arial" w:hAnsi="Arial" w:cs="Arial"/>
          <w:b/>
        </w:rPr>
        <w:t xml:space="preserve"> </w:t>
      </w:r>
    </w:p>
    <w:p w14:paraId="6443456D" w14:textId="144171E4" w:rsidR="00A377D0" w:rsidRPr="005B50D5" w:rsidRDefault="00A377D0" w:rsidP="00927A5D">
      <w:pPr>
        <w:spacing w:after="0" w:line="312" w:lineRule="auto"/>
        <w:jc w:val="both"/>
        <w:rPr>
          <w:rFonts w:ascii="Arial" w:hAnsi="Arial" w:cs="Arial"/>
        </w:rPr>
      </w:pPr>
      <w:r w:rsidRPr="002D2835">
        <w:rPr>
          <w:rFonts w:ascii="Arial" w:hAnsi="Arial" w:cs="Arial"/>
          <w:b/>
          <w:bCs/>
        </w:rPr>
        <w:t>PRIMERA</w:t>
      </w:r>
      <w:r w:rsidRPr="002D2835">
        <w:rPr>
          <w:rFonts w:ascii="Arial" w:hAnsi="Arial" w:cs="Arial"/>
        </w:rPr>
        <w:t xml:space="preserve">: Sírvase REPONER para REVOCAR </w:t>
      </w:r>
      <w:r w:rsidR="00BD42EB" w:rsidRPr="002D2835">
        <w:rPr>
          <w:rFonts w:ascii="Arial" w:hAnsi="Arial" w:cs="Arial"/>
        </w:rPr>
        <w:t xml:space="preserve">la decisión contenida en </w:t>
      </w:r>
      <w:r w:rsidRPr="002D2835">
        <w:rPr>
          <w:rFonts w:ascii="Arial" w:hAnsi="Arial" w:cs="Arial"/>
        </w:rPr>
        <w:t xml:space="preserve">el </w:t>
      </w:r>
      <w:r w:rsidR="003D1F53" w:rsidRPr="003D1F53">
        <w:rPr>
          <w:rFonts w:ascii="Arial" w:hAnsi="Arial" w:cs="Arial"/>
        </w:rPr>
        <w:t>Auto No. 0736 del 11 de junio de 2025</w:t>
      </w:r>
      <w:r w:rsidR="005B523D" w:rsidRPr="002D2835">
        <w:rPr>
          <w:rFonts w:ascii="Arial" w:hAnsi="Arial" w:cs="Arial"/>
        </w:rPr>
        <w:t>,</w:t>
      </w:r>
      <w:r w:rsidR="009D242E" w:rsidRPr="002D2835">
        <w:rPr>
          <w:rFonts w:ascii="Arial" w:hAnsi="Arial" w:cs="Arial"/>
        </w:rPr>
        <w:t xml:space="preserve"> </w:t>
      </w:r>
      <w:r w:rsidRPr="002D2835">
        <w:rPr>
          <w:rFonts w:ascii="Arial" w:hAnsi="Arial" w:cs="Arial"/>
        </w:rPr>
        <w:t xml:space="preserve">que </w:t>
      </w:r>
      <w:r w:rsidR="005B523D" w:rsidRPr="002D2835">
        <w:rPr>
          <w:rFonts w:ascii="Arial" w:hAnsi="Arial" w:cs="Arial"/>
        </w:rPr>
        <w:t xml:space="preserve">en su parte resolutiva </w:t>
      </w:r>
      <w:r w:rsidR="003D1F53">
        <w:rPr>
          <w:rFonts w:ascii="Arial" w:hAnsi="Arial" w:cs="Arial"/>
        </w:rPr>
        <w:t xml:space="preserve">liquidó los perjuicios materiales de lucro cesante (consolidado y futuro) con fundamento en la presunción de que la demandante devengaba un (01) Salario Mínimo Mensual Legal Vigente, a pesar de que </w:t>
      </w:r>
      <w:r w:rsidR="00A16CB9">
        <w:rPr>
          <w:rFonts w:ascii="Arial" w:hAnsi="Arial" w:cs="Arial"/>
        </w:rPr>
        <w:t>ello no estuvo probado en el proceso</w:t>
      </w:r>
      <w:r w:rsidR="003969EE">
        <w:rPr>
          <w:rFonts w:ascii="Arial" w:hAnsi="Arial" w:cs="Arial"/>
        </w:rPr>
        <w:t>, para en su lugar liquidar los valores referidos, conforme al material probatorio que obra en el expediente, el cual al momento de este escrito y tras haberse superado la etapa probatoria, es de cero (0)</w:t>
      </w:r>
      <w:r w:rsidRPr="002D2835">
        <w:rPr>
          <w:rFonts w:ascii="Arial" w:hAnsi="Arial" w:cs="Arial"/>
        </w:rPr>
        <w:t>.</w:t>
      </w:r>
      <w:r w:rsidRPr="005B50D5">
        <w:rPr>
          <w:rFonts w:ascii="Arial" w:hAnsi="Arial" w:cs="Arial"/>
        </w:rPr>
        <w:t xml:space="preserve"> </w:t>
      </w:r>
    </w:p>
    <w:p w14:paraId="28796E98" w14:textId="77777777" w:rsidR="00A377D0" w:rsidRPr="005B50D5" w:rsidRDefault="00A377D0" w:rsidP="00927A5D">
      <w:pPr>
        <w:spacing w:after="0" w:line="312" w:lineRule="auto"/>
        <w:jc w:val="both"/>
        <w:rPr>
          <w:rFonts w:ascii="Arial" w:hAnsi="Arial" w:cs="Arial"/>
        </w:rPr>
      </w:pPr>
    </w:p>
    <w:p w14:paraId="4391A110" w14:textId="2A63926D" w:rsidR="001860F5" w:rsidRDefault="00A377D0" w:rsidP="00927A5D">
      <w:pPr>
        <w:spacing w:after="0" w:line="312" w:lineRule="auto"/>
        <w:jc w:val="both"/>
        <w:rPr>
          <w:rFonts w:ascii="Arial" w:hAnsi="Arial" w:cs="Arial"/>
        </w:rPr>
      </w:pPr>
      <w:r w:rsidRPr="005B50D5">
        <w:rPr>
          <w:rFonts w:ascii="Arial" w:hAnsi="Arial" w:cs="Arial"/>
          <w:b/>
          <w:bCs/>
        </w:rPr>
        <w:t>SEGUNDA</w:t>
      </w:r>
      <w:r w:rsidRPr="005B50D5">
        <w:rPr>
          <w:rFonts w:ascii="Arial" w:hAnsi="Arial" w:cs="Arial"/>
        </w:rPr>
        <w:t xml:space="preserve">: </w:t>
      </w:r>
      <w:r w:rsidR="001860F5" w:rsidRPr="002D2835">
        <w:rPr>
          <w:rFonts w:ascii="Arial" w:hAnsi="Arial" w:cs="Arial"/>
        </w:rPr>
        <w:t xml:space="preserve">Sírvase REPONER para REVOCAR la decisión contenida en el </w:t>
      </w:r>
      <w:r w:rsidR="001860F5" w:rsidRPr="003D1F53">
        <w:rPr>
          <w:rFonts w:ascii="Arial" w:hAnsi="Arial" w:cs="Arial"/>
        </w:rPr>
        <w:t>Auto No. 0736 del 11 de junio de 2025</w:t>
      </w:r>
      <w:r w:rsidR="001860F5" w:rsidRPr="002D2835">
        <w:rPr>
          <w:rFonts w:ascii="Arial" w:hAnsi="Arial" w:cs="Arial"/>
        </w:rPr>
        <w:t xml:space="preserve">, que en su parte resolutiva </w:t>
      </w:r>
      <w:r w:rsidR="00C406E7">
        <w:rPr>
          <w:rFonts w:ascii="Arial" w:hAnsi="Arial" w:cs="Arial"/>
        </w:rPr>
        <w:t>omitió hacer referencia al porcentaje de la pérdida que deberá ser asumido por el asegurado, y que se pactó como deducible</w:t>
      </w:r>
      <w:r w:rsidR="00C24CC4">
        <w:rPr>
          <w:rFonts w:ascii="Arial" w:hAnsi="Arial" w:cs="Arial"/>
        </w:rPr>
        <w:t xml:space="preserve">, para en su lugar indicar el valor </w:t>
      </w:r>
      <w:r w:rsidR="002318DC">
        <w:rPr>
          <w:rFonts w:ascii="Arial" w:hAnsi="Arial" w:cs="Arial"/>
        </w:rPr>
        <w:t>concreto que deberá asumir el asegurado, tras revisarse la liquidación cuestionada en el numeral anterior</w:t>
      </w:r>
      <w:r w:rsidR="00C406E7">
        <w:rPr>
          <w:rFonts w:ascii="Arial" w:hAnsi="Arial" w:cs="Arial"/>
        </w:rPr>
        <w:t xml:space="preserve">. </w:t>
      </w:r>
    </w:p>
    <w:p w14:paraId="64075B49" w14:textId="77777777" w:rsidR="001860F5" w:rsidRDefault="001860F5" w:rsidP="00927A5D">
      <w:pPr>
        <w:spacing w:after="0" w:line="312" w:lineRule="auto"/>
        <w:jc w:val="both"/>
        <w:rPr>
          <w:rFonts w:ascii="Arial" w:hAnsi="Arial" w:cs="Arial"/>
        </w:rPr>
      </w:pPr>
    </w:p>
    <w:p w14:paraId="2B6D2EEA" w14:textId="777594C3" w:rsidR="00DC3189" w:rsidRDefault="001860F5" w:rsidP="00927A5D">
      <w:pPr>
        <w:spacing w:after="0" w:line="312" w:lineRule="auto"/>
        <w:jc w:val="both"/>
        <w:rPr>
          <w:rFonts w:ascii="Arial" w:hAnsi="Arial" w:cs="Arial"/>
        </w:rPr>
      </w:pPr>
      <w:r w:rsidRPr="001860F5">
        <w:rPr>
          <w:rFonts w:ascii="Arial" w:hAnsi="Arial" w:cs="Arial"/>
          <w:b/>
          <w:bCs/>
        </w:rPr>
        <w:t>TERCERO</w:t>
      </w:r>
      <w:r>
        <w:rPr>
          <w:rFonts w:ascii="Arial" w:hAnsi="Arial" w:cs="Arial"/>
        </w:rPr>
        <w:t xml:space="preserve">: </w:t>
      </w:r>
      <w:r w:rsidR="00A377D0" w:rsidRPr="001860F5">
        <w:rPr>
          <w:rFonts w:ascii="Arial" w:hAnsi="Arial" w:cs="Arial"/>
        </w:rPr>
        <w:t>Como</w:t>
      </w:r>
      <w:r w:rsidR="00A377D0" w:rsidRPr="005B50D5">
        <w:rPr>
          <w:rFonts w:ascii="Arial" w:hAnsi="Arial" w:cs="Arial"/>
        </w:rPr>
        <w:t xml:space="preserve"> pretensión subsidiaria, sírvase CONCEDER el recurso de apelación en contra</w:t>
      </w:r>
      <w:r w:rsidR="002D1F8B">
        <w:rPr>
          <w:rFonts w:ascii="Arial" w:hAnsi="Arial" w:cs="Arial"/>
        </w:rPr>
        <w:t xml:space="preserve"> de</w:t>
      </w:r>
      <w:r w:rsidR="00A377D0" w:rsidRPr="005B50D5">
        <w:rPr>
          <w:rFonts w:ascii="Arial" w:hAnsi="Arial" w:cs="Arial"/>
        </w:rPr>
        <w:t xml:space="preserve"> </w:t>
      </w:r>
      <w:r w:rsidR="002D1F8B" w:rsidRPr="002D2835">
        <w:rPr>
          <w:rFonts w:ascii="Arial" w:hAnsi="Arial" w:cs="Arial"/>
        </w:rPr>
        <w:t xml:space="preserve">la decisión contenida en el </w:t>
      </w:r>
      <w:r w:rsidR="002D1F8B" w:rsidRPr="003D1F53">
        <w:rPr>
          <w:rFonts w:ascii="Arial" w:hAnsi="Arial" w:cs="Arial"/>
        </w:rPr>
        <w:t>Auto No. 0736 del 11 de junio de 2025</w:t>
      </w:r>
      <w:r w:rsidR="002D1F8B" w:rsidRPr="002D2835">
        <w:rPr>
          <w:rFonts w:ascii="Arial" w:hAnsi="Arial" w:cs="Arial"/>
        </w:rPr>
        <w:t xml:space="preserve">, que en su parte resolutiva </w:t>
      </w:r>
      <w:r w:rsidR="002D1F8B">
        <w:rPr>
          <w:rFonts w:ascii="Arial" w:hAnsi="Arial" w:cs="Arial"/>
        </w:rPr>
        <w:t xml:space="preserve">liquidó los perjuicios materiales de lucro cesante (consolidado y futuro) con fundamento en la </w:t>
      </w:r>
      <w:r w:rsidR="002D1F8B">
        <w:rPr>
          <w:rFonts w:ascii="Arial" w:hAnsi="Arial" w:cs="Arial"/>
        </w:rPr>
        <w:lastRenderedPageBreak/>
        <w:t>presunción de que la demandante devengaba un (01) Salario Mínimo Mensual Legal Vigente, a pesar de que ello no estuvo probado en el proceso</w:t>
      </w:r>
      <w:r w:rsidR="002D3B47">
        <w:rPr>
          <w:rFonts w:ascii="Arial" w:hAnsi="Arial" w:cs="Arial"/>
        </w:rPr>
        <w:t xml:space="preserve"> y que omitió hacer referencia al aspecto del deducible pactado en la póliza de seguro mediante la cual se vinculó a mi procurada</w:t>
      </w:r>
      <w:r w:rsidR="00864EFD" w:rsidRPr="005B50D5">
        <w:rPr>
          <w:rFonts w:ascii="Arial" w:hAnsi="Arial" w:cs="Arial"/>
        </w:rPr>
        <w:t>.</w:t>
      </w:r>
    </w:p>
    <w:p w14:paraId="4E099456" w14:textId="77777777" w:rsidR="00747518" w:rsidRDefault="00747518" w:rsidP="00927A5D">
      <w:pPr>
        <w:spacing w:after="0" w:line="312" w:lineRule="auto"/>
        <w:jc w:val="both"/>
        <w:rPr>
          <w:rFonts w:ascii="Arial" w:hAnsi="Arial" w:cs="Arial"/>
        </w:rPr>
      </w:pPr>
    </w:p>
    <w:p w14:paraId="1294F099" w14:textId="342B1157" w:rsidR="00747518" w:rsidRPr="00183962" w:rsidRDefault="00747518" w:rsidP="00747518">
      <w:pPr>
        <w:spacing w:line="312" w:lineRule="auto"/>
        <w:jc w:val="center"/>
        <w:rPr>
          <w:rFonts w:ascii="Arial" w:eastAsia="Arial" w:hAnsi="Arial" w:cs="Arial"/>
          <w:b/>
          <w:bCs/>
          <w:u w:val="single"/>
        </w:rPr>
      </w:pPr>
      <w:r w:rsidRPr="00183962">
        <w:rPr>
          <w:rFonts w:ascii="Arial" w:eastAsia="Arial" w:hAnsi="Arial" w:cs="Arial"/>
          <w:b/>
          <w:bCs/>
          <w:u w:val="single"/>
        </w:rPr>
        <w:t xml:space="preserve">CAPÍTULO </w:t>
      </w:r>
      <w:r>
        <w:rPr>
          <w:rFonts w:ascii="Arial" w:eastAsia="Arial" w:hAnsi="Arial" w:cs="Arial"/>
          <w:b/>
          <w:bCs/>
          <w:u w:val="single"/>
        </w:rPr>
        <w:t>I</w:t>
      </w:r>
      <w:r w:rsidRPr="00183962">
        <w:rPr>
          <w:rFonts w:ascii="Arial" w:eastAsia="Arial" w:hAnsi="Arial" w:cs="Arial"/>
          <w:b/>
          <w:bCs/>
          <w:u w:val="single"/>
        </w:rPr>
        <w:t>V. ANEXOS</w:t>
      </w:r>
    </w:p>
    <w:p w14:paraId="582F3FEE" w14:textId="27E9C731" w:rsidR="00747518" w:rsidRDefault="00747518" w:rsidP="00747518">
      <w:pPr>
        <w:pStyle w:val="Prrafodelista"/>
        <w:numPr>
          <w:ilvl w:val="0"/>
          <w:numId w:val="6"/>
        </w:numPr>
        <w:spacing w:after="0" w:line="312" w:lineRule="auto"/>
        <w:jc w:val="both"/>
        <w:rPr>
          <w:rFonts w:ascii="Arial" w:eastAsia="Arial" w:hAnsi="Arial" w:cs="Arial"/>
        </w:rPr>
      </w:pPr>
      <w:r>
        <w:rPr>
          <w:rFonts w:ascii="Arial" w:eastAsia="Arial" w:hAnsi="Arial" w:cs="Arial"/>
        </w:rPr>
        <w:t xml:space="preserve">Copia de la Póliza No. </w:t>
      </w:r>
      <w:r w:rsidRPr="00747518">
        <w:rPr>
          <w:rFonts w:ascii="Arial" w:eastAsia="Arial" w:hAnsi="Arial" w:cs="Arial"/>
        </w:rPr>
        <w:t>1518111007419</w:t>
      </w:r>
      <w:r>
        <w:rPr>
          <w:rFonts w:ascii="Arial" w:eastAsia="Arial" w:hAnsi="Arial" w:cs="Arial"/>
        </w:rPr>
        <w:t xml:space="preserve"> junto con su clausulado general</w:t>
      </w:r>
      <w:r w:rsidR="00301BBF">
        <w:rPr>
          <w:rFonts w:ascii="Arial" w:eastAsia="Arial" w:hAnsi="Arial" w:cs="Arial"/>
        </w:rPr>
        <w:t>.</w:t>
      </w:r>
    </w:p>
    <w:p w14:paraId="5BE4AB2E" w14:textId="2BF103E5" w:rsidR="00747518" w:rsidRPr="00183962" w:rsidRDefault="00747518" w:rsidP="00747518">
      <w:pPr>
        <w:pStyle w:val="Prrafodelista"/>
        <w:numPr>
          <w:ilvl w:val="0"/>
          <w:numId w:val="6"/>
        </w:numPr>
        <w:spacing w:after="0" w:line="312" w:lineRule="auto"/>
        <w:jc w:val="both"/>
        <w:rPr>
          <w:rFonts w:ascii="Arial" w:eastAsia="Arial" w:hAnsi="Arial" w:cs="Arial"/>
        </w:rPr>
      </w:pPr>
      <w:r w:rsidRPr="00183962">
        <w:rPr>
          <w:rFonts w:ascii="Arial" w:eastAsia="Arial" w:hAnsi="Arial" w:cs="Arial"/>
        </w:rPr>
        <w:t>Escritura Pública con poder general de representación a mí conferido</w:t>
      </w:r>
      <w:r>
        <w:rPr>
          <w:rFonts w:ascii="Arial" w:eastAsia="Arial" w:hAnsi="Arial" w:cs="Arial"/>
        </w:rPr>
        <w:t>.</w:t>
      </w:r>
    </w:p>
    <w:p w14:paraId="6E87FDC4" w14:textId="77777777" w:rsidR="00747518" w:rsidRPr="00183962" w:rsidRDefault="00747518" w:rsidP="00747518">
      <w:pPr>
        <w:pStyle w:val="Prrafodelista"/>
        <w:numPr>
          <w:ilvl w:val="0"/>
          <w:numId w:val="6"/>
        </w:numPr>
        <w:spacing w:after="0" w:line="312" w:lineRule="auto"/>
        <w:jc w:val="both"/>
        <w:rPr>
          <w:rFonts w:ascii="Arial" w:eastAsia="Arial" w:hAnsi="Arial" w:cs="Arial"/>
        </w:rPr>
      </w:pPr>
      <w:r w:rsidRPr="00183962">
        <w:rPr>
          <w:rFonts w:ascii="Arial" w:eastAsia="Arial" w:hAnsi="Arial" w:cs="Arial"/>
          <w:lang w:val="es-ES"/>
        </w:rPr>
        <w:t>Certificado de existencia y representación legal de mi representada expedido por la Cámara de Comercio de Cali.</w:t>
      </w:r>
    </w:p>
    <w:p w14:paraId="7CE9AF24" w14:textId="77777777" w:rsidR="00747518" w:rsidRPr="00747518" w:rsidRDefault="00747518" w:rsidP="00CA40D3">
      <w:pPr>
        <w:pStyle w:val="Prrafodelista"/>
        <w:numPr>
          <w:ilvl w:val="0"/>
          <w:numId w:val="6"/>
        </w:numPr>
        <w:spacing w:after="0" w:line="312" w:lineRule="auto"/>
        <w:jc w:val="both"/>
        <w:rPr>
          <w:rFonts w:ascii="Arial" w:hAnsi="Arial" w:cs="Arial"/>
        </w:rPr>
      </w:pPr>
      <w:r w:rsidRPr="00747518">
        <w:rPr>
          <w:rFonts w:ascii="Arial" w:eastAsia="Arial" w:hAnsi="Arial" w:cs="Arial"/>
          <w:lang w:val="es-ES"/>
        </w:rPr>
        <w:t>Certificado de existencia expedido por la Superintendencia Financiera.</w:t>
      </w:r>
    </w:p>
    <w:p w14:paraId="0CD2EB2E" w14:textId="534AF018" w:rsidR="00747518" w:rsidRPr="00747518" w:rsidRDefault="00747518" w:rsidP="00CA40D3">
      <w:pPr>
        <w:pStyle w:val="Prrafodelista"/>
        <w:numPr>
          <w:ilvl w:val="0"/>
          <w:numId w:val="6"/>
        </w:numPr>
        <w:spacing w:after="0" w:line="312" w:lineRule="auto"/>
        <w:jc w:val="both"/>
        <w:rPr>
          <w:rFonts w:ascii="Arial" w:hAnsi="Arial" w:cs="Arial"/>
        </w:rPr>
      </w:pPr>
      <w:r w:rsidRPr="00747518">
        <w:rPr>
          <w:rFonts w:ascii="Arial" w:eastAsia="Arial" w:hAnsi="Arial" w:cs="Arial"/>
          <w:lang w:val="es-ES"/>
        </w:rPr>
        <w:t>Documento de identidad y tarjeta profesional del suscrito apoderado.</w:t>
      </w:r>
    </w:p>
    <w:p w14:paraId="2D732643" w14:textId="77777777" w:rsidR="00A377D0" w:rsidRPr="005B50D5" w:rsidRDefault="00A377D0" w:rsidP="00927A5D">
      <w:pPr>
        <w:spacing w:after="0" w:line="312" w:lineRule="auto"/>
        <w:jc w:val="center"/>
        <w:rPr>
          <w:rFonts w:ascii="Arial" w:eastAsia="Arial" w:hAnsi="Arial" w:cs="Arial"/>
          <w:b/>
          <w:u w:val="single"/>
        </w:rPr>
      </w:pPr>
    </w:p>
    <w:p w14:paraId="4B7E5DA2" w14:textId="73451922" w:rsidR="002E183A" w:rsidRPr="005B50D5" w:rsidRDefault="002E183A" w:rsidP="00927A5D">
      <w:pPr>
        <w:tabs>
          <w:tab w:val="left" w:pos="426"/>
        </w:tabs>
        <w:spacing w:after="0" w:line="312" w:lineRule="auto"/>
        <w:jc w:val="center"/>
        <w:rPr>
          <w:rFonts w:ascii="Arial" w:hAnsi="Arial" w:cs="Arial"/>
          <w:b/>
          <w:bCs/>
          <w:u w:val="single"/>
        </w:rPr>
      </w:pPr>
      <w:r w:rsidRPr="005B50D5">
        <w:rPr>
          <w:rFonts w:ascii="Arial" w:hAnsi="Arial" w:cs="Arial"/>
          <w:b/>
          <w:bCs/>
          <w:u w:val="single"/>
        </w:rPr>
        <w:t>CAPÍTULO V. NOTIFICACIONES.</w:t>
      </w:r>
    </w:p>
    <w:p w14:paraId="49DAFF92" w14:textId="77777777" w:rsidR="002E183A" w:rsidRPr="005B50D5" w:rsidRDefault="002E183A" w:rsidP="00927A5D">
      <w:pPr>
        <w:pStyle w:val="Prrafodelista"/>
        <w:tabs>
          <w:tab w:val="left" w:pos="426"/>
        </w:tabs>
        <w:spacing w:after="0" w:line="312" w:lineRule="auto"/>
        <w:ind w:left="0"/>
        <w:jc w:val="both"/>
        <w:rPr>
          <w:rFonts w:ascii="Arial" w:hAnsi="Arial" w:cs="Arial"/>
        </w:rPr>
      </w:pPr>
    </w:p>
    <w:p w14:paraId="718B5735" w14:textId="77777777" w:rsidR="002E183A" w:rsidRPr="005B50D5" w:rsidRDefault="002E183A" w:rsidP="00927A5D">
      <w:pPr>
        <w:spacing w:after="0" w:line="312" w:lineRule="auto"/>
        <w:jc w:val="both"/>
        <w:rPr>
          <w:rFonts w:ascii="Arial" w:hAnsi="Arial" w:cs="Arial"/>
        </w:rPr>
      </w:pPr>
      <w:r w:rsidRPr="005B50D5">
        <w:rPr>
          <w:rFonts w:ascii="Arial" w:hAnsi="Arial" w:cs="Arial"/>
        </w:rPr>
        <w:t xml:space="preserve">El suscrito recibirá notificaciones en la Avenida 6 A Bis No. 35N-100 Oficina 212 Centro Empresarial Chipichape de la ciudad de Cali. Email: </w:t>
      </w:r>
      <w:hyperlink r:id="rId11" w:history="1">
        <w:r w:rsidRPr="005B50D5">
          <w:rPr>
            <w:rStyle w:val="Hipervnculo"/>
            <w:rFonts w:ascii="Arial" w:hAnsi="Arial" w:cs="Arial"/>
          </w:rPr>
          <w:t>notificaciones@gha.com.co</w:t>
        </w:r>
      </w:hyperlink>
    </w:p>
    <w:p w14:paraId="099D7DEC" w14:textId="3EB3327F" w:rsidR="002E183A" w:rsidRPr="005B50D5" w:rsidRDefault="00FB3804" w:rsidP="00927A5D">
      <w:pPr>
        <w:spacing w:after="0" w:line="312" w:lineRule="auto"/>
        <w:jc w:val="both"/>
        <w:rPr>
          <w:rFonts w:ascii="Arial" w:hAnsi="Arial" w:cs="Arial"/>
        </w:rPr>
      </w:pPr>
      <w:r w:rsidRPr="005B50D5">
        <w:rPr>
          <w:rFonts w:ascii="Arial" w:hAnsi="Arial" w:cs="Arial"/>
          <w:iCs/>
          <w:noProof/>
          <w:lang w:val="en-US"/>
        </w:rPr>
        <w:drawing>
          <wp:anchor distT="0" distB="0" distL="114300" distR="114300" simplePos="0" relativeHeight="251659264" behindDoc="1" locked="0" layoutInCell="1" allowOverlap="1" wp14:anchorId="5467A893" wp14:editId="5A97CB7F">
            <wp:simplePos x="0" y="0"/>
            <wp:positionH relativeFrom="margin">
              <wp:posOffset>124061</wp:posOffset>
            </wp:positionH>
            <wp:positionV relativeFrom="paragraph">
              <wp:posOffset>131113</wp:posOffset>
            </wp:positionV>
            <wp:extent cx="1963257" cy="13036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3257" cy="130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83A" w:rsidRPr="005B50D5">
        <w:rPr>
          <w:rFonts w:ascii="Arial" w:hAnsi="Arial" w:cs="Arial"/>
        </w:rPr>
        <w:t xml:space="preserve"> </w:t>
      </w:r>
    </w:p>
    <w:p w14:paraId="79F48F56" w14:textId="25F83919" w:rsidR="002E183A" w:rsidRPr="005B50D5" w:rsidRDefault="002E183A" w:rsidP="00927A5D">
      <w:pPr>
        <w:tabs>
          <w:tab w:val="left" w:pos="2268"/>
        </w:tabs>
        <w:spacing w:after="0" w:line="312" w:lineRule="auto"/>
        <w:jc w:val="both"/>
        <w:rPr>
          <w:rFonts w:ascii="Arial" w:hAnsi="Arial" w:cs="Arial"/>
        </w:rPr>
      </w:pPr>
      <w:r w:rsidRPr="005B50D5">
        <w:rPr>
          <w:rFonts w:ascii="Arial" w:hAnsi="Arial" w:cs="Arial"/>
        </w:rPr>
        <w:t xml:space="preserve">Cordialmente, </w:t>
      </w:r>
    </w:p>
    <w:p w14:paraId="362BD6D2" w14:textId="77777777" w:rsidR="002E183A" w:rsidRPr="005B50D5" w:rsidRDefault="002E183A" w:rsidP="00927A5D">
      <w:pPr>
        <w:tabs>
          <w:tab w:val="left" w:pos="2268"/>
        </w:tabs>
        <w:spacing w:after="0" w:line="312" w:lineRule="auto"/>
        <w:jc w:val="both"/>
        <w:rPr>
          <w:rFonts w:ascii="Arial" w:hAnsi="Arial" w:cs="Arial"/>
        </w:rPr>
      </w:pPr>
    </w:p>
    <w:p w14:paraId="4ADD0470" w14:textId="77777777" w:rsidR="002E183A" w:rsidRPr="005B50D5" w:rsidRDefault="002E183A" w:rsidP="00927A5D">
      <w:pPr>
        <w:pStyle w:val="Sinespaciado"/>
        <w:spacing w:line="312" w:lineRule="auto"/>
        <w:ind w:left="0" w:right="0"/>
        <w:rPr>
          <w:rFonts w:ascii="Arial" w:hAnsi="Arial" w:cs="Arial"/>
        </w:rPr>
      </w:pPr>
    </w:p>
    <w:p w14:paraId="1C0027D6" w14:textId="77777777" w:rsidR="002E183A" w:rsidRPr="005B50D5" w:rsidRDefault="002E183A" w:rsidP="00927A5D">
      <w:pPr>
        <w:pStyle w:val="Sinespaciado"/>
        <w:spacing w:line="312" w:lineRule="auto"/>
        <w:ind w:left="0" w:right="0"/>
        <w:rPr>
          <w:rFonts w:ascii="Arial" w:hAnsi="Arial" w:cs="Arial"/>
        </w:rPr>
      </w:pPr>
    </w:p>
    <w:p w14:paraId="4D050CD7" w14:textId="77777777" w:rsidR="002E183A" w:rsidRPr="005B50D5" w:rsidRDefault="002E183A" w:rsidP="00927A5D">
      <w:pPr>
        <w:pStyle w:val="Sinespaciado"/>
        <w:spacing w:line="312" w:lineRule="auto"/>
        <w:ind w:left="0" w:right="0"/>
        <w:rPr>
          <w:rFonts w:ascii="Arial" w:hAnsi="Arial" w:cs="Arial"/>
        </w:rPr>
      </w:pPr>
    </w:p>
    <w:p w14:paraId="55CA749D" w14:textId="77777777" w:rsidR="002E183A" w:rsidRPr="005B50D5" w:rsidRDefault="002E183A" w:rsidP="00927A5D">
      <w:pPr>
        <w:pStyle w:val="Sinespaciado"/>
        <w:spacing w:line="312" w:lineRule="auto"/>
        <w:ind w:left="0" w:right="0"/>
        <w:rPr>
          <w:rFonts w:ascii="Arial" w:hAnsi="Arial" w:cs="Arial"/>
          <w:b/>
        </w:rPr>
      </w:pPr>
      <w:r w:rsidRPr="005B50D5">
        <w:rPr>
          <w:rFonts w:ascii="Arial" w:hAnsi="Arial" w:cs="Arial"/>
          <w:b/>
        </w:rPr>
        <w:t>GUSTAVO ALBERTO HERRERA AVILA</w:t>
      </w:r>
    </w:p>
    <w:p w14:paraId="52E88313" w14:textId="77777777" w:rsidR="002E183A" w:rsidRPr="005B50D5" w:rsidRDefault="002E183A" w:rsidP="00927A5D">
      <w:pPr>
        <w:pStyle w:val="Sinespaciado"/>
        <w:spacing w:line="312" w:lineRule="auto"/>
        <w:ind w:left="0" w:right="0"/>
        <w:rPr>
          <w:rFonts w:ascii="Arial" w:hAnsi="Arial" w:cs="Arial"/>
        </w:rPr>
      </w:pPr>
      <w:r w:rsidRPr="005B50D5">
        <w:rPr>
          <w:rFonts w:ascii="Arial" w:hAnsi="Arial" w:cs="Arial"/>
        </w:rPr>
        <w:t>C.C No. 19.395.114 de Bogotá D.C</w:t>
      </w:r>
    </w:p>
    <w:bookmarkEnd w:id="0"/>
    <w:p w14:paraId="617108F4" w14:textId="3B69D016" w:rsidR="00194DAC" w:rsidRPr="005B50D5" w:rsidRDefault="002E183A" w:rsidP="00927A5D">
      <w:pPr>
        <w:pStyle w:val="Sinespaciado"/>
        <w:spacing w:line="312" w:lineRule="auto"/>
        <w:ind w:left="0" w:right="0" w:firstLine="0"/>
      </w:pPr>
      <w:r w:rsidRPr="005B50D5">
        <w:rPr>
          <w:rFonts w:ascii="Arial" w:hAnsi="Arial" w:cs="Arial"/>
        </w:rPr>
        <w:t>T.P. No. 39.116 del C.S. de la J.</w:t>
      </w:r>
    </w:p>
    <w:sectPr w:rsidR="00194DAC" w:rsidRPr="005B50D5" w:rsidSect="00197955">
      <w:headerReference w:type="default" r:id="rId13"/>
      <w:footerReference w:type="default" r:id="rId14"/>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9E9D" w14:textId="77777777" w:rsidR="009041AD" w:rsidRDefault="009041AD" w:rsidP="0025591F">
      <w:r>
        <w:separator/>
      </w:r>
    </w:p>
  </w:endnote>
  <w:endnote w:type="continuationSeparator" w:id="0">
    <w:p w14:paraId="5B72E96A" w14:textId="77777777" w:rsidR="009041AD" w:rsidRDefault="009041A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C1F7" w14:textId="4C5C1906" w:rsidR="00416F84" w:rsidRDefault="004330D4" w:rsidP="003A353D">
    <w:pPr>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40A8BB87" wp14:editId="17C1E7FC">
          <wp:simplePos x="0" y="0"/>
          <wp:positionH relativeFrom="column">
            <wp:posOffset>4467860</wp:posOffset>
          </wp:positionH>
          <wp:positionV relativeFrom="margin">
            <wp:posOffset>7063740</wp:posOffset>
          </wp:positionV>
          <wp:extent cx="1466850" cy="905510"/>
          <wp:effectExtent l="0" t="0" r="0" b="8890"/>
          <wp:wrapNone/>
          <wp:docPr id="2123232831" name="Imagen 212323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6BE44A7E" wp14:editId="5FF3222F">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1DF9D" w14:textId="77777777" w:rsidR="00416F84" w:rsidRPr="002A38B6" w:rsidRDefault="00416F84" w:rsidP="00416F84">
                          <w:pPr>
                            <w:spacing w:before="10"/>
                            <w:jc w:val="right"/>
                            <w:rPr>
                              <w:rFonts w:ascii="Raleway" w:hAnsi="Raleway"/>
                              <w:color w:val="11213B"/>
                              <w:w w:val="105"/>
                              <w:sz w:val="14"/>
                              <w:szCs w:val="14"/>
                              <w:lang w:val="it-IT"/>
                            </w:rPr>
                          </w:pPr>
                          <w:r w:rsidRPr="002A38B6">
                            <w:rPr>
                              <w:rFonts w:ascii="Raleway" w:hAnsi="Raleway"/>
                              <w:color w:val="11213B"/>
                              <w:w w:val="105"/>
                              <w:sz w:val="14"/>
                              <w:szCs w:val="14"/>
                              <w:lang w:val="it-IT"/>
                            </w:rPr>
                            <w:t>Cali - Av 6A Bis #35N-100, Of. 212, Cali, Valle del Cauca, Centro Empresarial Chipichape</w:t>
                          </w:r>
                          <w:r w:rsidRPr="002A38B6">
                            <w:rPr>
                              <w:rFonts w:ascii="Raleway" w:hAnsi="Raleway"/>
                              <w:color w:val="11213B"/>
                              <w:w w:val="105"/>
                              <w:sz w:val="14"/>
                              <w:szCs w:val="14"/>
                              <w:lang w:val="it-IT"/>
                            </w:rPr>
                            <w:br/>
                            <w:t>+57 315 577 6200</w:t>
                          </w:r>
                          <w:r w:rsidR="00E23DED" w:rsidRPr="002A38B6">
                            <w:rPr>
                              <w:rFonts w:ascii="Raleway" w:hAnsi="Raleway"/>
                              <w:color w:val="11213B"/>
                              <w:w w:val="105"/>
                              <w:sz w:val="14"/>
                              <w:szCs w:val="14"/>
                              <w:lang w:val="it-IT"/>
                            </w:rPr>
                            <w:t xml:space="preserve"> - 602-6594075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4A7E"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A1DF9D" w14:textId="77777777" w:rsidR="00416F84" w:rsidRPr="002A38B6" w:rsidRDefault="00416F84" w:rsidP="00416F84">
                    <w:pPr>
                      <w:spacing w:before="10"/>
                      <w:jc w:val="right"/>
                      <w:rPr>
                        <w:rFonts w:ascii="Raleway" w:hAnsi="Raleway"/>
                        <w:color w:val="11213B"/>
                        <w:w w:val="105"/>
                        <w:sz w:val="14"/>
                        <w:szCs w:val="14"/>
                        <w:lang w:val="it-IT"/>
                      </w:rPr>
                    </w:pPr>
                    <w:r w:rsidRPr="002A38B6">
                      <w:rPr>
                        <w:rFonts w:ascii="Raleway" w:hAnsi="Raleway"/>
                        <w:color w:val="11213B"/>
                        <w:w w:val="105"/>
                        <w:sz w:val="14"/>
                        <w:szCs w:val="14"/>
                        <w:lang w:val="it-IT"/>
                      </w:rPr>
                      <w:t>Cali - Av 6A Bis #35N-100, Of. 212, Cali, Valle del Cauca, Centro Empresarial Chipichape</w:t>
                    </w:r>
                    <w:r w:rsidRPr="002A38B6">
                      <w:rPr>
                        <w:rFonts w:ascii="Raleway" w:hAnsi="Raleway"/>
                        <w:color w:val="11213B"/>
                        <w:w w:val="105"/>
                        <w:sz w:val="14"/>
                        <w:szCs w:val="14"/>
                        <w:lang w:val="it-IT"/>
                      </w:rPr>
                      <w:br/>
                      <w:t>+57 315 577 6200</w:t>
                    </w:r>
                    <w:r w:rsidR="00E23DED" w:rsidRPr="002A38B6">
                      <w:rPr>
                        <w:rFonts w:ascii="Raleway" w:hAnsi="Raleway"/>
                        <w:color w:val="11213B"/>
                        <w:w w:val="105"/>
                        <w:sz w:val="14"/>
                        <w:szCs w:val="14"/>
                        <w:lang w:val="it-IT"/>
                      </w:rPr>
                      <w:t xml:space="preserve"> - 602-6594075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2327D7F5" wp14:editId="4A9485B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A3C95">
      <w:rPr>
        <w:noProof/>
      </w:rPr>
      <mc:AlternateContent>
        <mc:Choice Requires="wps">
          <w:drawing>
            <wp:anchor distT="0" distB="0" distL="114300" distR="114300" simplePos="0" relativeHeight="251666432" behindDoc="1" locked="0" layoutInCell="1" allowOverlap="1" wp14:anchorId="5FCAB954" wp14:editId="198F7193">
              <wp:simplePos x="0" y="0"/>
              <wp:positionH relativeFrom="margin">
                <wp:posOffset>1673860</wp:posOffset>
              </wp:positionH>
              <wp:positionV relativeFrom="page">
                <wp:posOffset>8534400</wp:posOffset>
              </wp:positionV>
              <wp:extent cx="2727325" cy="904875"/>
              <wp:effectExtent l="0" t="0" r="0" b="0"/>
              <wp:wrapNone/>
              <wp:docPr id="898489722" name="Rectángulo 898489722"/>
              <wp:cNvGraphicFramePr/>
              <a:graphic xmlns:a="http://schemas.openxmlformats.org/drawingml/2006/main">
                <a:graphicData uri="http://schemas.microsoft.com/office/word/2010/wordprocessingShape">
                  <wps:wsp>
                    <wps:cNvSpPr/>
                    <wps:spPr>
                      <a:xfrm>
                        <a:off x="0" y="0"/>
                        <a:ext cx="272732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6A8D8" w14:textId="77777777" w:rsidR="00BA3C95" w:rsidRPr="002A38B6" w:rsidRDefault="00BA3C95" w:rsidP="00BA3C95">
                          <w:pPr>
                            <w:spacing w:before="10"/>
                            <w:jc w:val="right"/>
                            <w:rPr>
                              <w:rFonts w:ascii="Raleway" w:hAnsi="Raleway"/>
                              <w:color w:val="11213B"/>
                              <w:w w:val="105"/>
                              <w:sz w:val="14"/>
                              <w:szCs w:val="14"/>
                              <w:lang w:val="it-IT"/>
                            </w:rPr>
                          </w:pPr>
                          <w:r w:rsidRPr="002A38B6">
                            <w:rPr>
                              <w:rFonts w:ascii="Raleway" w:hAnsi="Raleway"/>
                              <w:color w:val="11213B"/>
                              <w:w w:val="105"/>
                              <w:sz w:val="14"/>
                              <w:szCs w:val="14"/>
                              <w:lang w:val="it-IT"/>
                            </w:rPr>
                            <w:t>Cali - Av 6A Bis #35N-100, Of. 212, Cali, Valle del Cauca, Centro Empresarial Chipichape</w:t>
                          </w:r>
                          <w:r w:rsidRPr="002A38B6">
                            <w:rPr>
                              <w:rFonts w:ascii="Raleway" w:hAnsi="Raleway"/>
                              <w:color w:val="11213B"/>
                              <w:w w:val="105"/>
                              <w:sz w:val="14"/>
                              <w:szCs w:val="14"/>
                              <w:lang w:val="it-IT"/>
                            </w:rPr>
                            <w:br/>
                            <w:t>+57 315 577 6200 - 602-6594075</w:t>
                          </w:r>
                        </w:p>
                        <w:p w14:paraId="20F83BE4" w14:textId="77777777" w:rsidR="00BA3C95" w:rsidRPr="004A356B" w:rsidRDefault="00BA3C95" w:rsidP="00BA3C95">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AB954" id="Rectángulo 898489722" o:spid="_x0000_s1027" style="position:absolute;margin-left:131.8pt;margin-top:672pt;width:214.75pt;height:71.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" filled="f" stroked="f" strokeweight="1pt">
              <v:textbox>
                <w:txbxContent>
                  <w:p w14:paraId="5936A8D8" w14:textId="77777777" w:rsidR="00BA3C95" w:rsidRPr="002A38B6" w:rsidRDefault="00BA3C95" w:rsidP="00BA3C95">
                    <w:pPr>
                      <w:spacing w:before="10"/>
                      <w:jc w:val="right"/>
                      <w:rPr>
                        <w:rFonts w:ascii="Raleway" w:hAnsi="Raleway"/>
                        <w:color w:val="11213B"/>
                        <w:w w:val="105"/>
                        <w:sz w:val="14"/>
                        <w:szCs w:val="14"/>
                        <w:lang w:val="it-IT"/>
                      </w:rPr>
                    </w:pPr>
                    <w:r w:rsidRPr="002A38B6">
                      <w:rPr>
                        <w:rFonts w:ascii="Raleway" w:hAnsi="Raleway"/>
                        <w:color w:val="11213B"/>
                        <w:w w:val="105"/>
                        <w:sz w:val="14"/>
                        <w:szCs w:val="14"/>
                        <w:lang w:val="it-IT"/>
                      </w:rPr>
                      <w:t>Cali - Av 6A Bis #35N-100, Of. 212, Cali, Valle del Cauca, Centro Empresarial Chipichape</w:t>
                    </w:r>
                    <w:r w:rsidRPr="002A38B6">
                      <w:rPr>
                        <w:rFonts w:ascii="Raleway" w:hAnsi="Raleway"/>
                        <w:color w:val="11213B"/>
                        <w:w w:val="105"/>
                        <w:sz w:val="14"/>
                        <w:szCs w:val="14"/>
                        <w:lang w:val="it-IT"/>
                      </w:rPr>
                      <w:br/>
                      <w:t>+57 315 577 6200 - 602-6594075</w:t>
                    </w:r>
                  </w:p>
                  <w:p w14:paraId="20F83BE4" w14:textId="77777777" w:rsidR="00BA3C95" w:rsidRPr="004A356B" w:rsidRDefault="00BA3C95" w:rsidP="00BA3C95">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2E183A">
      <w:rPr>
        <w:noProof/>
        <w:color w:val="222A35" w:themeColor="text2" w:themeShade="80"/>
      </w:rPr>
      <w:drawing>
        <wp:anchor distT="0" distB="0" distL="114300" distR="114300" simplePos="0" relativeHeight="251660288" behindDoc="1" locked="0" layoutInCell="1" allowOverlap="1" wp14:anchorId="061EED5F" wp14:editId="707A8291">
          <wp:simplePos x="0" y="0"/>
          <wp:positionH relativeFrom="column">
            <wp:posOffset>4463415</wp:posOffset>
          </wp:positionH>
          <wp:positionV relativeFrom="margin">
            <wp:posOffset>9941560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0F21B" w14:textId="674464F0" w:rsidR="00416F84" w:rsidRDefault="002E183A"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EDA30F8" wp14:editId="6263C800">
              <wp:simplePos x="0" y="0"/>
              <wp:positionH relativeFrom="page">
                <wp:posOffset>113665</wp:posOffset>
              </wp:positionH>
              <wp:positionV relativeFrom="bottomMargin">
                <wp:posOffset>1221740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D41B8" w14:textId="0E014947" w:rsidR="00416F84" w:rsidRPr="004A356B" w:rsidRDefault="004330D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30F8" id="Rectángulo 5" o:spid="_x0000_s1028" style="position:absolute;margin-left:8.95pt;margin-top:96.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" filled="f" stroked="f" strokeweight="1pt">
              <v:textbox>
                <w:txbxContent>
                  <w:p w14:paraId="6EED41B8" w14:textId="0E014947" w:rsidR="00416F84" w:rsidRPr="004A356B" w:rsidRDefault="004330D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VJRA</w:t>
                    </w:r>
                  </w:p>
                </w:txbxContent>
              </v:textbox>
              <w10:wrap anchorx="page" anchory="margin"/>
            </v:rect>
          </w:pict>
        </mc:Fallback>
      </mc:AlternateContent>
    </w:r>
  </w:p>
  <w:p w14:paraId="42B055DD" w14:textId="352E694F" w:rsidR="002B5E76" w:rsidRDefault="00E23DED" w:rsidP="00A11387">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EA7B" w14:textId="77777777" w:rsidR="009041AD" w:rsidRDefault="009041AD" w:rsidP="0025591F">
      <w:r>
        <w:separator/>
      </w:r>
    </w:p>
  </w:footnote>
  <w:footnote w:type="continuationSeparator" w:id="0">
    <w:p w14:paraId="12FADF2C" w14:textId="77777777" w:rsidR="009041AD" w:rsidRDefault="009041AD" w:rsidP="0025591F">
      <w:r>
        <w:continuationSeparator/>
      </w:r>
    </w:p>
  </w:footnote>
  <w:footnote w:id="1">
    <w:p w14:paraId="6E02C99C" w14:textId="77777777" w:rsidR="00927A5D" w:rsidRPr="00404001" w:rsidRDefault="00927A5D" w:rsidP="00927A5D">
      <w:pPr>
        <w:pStyle w:val="Textonotapie"/>
        <w:jc w:val="both"/>
        <w:rPr>
          <w:rFonts w:ascii="Arial" w:eastAsia="Arial" w:hAnsi="Arial" w:cs="Arial"/>
          <w:sz w:val="16"/>
          <w:szCs w:val="16"/>
        </w:rPr>
      </w:pPr>
      <w:r w:rsidRPr="00404001">
        <w:rPr>
          <w:rStyle w:val="Refdenotaalpie"/>
          <w:rFonts w:ascii="Arial" w:hAnsi="Arial" w:cs="Arial"/>
          <w:sz w:val="16"/>
          <w:szCs w:val="16"/>
        </w:rPr>
        <w:footnoteRef/>
      </w:r>
      <w:r w:rsidRPr="00404001">
        <w:rPr>
          <w:rFonts w:ascii="Arial" w:eastAsia="Arial" w:hAnsi="Arial" w:cs="Arial"/>
          <w:sz w:val="16"/>
          <w:szCs w:val="16"/>
        </w:rPr>
        <w:t xml:space="preserve"> Sentencia del 12 de junio de 2018. Corte Suprema de Justicia, Sala de Casación Civil. Expediente SC 2107-2018.</w:t>
      </w:r>
    </w:p>
  </w:footnote>
  <w:footnote w:id="2">
    <w:p w14:paraId="7BFD5F47" w14:textId="77777777" w:rsidR="00927A5D" w:rsidRDefault="00927A5D" w:rsidP="00927A5D">
      <w:pPr>
        <w:pStyle w:val="Textonotapie"/>
        <w:jc w:val="both"/>
      </w:pPr>
      <w:r w:rsidRPr="004551BE">
        <w:rPr>
          <w:rStyle w:val="Refdenotaalpie"/>
          <w:szCs w:val="16"/>
        </w:rPr>
        <w:footnoteRef/>
      </w:r>
      <w:r w:rsidRPr="004551BE">
        <w:rPr>
          <w:rFonts w:ascii="Arial" w:hAnsi="Arial" w:cs="Arial"/>
          <w:sz w:val="16"/>
          <w:szCs w:val="16"/>
        </w:rPr>
        <w:t xml:space="preserve"> Sentencia del 24 de junio de 2008. </w:t>
      </w:r>
      <w:r w:rsidRPr="004551BE">
        <w:rPr>
          <w:rFonts w:ascii="Arial" w:hAnsi="Arial" w:cs="Arial"/>
          <w:sz w:val="16"/>
          <w:szCs w:val="16"/>
          <w:lang w:val="es-ES"/>
        </w:rPr>
        <w:t>Corte Suprema de Justicia, Sala de Casación Civil. Expediente SC 2000-01121-01</w:t>
      </w:r>
    </w:p>
  </w:footnote>
  <w:footnote w:id="3">
    <w:p w14:paraId="423D1F81" w14:textId="77777777" w:rsidR="00927A5D" w:rsidRDefault="00927A5D" w:rsidP="00927A5D">
      <w:pPr>
        <w:pStyle w:val="Textonotapie"/>
        <w:jc w:val="both"/>
        <w:rPr>
          <w:rFonts w:ascii="Arial" w:eastAsia="Arial" w:hAnsi="Arial" w:cs="Arial"/>
          <w:sz w:val="16"/>
          <w:szCs w:val="16"/>
        </w:rPr>
      </w:pPr>
      <w:r w:rsidRPr="76B68F44">
        <w:rPr>
          <w:rStyle w:val="Refdenotaalpie"/>
          <w:szCs w:val="16"/>
        </w:rPr>
        <w:footnoteRef/>
      </w:r>
      <w:r w:rsidRPr="76B68F44">
        <w:rPr>
          <w:rFonts w:ascii="Arial" w:eastAsia="Arial" w:hAnsi="Arial" w:cs="Arial"/>
          <w:sz w:val="16"/>
          <w:szCs w:val="16"/>
        </w:rPr>
        <w:t xml:space="preserve"> Sentencia de Unificación del 18 de julio de 2019. Consejo de Estado, Sala de lo Contencioso Administrativo, Sección Tercera, Sala Plena. M.P. Carlos Alberto Zambrano Barrera. Radicación No. 73001-23-31-000-2009-00133-01(44572). </w:t>
      </w:r>
    </w:p>
  </w:footnote>
  <w:footnote w:id="4">
    <w:p w14:paraId="65BE75E1" w14:textId="77777777" w:rsidR="00436520" w:rsidRDefault="00436520" w:rsidP="00436520">
      <w:r w:rsidRPr="76B68F44">
        <w:rPr>
          <w:rStyle w:val="Refdenotaalpie"/>
          <w:rFonts w:ascii="Arial" w:eastAsia="Arial" w:hAnsi="Arial" w:cs="Arial"/>
          <w:sz w:val="16"/>
          <w:szCs w:val="16"/>
        </w:rPr>
        <w:footnoteRef/>
      </w:r>
      <w:r w:rsidRPr="76B68F44">
        <w:rPr>
          <w:rFonts w:ascii="Arial" w:eastAsia="Arial" w:hAnsi="Arial" w:cs="Arial"/>
          <w:sz w:val="16"/>
          <w:szCs w:val="16"/>
        </w:rPr>
        <w:t xml:space="preserve"> </w:t>
      </w:r>
      <w:r w:rsidRPr="76B68F44">
        <w:rPr>
          <w:rFonts w:ascii="Arial" w:eastAsia="Arial" w:hAnsi="Arial" w:cs="Arial"/>
          <w:color w:val="000000" w:themeColor="text1"/>
          <w:sz w:val="16"/>
          <w:szCs w:val="16"/>
        </w:rPr>
        <w:t>Concepto 2019098264 ago. 29/2019, Superintendencia Financiera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0B6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29F9DBE" wp14:editId="207366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1" w15:restartNumberingAfterBreak="0">
    <w:nsid w:val="0E3B142D"/>
    <w:multiLevelType w:val="hybridMultilevel"/>
    <w:tmpl w:val="368630D6"/>
    <w:lvl w:ilvl="0" w:tplc="EF56735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855A35"/>
    <w:multiLevelType w:val="hybridMultilevel"/>
    <w:tmpl w:val="30186704"/>
    <w:lvl w:ilvl="0" w:tplc="240A000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7032918"/>
    <w:multiLevelType w:val="hybridMultilevel"/>
    <w:tmpl w:val="3A6CCC7E"/>
    <w:lvl w:ilvl="0" w:tplc="663C9F4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E8780A"/>
    <w:multiLevelType w:val="hybridMultilevel"/>
    <w:tmpl w:val="9DDC84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2"/>
  </w:num>
  <w:num w:numId="2" w16cid:durableId="1548568300">
    <w:abstractNumId w:val="1"/>
  </w:num>
  <w:num w:numId="3" w16cid:durableId="912273201">
    <w:abstractNumId w:val="4"/>
  </w:num>
  <w:num w:numId="4" w16cid:durableId="1773743530">
    <w:abstractNumId w:val="3"/>
  </w:num>
  <w:num w:numId="5" w16cid:durableId="1889142803">
    <w:abstractNumId w:val="5"/>
  </w:num>
  <w:num w:numId="6" w16cid:durableId="116250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A"/>
    <w:rsid w:val="000004CB"/>
    <w:rsid w:val="00001009"/>
    <w:rsid w:val="000062C2"/>
    <w:rsid w:val="00021B07"/>
    <w:rsid w:val="0003111F"/>
    <w:rsid w:val="00034328"/>
    <w:rsid w:val="000431F3"/>
    <w:rsid w:val="00050BD2"/>
    <w:rsid w:val="0005719D"/>
    <w:rsid w:val="00075EDF"/>
    <w:rsid w:val="0009565D"/>
    <w:rsid w:val="000A35A0"/>
    <w:rsid w:val="000B253A"/>
    <w:rsid w:val="000C1A16"/>
    <w:rsid w:val="000C2815"/>
    <w:rsid w:val="000C64D9"/>
    <w:rsid w:val="000D28E9"/>
    <w:rsid w:val="000E072D"/>
    <w:rsid w:val="000E399F"/>
    <w:rsid w:val="000E5BC1"/>
    <w:rsid w:val="000E694A"/>
    <w:rsid w:val="00101CB3"/>
    <w:rsid w:val="001114EE"/>
    <w:rsid w:val="00120F29"/>
    <w:rsid w:val="001235F6"/>
    <w:rsid w:val="0013093B"/>
    <w:rsid w:val="00133554"/>
    <w:rsid w:val="001406EB"/>
    <w:rsid w:val="00141278"/>
    <w:rsid w:val="00146BAA"/>
    <w:rsid w:val="00147CD7"/>
    <w:rsid w:val="001521E9"/>
    <w:rsid w:val="00153ADA"/>
    <w:rsid w:val="0016174C"/>
    <w:rsid w:val="001816BA"/>
    <w:rsid w:val="001841B9"/>
    <w:rsid w:val="001860F5"/>
    <w:rsid w:val="00190CF3"/>
    <w:rsid w:val="001925A0"/>
    <w:rsid w:val="00194DAC"/>
    <w:rsid w:val="001951E9"/>
    <w:rsid w:val="001953F8"/>
    <w:rsid w:val="00197955"/>
    <w:rsid w:val="001B0C1B"/>
    <w:rsid w:val="001B5C7D"/>
    <w:rsid w:val="001B6EB7"/>
    <w:rsid w:val="001C129B"/>
    <w:rsid w:val="001D5B17"/>
    <w:rsid w:val="001F257D"/>
    <w:rsid w:val="001F5C98"/>
    <w:rsid w:val="002017B5"/>
    <w:rsid w:val="00210E63"/>
    <w:rsid w:val="002117E1"/>
    <w:rsid w:val="00222738"/>
    <w:rsid w:val="002238BC"/>
    <w:rsid w:val="002318DC"/>
    <w:rsid w:val="002322A5"/>
    <w:rsid w:val="00234F3F"/>
    <w:rsid w:val="002359C4"/>
    <w:rsid w:val="00236A78"/>
    <w:rsid w:val="002422AB"/>
    <w:rsid w:val="00244A90"/>
    <w:rsid w:val="002479B2"/>
    <w:rsid w:val="00250434"/>
    <w:rsid w:val="00254E27"/>
    <w:rsid w:val="00254F4B"/>
    <w:rsid w:val="0025591F"/>
    <w:rsid w:val="00256A54"/>
    <w:rsid w:val="00267DDC"/>
    <w:rsid w:val="00271607"/>
    <w:rsid w:val="002760AB"/>
    <w:rsid w:val="002800E6"/>
    <w:rsid w:val="0028079D"/>
    <w:rsid w:val="00281D90"/>
    <w:rsid w:val="00283A86"/>
    <w:rsid w:val="00290AEE"/>
    <w:rsid w:val="002919A8"/>
    <w:rsid w:val="002945C9"/>
    <w:rsid w:val="0029460F"/>
    <w:rsid w:val="00297008"/>
    <w:rsid w:val="002A25C0"/>
    <w:rsid w:val="002A38B6"/>
    <w:rsid w:val="002B112E"/>
    <w:rsid w:val="002B3D59"/>
    <w:rsid w:val="002B5624"/>
    <w:rsid w:val="002B5E76"/>
    <w:rsid w:val="002B6287"/>
    <w:rsid w:val="002C3EE9"/>
    <w:rsid w:val="002C54C8"/>
    <w:rsid w:val="002D1F8B"/>
    <w:rsid w:val="002D2835"/>
    <w:rsid w:val="002D3B47"/>
    <w:rsid w:val="002E183A"/>
    <w:rsid w:val="002F2D20"/>
    <w:rsid w:val="00301BBF"/>
    <w:rsid w:val="00320499"/>
    <w:rsid w:val="0037287C"/>
    <w:rsid w:val="0037483B"/>
    <w:rsid w:val="00375AFE"/>
    <w:rsid w:val="00382A36"/>
    <w:rsid w:val="00383206"/>
    <w:rsid w:val="003846C3"/>
    <w:rsid w:val="0039019A"/>
    <w:rsid w:val="003956C3"/>
    <w:rsid w:val="003969EE"/>
    <w:rsid w:val="00396B21"/>
    <w:rsid w:val="003A353D"/>
    <w:rsid w:val="003B197E"/>
    <w:rsid w:val="003B22E4"/>
    <w:rsid w:val="003C297C"/>
    <w:rsid w:val="003C4B91"/>
    <w:rsid w:val="003C5BCE"/>
    <w:rsid w:val="003C6FA1"/>
    <w:rsid w:val="003D1F53"/>
    <w:rsid w:val="003E0924"/>
    <w:rsid w:val="003E2A28"/>
    <w:rsid w:val="003F1705"/>
    <w:rsid w:val="003F26B0"/>
    <w:rsid w:val="003F6170"/>
    <w:rsid w:val="00404001"/>
    <w:rsid w:val="00415A29"/>
    <w:rsid w:val="00416F84"/>
    <w:rsid w:val="00422C43"/>
    <w:rsid w:val="0042497F"/>
    <w:rsid w:val="004328EC"/>
    <w:rsid w:val="004330D4"/>
    <w:rsid w:val="00433B9C"/>
    <w:rsid w:val="00436520"/>
    <w:rsid w:val="0044512C"/>
    <w:rsid w:val="00451A24"/>
    <w:rsid w:val="0046559B"/>
    <w:rsid w:val="00470810"/>
    <w:rsid w:val="004826FD"/>
    <w:rsid w:val="00490CD7"/>
    <w:rsid w:val="00491331"/>
    <w:rsid w:val="00491FB5"/>
    <w:rsid w:val="004A356B"/>
    <w:rsid w:val="004A3C6B"/>
    <w:rsid w:val="004A5050"/>
    <w:rsid w:val="004B1233"/>
    <w:rsid w:val="004C01CE"/>
    <w:rsid w:val="004C6958"/>
    <w:rsid w:val="004D233A"/>
    <w:rsid w:val="004E0D17"/>
    <w:rsid w:val="004E571F"/>
    <w:rsid w:val="004E6A94"/>
    <w:rsid w:val="004F407F"/>
    <w:rsid w:val="00505BFB"/>
    <w:rsid w:val="00505F3C"/>
    <w:rsid w:val="005060A5"/>
    <w:rsid w:val="00521A85"/>
    <w:rsid w:val="0052482A"/>
    <w:rsid w:val="00543F6F"/>
    <w:rsid w:val="0054547B"/>
    <w:rsid w:val="00555A8E"/>
    <w:rsid w:val="00560548"/>
    <w:rsid w:val="00561B3B"/>
    <w:rsid w:val="0059226D"/>
    <w:rsid w:val="005955D8"/>
    <w:rsid w:val="005A049B"/>
    <w:rsid w:val="005A066A"/>
    <w:rsid w:val="005A3F2C"/>
    <w:rsid w:val="005A55E6"/>
    <w:rsid w:val="005A7165"/>
    <w:rsid w:val="005A785F"/>
    <w:rsid w:val="005B3600"/>
    <w:rsid w:val="005B505C"/>
    <w:rsid w:val="005B50D5"/>
    <w:rsid w:val="005B523D"/>
    <w:rsid w:val="005D2722"/>
    <w:rsid w:val="005D3412"/>
    <w:rsid w:val="005D7117"/>
    <w:rsid w:val="005F02DC"/>
    <w:rsid w:val="005F2BA3"/>
    <w:rsid w:val="005F51E0"/>
    <w:rsid w:val="00602BED"/>
    <w:rsid w:val="00605A9E"/>
    <w:rsid w:val="00607A51"/>
    <w:rsid w:val="00613B12"/>
    <w:rsid w:val="0061770A"/>
    <w:rsid w:val="00622C9B"/>
    <w:rsid w:val="0062454D"/>
    <w:rsid w:val="00632FDE"/>
    <w:rsid w:val="006354B1"/>
    <w:rsid w:val="00637020"/>
    <w:rsid w:val="00644ECA"/>
    <w:rsid w:val="006518DB"/>
    <w:rsid w:val="00663D17"/>
    <w:rsid w:val="006652B3"/>
    <w:rsid w:val="00665717"/>
    <w:rsid w:val="00672770"/>
    <w:rsid w:val="00692D0A"/>
    <w:rsid w:val="006952F0"/>
    <w:rsid w:val="006A1113"/>
    <w:rsid w:val="006A2211"/>
    <w:rsid w:val="006C2D31"/>
    <w:rsid w:val="006C326D"/>
    <w:rsid w:val="006C484F"/>
    <w:rsid w:val="006C703F"/>
    <w:rsid w:val="006D41F7"/>
    <w:rsid w:val="006D7407"/>
    <w:rsid w:val="006E4CB0"/>
    <w:rsid w:val="006F1810"/>
    <w:rsid w:val="006F3F7B"/>
    <w:rsid w:val="006F5D40"/>
    <w:rsid w:val="006F61F7"/>
    <w:rsid w:val="00711EE3"/>
    <w:rsid w:val="00712402"/>
    <w:rsid w:val="007146BB"/>
    <w:rsid w:val="0072699D"/>
    <w:rsid w:val="007272BA"/>
    <w:rsid w:val="00733C04"/>
    <w:rsid w:val="00733DC0"/>
    <w:rsid w:val="00736378"/>
    <w:rsid w:val="00747518"/>
    <w:rsid w:val="00751D76"/>
    <w:rsid w:val="007632C6"/>
    <w:rsid w:val="00763F2D"/>
    <w:rsid w:val="00767DC8"/>
    <w:rsid w:val="0077092E"/>
    <w:rsid w:val="007728EB"/>
    <w:rsid w:val="00776C59"/>
    <w:rsid w:val="00777938"/>
    <w:rsid w:val="00785743"/>
    <w:rsid w:val="00793C8E"/>
    <w:rsid w:val="00795A2D"/>
    <w:rsid w:val="007A4653"/>
    <w:rsid w:val="007A61B2"/>
    <w:rsid w:val="007C0353"/>
    <w:rsid w:val="007C0997"/>
    <w:rsid w:val="007C1A65"/>
    <w:rsid w:val="007D2C5D"/>
    <w:rsid w:val="007D5D38"/>
    <w:rsid w:val="007E1AEF"/>
    <w:rsid w:val="007E48FA"/>
    <w:rsid w:val="007E4A8E"/>
    <w:rsid w:val="007E5E28"/>
    <w:rsid w:val="007F35F7"/>
    <w:rsid w:val="007F632D"/>
    <w:rsid w:val="007F6A39"/>
    <w:rsid w:val="00810AF2"/>
    <w:rsid w:val="00811B8D"/>
    <w:rsid w:val="0081375A"/>
    <w:rsid w:val="008147D9"/>
    <w:rsid w:val="0082347C"/>
    <w:rsid w:val="00825D93"/>
    <w:rsid w:val="00826E14"/>
    <w:rsid w:val="00831D8E"/>
    <w:rsid w:val="00833F60"/>
    <w:rsid w:val="00840430"/>
    <w:rsid w:val="008430F9"/>
    <w:rsid w:val="008606AA"/>
    <w:rsid w:val="0086377B"/>
    <w:rsid w:val="00864EFD"/>
    <w:rsid w:val="008739BB"/>
    <w:rsid w:val="00875F65"/>
    <w:rsid w:val="008830A7"/>
    <w:rsid w:val="00883FD7"/>
    <w:rsid w:val="0089045F"/>
    <w:rsid w:val="008A3EE5"/>
    <w:rsid w:val="008C02E5"/>
    <w:rsid w:val="008E414D"/>
    <w:rsid w:val="008E4E08"/>
    <w:rsid w:val="008E7A08"/>
    <w:rsid w:val="008F1E2F"/>
    <w:rsid w:val="008F52D4"/>
    <w:rsid w:val="008F5707"/>
    <w:rsid w:val="009041AD"/>
    <w:rsid w:val="0091387F"/>
    <w:rsid w:val="0092063B"/>
    <w:rsid w:val="00925E6B"/>
    <w:rsid w:val="00926E07"/>
    <w:rsid w:val="00927A5D"/>
    <w:rsid w:val="0093314A"/>
    <w:rsid w:val="00935CF8"/>
    <w:rsid w:val="009368E0"/>
    <w:rsid w:val="00942D3A"/>
    <w:rsid w:val="00943E2A"/>
    <w:rsid w:val="009443A3"/>
    <w:rsid w:val="00953035"/>
    <w:rsid w:val="0096520F"/>
    <w:rsid w:val="0099300E"/>
    <w:rsid w:val="00994856"/>
    <w:rsid w:val="009949DE"/>
    <w:rsid w:val="00997BE1"/>
    <w:rsid w:val="00997C0E"/>
    <w:rsid w:val="009A2939"/>
    <w:rsid w:val="009B60B9"/>
    <w:rsid w:val="009D006E"/>
    <w:rsid w:val="009D242E"/>
    <w:rsid w:val="00A11387"/>
    <w:rsid w:val="00A1438F"/>
    <w:rsid w:val="00A1570A"/>
    <w:rsid w:val="00A16CB9"/>
    <w:rsid w:val="00A244C3"/>
    <w:rsid w:val="00A2671B"/>
    <w:rsid w:val="00A377D0"/>
    <w:rsid w:val="00A42256"/>
    <w:rsid w:val="00A5013C"/>
    <w:rsid w:val="00A6133C"/>
    <w:rsid w:val="00A6316A"/>
    <w:rsid w:val="00A67F95"/>
    <w:rsid w:val="00A719B2"/>
    <w:rsid w:val="00A83EF2"/>
    <w:rsid w:val="00A877E6"/>
    <w:rsid w:val="00A93A57"/>
    <w:rsid w:val="00AA1B60"/>
    <w:rsid w:val="00AA57A3"/>
    <w:rsid w:val="00AB0F4D"/>
    <w:rsid w:val="00AB2F59"/>
    <w:rsid w:val="00AB3750"/>
    <w:rsid w:val="00AB3A2C"/>
    <w:rsid w:val="00AB68D3"/>
    <w:rsid w:val="00AB76CB"/>
    <w:rsid w:val="00AC13B5"/>
    <w:rsid w:val="00AC3BFA"/>
    <w:rsid w:val="00AC689D"/>
    <w:rsid w:val="00AC6B2F"/>
    <w:rsid w:val="00AD03AA"/>
    <w:rsid w:val="00AE1AA0"/>
    <w:rsid w:val="00B02553"/>
    <w:rsid w:val="00B029A9"/>
    <w:rsid w:val="00B146EA"/>
    <w:rsid w:val="00B20189"/>
    <w:rsid w:val="00B22C7D"/>
    <w:rsid w:val="00B2355B"/>
    <w:rsid w:val="00B30730"/>
    <w:rsid w:val="00B37FA1"/>
    <w:rsid w:val="00B54A9C"/>
    <w:rsid w:val="00B54DCC"/>
    <w:rsid w:val="00B55EF8"/>
    <w:rsid w:val="00B60BF3"/>
    <w:rsid w:val="00B6365F"/>
    <w:rsid w:val="00B64008"/>
    <w:rsid w:val="00B8356C"/>
    <w:rsid w:val="00B85500"/>
    <w:rsid w:val="00B86D1D"/>
    <w:rsid w:val="00B91947"/>
    <w:rsid w:val="00B94E94"/>
    <w:rsid w:val="00BA33E1"/>
    <w:rsid w:val="00BA3A24"/>
    <w:rsid w:val="00BA3C95"/>
    <w:rsid w:val="00BB0A5E"/>
    <w:rsid w:val="00BB10FA"/>
    <w:rsid w:val="00BB67CA"/>
    <w:rsid w:val="00BB7105"/>
    <w:rsid w:val="00BC265D"/>
    <w:rsid w:val="00BC5D4D"/>
    <w:rsid w:val="00BC7C10"/>
    <w:rsid w:val="00BD42EB"/>
    <w:rsid w:val="00BE6214"/>
    <w:rsid w:val="00BF094B"/>
    <w:rsid w:val="00BF14AB"/>
    <w:rsid w:val="00BF1A90"/>
    <w:rsid w:val="00BF2B3C"/>
    <w:rsid w:val="00C03EA8"/>
    <w:rsid w:val="00C06F4E"/>
    <w:rsid w:val="00C07172"/>
    <w:rsid w:val="00C21384"/>
    <w:rsid w:val="00C249BD"/>
    <w:rsid w:val="00C24CC4"/>
    <w:rsid w:val="00C24DCF"/>
    <w:rsid w:val="00C27329"/>
    <w:rsid w:val="00C307FC"/>
    <w:rsid w:val="00C406E7"/>
    <w:rsid w:val="00C41365"/>
    <w:rsid w:val="00C4238C"/>
    <w:rsid w:val="00C44D7C"/>
    <w:rsid w:val="00C53500"/>
    <w:rsid w:val="00C55283"/>
    <w:rsid w:val="00C55348"/>
    <w:rsid w:val="00C57889"/>
    <w:rsid w:val="00C60D7D"/>
    <w:rsid w:val="00C659A5"/>
    <w:rsid w:val="00C70B44"/>
    <w:rsid w:val="00C70FF5"/>
    <w:rsid w:val="00C71CAE"/>
    <w:rsid w:val="00C71FC7"/>
    <w:rsid w:val="00C749AF"/>
    <w:rsid w:val="00C84D77"/>
    <w:rsid w:val="00C87532"/>
    <w:rsid w:val="00C941AF"/>
    <w:rsid w:val="00C962E1"/>
    <w:rsid w:val="00CB225C"/>
    <w:rsid w:val="00CB5C30"/>
    <w:rsid w:val="00CB6E99"/>
    <w:rsid w:val="00CB78B4"/>
    <w:rsid w:val="00CC3FAC"/>
    <w:rsid w:val="00CE380C"/>
    <w:rsid w:val="00CF1B67"/>
    <w:rsid w:val="00CF4C2F"/>
    <w:rsid w:val="00CF53AD"/>
    <w:rsid w:val="00D051FF"/>
    <w:rsid w:val="00D11628"/>
    <w:rsid w:val="00D11D93"/>
    <w:rsid w:val="00D11F35"/>
    <w:rsid w:val="00D1780A"/>
    <w:rsid w:val="00D2315F"/>
    <w:rsid w:val="00D23A48"/>
    <w:rsid w:val="00D267E0"/>
    <w:rsid w:val="00D3210A"/>
    <w:rsid w:val="00D3211E"/>
    <w:rsid w:val="00D4715F"/>
    <w:rsid w:val="00D4732C"/>
    <w:rsid w:val="00D53D6B"/>
    <w:rsid w:val="00D66C12"/>
    <w:rsid w:val="00D70442"/>
    <w:rsid w:val="00D70A9A"/>
    <w:rsid w:val="00D733E9"/>
    <w:rsid w:val="00D73B9C"/>
    <w:rsid w:val="00D769DD"/>
    <w:rsid w:val="00D906AC"/>
    <w:rsid w:val="00DA103A"/>
    <w:rsid w:val="00DA1834"/>
    <w:rsid w:val="00DA1889"/>
    <w:rsid w:val="00DA5B3A"/>
    <w:rsid w:val="00DA7B66"/>
    <w:rsid w:val="00DB0118"/>
    <w:rsid w:val="00DB5317"/>
    <w:rsid w:val="00DC03B5"/>
    <w:rsid w:val="00DC3189"/>
    <w:rsid w:val="00DC3809"/>
    <w:rsid w:val="00DD298F"/>
    <w:rsid w:val="00DD3AF2"/>
    <w:rsid w:val="00DE0ECA"/>
    <w:rsid w:val="00DE75A9"/>
    <w:rsid w:val="00DF19DE"/>
    <w:rsid w:val="00DF6718"/>
    <w:rsid w:val="00E04679"/>
    <w:rsid w:val="00E12D07"/>
    <w:rsid w:val="00E15379"/>
    <w:rsid w:val="00E232E3"/>
    <w:rsid w:val="00E23DED"/>
    <w:rsid w:val="00E27769"/>
    <w:rsid w:val="00E43BA7"/>
    <w:rsid w:val="00E44F0C"/>
    <w:rsid w:val="00E501D0"/>
    <w:rsid w:val="00E52BEE"/>
    <w:rsid w:val="00E54314"/>
    <w:rsid w:val="00E62A41"/>
    <w:rsid w:val="00E63CC0"/>
    <w:rsid w:val="00E64C90"/>
    <w:rsid w:val="00E65026"/>
    <w:rsid w:val="00E65E05"/>
    <w:rsid w:val="00E669CC"/>
    <w:rsid w:val="00E75AF6"/>
    <w:rsid w:val="00E83243"/>
    <w:rsid w:val="00E91F33"/>
    <w:rsid w:val="00E93A6B"/>
    <w:rsid w:val="00E96303"/>
    <w:rsid w:val="00EA39A7"/>
    <w:rsid w:val="00EB06B6"/>
    <w:rsid w:val="00EB5F5F"/>
    <w:rsid w:val="00EB79C2"/>
    <w:rsid w:val="00EC434B"/>
    <w:rsid w:val="00EC5B4F"/>
    <w:rsid w:val="00EC7996"/>
    <w:rsid w:val="00ED5B68"/>
    <w:rsid w:val="00EE1221"/>
    <w:rsid w:val="00EE40E3"/>
    <w:rsid w:val="00EE630E"/>
    <w:rsid w:val="00EF379C"/>
    <w:rsid w:val="00EF669B"/>
    <w:rsid w:val="00F06F0F"/>
    <w:rsid w:val="00F10436"/>
    <w:rsid w:val="00F20B58"/>
    <w:rsid w:val="00F218E2"/>
    <w:rsid w:val="00F21C12"/>
    <w:rsid w:val="00F23C95"/>
    <w:rsid w:val="00F26BB8"/>
    <w:rsid w:val="00F30F07"/>
    <w:rsid w:val="00F32DF6"/>
    <w:rsid w:val="00F459A9"/>
    <w:rsid w:val="00F64396"/>
    <w:rsid w:val="00F67D4E"/>
    <w:rsid w:val="00F70D49"/>
    <w:rsid w:val="00F73511"/>
    <w:rsid w:val="00F75401"/>
    <w:rsid w:val="00F819B4"/>
    <w:rsid w:val="00F86508"/>
    <w:rsid w:val="00F95354"/>
    <w:rsid w:val="00F9653C"/>
    <w:rsid w:val="00FA4FFB"/>
    <w:rsid w:val="00FB224C"/>
    <w:rsid w:val="00FB3804"/>
    <w:rsid w:val="00FB6416"/>
    <w:rsid w:val="00FC0F31"/>
    <w:rsid w:val="00FC4848"/>
    <w:rsid w:val="00FC5E53"/>
    <w:rsid w:val="00FC6441"/>
    <w:rsid w:val="00FD4EB0"/>
    <w:rsid w:val="00FE10B5"/>
    <w:rsid w:val="00FE5E2E"/>
    <w:rsid w:val="00FE6A5C"/>
    <w:rsid w:val="00FF3BC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A4033"/>
  <w15:chartTrackingRefBased/>
  <w15:docId w15:val="{3B002C2F-B58A-43C1-9DE4-58B536D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3A"/>
    <w:pPr>
      <w:spacing w:after="200" w:line="276" w:lineRule="auto"/>
    </w:pPr>
  </w:style>
  <w:style w:type="paragraph" w:styleId="Ttulo1">
    <w:name w:val="heading 1"/>
    <w:basedOn w:val="Normal"/>
    <w:link w:val="Ttulo1Car"/>
    <w:uiPriority w:val="9"/>
    <w:qFormat/>
    <w:rsid w:val="002B5E76"/>
    <w:pPr>
      <w:widowControl w:val="0"/>
      <w:autoSpaceDE w:val="0"/>
      <w:autoSpaceDN w:val="0"/>
      <w:spacing w:after="0" w:line="240" w:lineRule="auto"/>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pPr>
      <w:widowControl w:val="0"/>
      <w:autoSpaceDE w:val="0"/>
      <w:autoSpaceDN w:val="0"/>
      <w:spacing w:after="0" w:line="240" w:lineRule="auto"/>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widowControl w:val="0"/>
      <w:tabs>
        <w:tab w:val="center" w:pos="4550"/>
        <w:tab w:val="left" w:pos="5818"/>
      </w:tabs>
      <w:autoSpaceDE w:val="0"/>
      <w:autoSpaceDN w:val="0"/>
      <w:spacing w:after="0" w:line="240" w:lineRule="auto"/>
      <w:ind w:right="260"/>
      <w:jc w:val="right"/>
    </w:pPr>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2E183A"/>
    <w:pPr>
      <w:spacing w:after="120"/>
    </w:pPr>
    <w:rPr>
      <w:sz w:val="16"/>
      <w:szCs w:val="16"/>
    </w:rPr>
  </w:style>
  <w:style w:type="character" w:customStyle="1" w:styleId="Textoindependiente3Car">
    <w:name w:val="Texto independiente 3 Car"/>
    <w:basedOn w:val="Fuentedeprrafopredeter"/>
    <w:link w:val="Textoindependiente3"/>
    <w:uiPriority w:val="99"/>
    <w:rsid w:val="002E183A"/>
    <w:rPr>
      <w:sz w:val="16"/>
      <w:szCs w:val="16"/>
    </w:rPr>
  </w:style>
  <w:style w:type="paragraph" w:customStyle="1" w:styleId="Standard">
    <w:name w:val="Standard"/>
    <w:rsid w:val="002E183A"/>
    <w:pPr>
      <w:suppressAutoHyphens/>
      <w:autoSpaceDN w:val="0"/>
      <w:spacing w:after="200" w:line="276" w:lineRule="auto"/>
      <w:textAlignment w:val="baseline"/>
    </w:pPr>
    <w:rPr>
      <w:rFonts w:ascii="Calibri" w:eastAsia="Calibri" w:hAnsi="Calibri" w:cs="Tahoma"/>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2E183A"/>
    <w:pPr>
      <w:ind w:left="720"/>
      <w:contextualSpacing/>
    </w:pPr>
  </w:style>
  <w:style w:type="paragraph" w:styleId="Sinespaciado">
    <w:name w:val="No Spacing"/>
    <w:qFormat/>
    <w:rsid w:val="002E183A"/>
    <w:pPr>
      <w:spacing w:after="0" w:line="240" w:lineRule="auto"/>
      <w:ind w:left="55" w:right="45" w:hanging="10"/>
      <w:jc w:val="both"/>
    </w:pPr>
    <w:rPr>
      <w:rFonts w:ascii="Calibri" w:eastAsia="Calibri" w:hAnsi="Calibri" w:cs="Calibri"/>
      <w:color w:val="000000"/>
      <w:lang w:eastAsia="es-CO"/>
    </w:rPr>
  </w:style>
  <w:style w:type="paragraph" w:styleId="NormalWeb">
    <w:name w:val="Normal (Web)"/>
    <w:basedOn w:val="Normal"/>
    <w:uiPriority w:val="99"/>
    <w:unhideWhenUsed/>
    <w:qFormat/>
    <w:rsid w:val="002E183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2E183A"/>
    <w:pPr>
      <w:autoSpaceDE w:val="0"/>
      <w:autoSpaceDN w:val="0"/>
      <w:adjustRightInd w:val="0"/>
      <w:spacing w:after="0" w:line="240" w:lineRule="auto"/>
    </w:pPr>
    <w:rPr>
      <w:rFonts w:ascii="Arial" w:eastAsia="Calibri" w:hAnsi="Arial" w:cs="Arial"/>
      <w:color w:val="000000"/>
      <w:sz w:val="24"/>
      <w:szCs w:val="24"/>
    </w:rPr>
  </w:style>
  <w:style w:type="paragraph" w:styleId="Revisin">
    <w:name w:val="Revision"/>
    <w:hidden/>
    <w:uiPriority w:val="99"/>
    <w:semiHidden/>
    <w:rsid w:val="00CB225C"/>
    <w:pPr>
      <w:spacing w:after="0" w:line="240" w:lineRule="auto"/>
    </w:pPr>
  </w:style>
  <w:style w:type="paragraph" w:customStyle="1" w:styleId="footnotedescription">
    <w:name w:val="footnote description"/>
    <w:next w:val="Normal"/>
    <w:link w:val="footnotedescriptionChar"/>
    <w:hidden/>
    <w:rsid w:val="00A5013C"/>
    <w:pPr>
      <w:spacing w:after="0" w:line="254" w:lineRule="auto"/>
    </w:pPr>
    <w:rPr>
      <w:rFonts w:ascii="Arial" w:eastAsia="Arial" w:hAnsi="Arial" w:cs="Arial"/>
      <w:color w:val="000000"/>
      <w:sz w:val="16"/>
      <w:lang w:eastAsia="es-CO"/>
    </w:rPr>
  </w:style>
  <w:style w:type="character" w:customStyle="1" w:styleId="footnotedescriptionChar">
    <w:name w:val="footnote description Char"/>
    <w:link w:val="footnotedescription"/>
    <w:rsid w:val="00A5013C"/>
    <w:rPr>
      <w:rFonts w:ascii="Arial" w:eastAsia="Arial" w:hAnsi="Arial" w:cs="Arial"/>
      <w:color w:val="000000"/>
      <w:sz w:val="16"/>
      <w:lang w:eastAsia="es-CO"/>
    </w:rPr>
  </w:style>
  <w:style w:type="character" w:customStyle="1" w:styleId="footnotemark">
    <w:name w:val="footnote mark"/>
    <w:hidden/>
    <w:rsid w:val="00A5013C"/>
    <w:rPr>
      <w:rFonts w:ascii="Arial" w:eastAsia="Arial" w:hAnsi="Arial" w:cs="Arial"/>
      <w:color w:val="000000"/>
      <w:sz w:val="16"/>
      <w:vertAlign w:val="superscript"/>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341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3412"/>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5D3412"/>
    <w:rPr>
      <w:vertAlign w:val="superscript"/>
    </w:rPr>
  </w:style>
  <w:style w:type="character" w:styleId="Refdecomentario">
    <w:name w:val="annotation reference"/>
    <w:basedOn w:val="Fuentedeprrafopredeter"/>
    <w:uiPriority w:val="99"/>
    <w:semiHidden/>
    <w:unhideWhenUsed/>
    <w:rsid w:val="005955D8"/>
    <w:rPr>
      <w:sz w:val="16"/>
      <w:szCs w:val="16"/>
    </w:rPr>
  </w:style>
  <w:style w:type="paragraph" w:styleId="Textocomentario">
    <w:name w:val="annotation text"/>
    <w:basedOn w:val="Normal"/>
    <w:link w:val="TextocomentarioCar"/>
    <w:uiPriority w:val="99"/>
    <w:semiHidden/>
    <w:unhideWhenUsed/>
    <w:rsid w:val="005955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55D8"/>
    <w:rPr>
      <w:sz w:val="20"/>
      <w:szCs w:val="20"/>
    </w:rPr>
  </w:style>
  <w:style w:type="paragraph" w:styleId="Asuntodelcomentario">
    <w:name w:val="annotation subject"/>
    <w:basedOn w:val="Textocomentario"/>
    <w:next w:val="Textocomentario"/>
    <w:link w:val="AsuntodelcomentarioCar"/>
    <w:uiPriority w:val="99"/>
    <w:semiHidden/>
    <w:unhideWhenUsed/>
    <w:rsid w:val="005955D8"/>
    <w:rPr>
      <w:b/>
      <w:bCs/>
    </w:rPr>
  </w:style>
  <w:style w:type="character" w:customStyle="1" w:styleId="AsuntodelcomentarioCar">
    <w:name w:val="Asunto del comentario Car"/>
    <w:basedOn w:val="TextocomentarioCar"/>
    <w:link w:val="Asuntodelcomentario"/>
    <w:uiPriority w:val="99"/>
    <w:semiHidden/>
    <w:rsid w:val="005955D8"/>
    <w:rPr>
      <w:b/>
      <w:bCs/>
      <w:sz w:val="20"/>
      <w:szCs w:val="20"/>
    </w:rPr>
  </w:style>
  <w:style w:type="character" w:styleId="Hipervnculovisitado">
    <w:name w:val="FollowedHyperlink"/>
    <w:basedOn w:val="Fuentedeprrafopredeter"/>
    <w:uiPriority w:val="99"/>
    <w:semiHidden/>
    <w:unhideWhenUsed/>
    <w:rsid w:val="005B50D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27A5D"/>
    <w:pPr>
      <w:spacing w:after="0" w:line="240" w:lineRule="auto"/>
      <w:jc w:val="both"/>
    </w:pPr>
    <w:rPr>
      <w:vertAlign w:val="superscript"/>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43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3640">
      <w:bodyDiv w:val="1"/>
      <w:marLeft w:val="0"/>
      <w:marRight w:val="0"/>
      <w:marTop w:val="0"/>
      <w:marBottom w:val="0"/>
      <w:divBdr>
        <w:top w:val="none" w:sz="0" w:space="0" w:color="auto"/>
        <w:left w:val="none" w:sz="0" w:space="0" w:color="auto"/>
        <w:bottom w:val="none" w:sz="0" w:space="0" w:color="auto"/>
        <w:right w:val="none" w:sz="0" w:space="0" w:color="auto"/>
      </w:divBdr>
    </w:div>
    <w:div w:id="119032249">
      <w:bodyDiv w:val="1"/>
      <w:marLeft w:val="0"/>
      <w:marRight w:val="0"/>
      <w:marTop w:val="0"/>
      <w:marBottom w:val="0"/>
      <w:divBdr>
        <w:top w:val="none" w:sz="0" w:space="0" w:color="auto"/>
        <w:left w:val="none" w:sz="0" w:space="0" w:color="auto"/>
        <w:bottom w:val="none" w:sz="0" w:space="0" w:color="auto"/>
        <w:right w:val="none" w:sz="0" w:space="0" w:color="auto"/>
      </w:divBdr>
    </w:div>
    <w:div w:id="212011253">
      <w:bodyDiv w:val="1"/>
      <w:marLeft w:val="0"/>
      <w:marRight w:val="0"/>
      <w:marTop w:val="0"/>
      <w:marBottom w:val="0"/>
      <w:divBdr>
        <w:top w:val="none" w:sz="0" w:space="0" w:color="auto"/>
        <w:left w:val="none" w:sz="0" w:space="0" w:color="auto"/>
        <w:bottom w:val="none" w:sz="0" w:space="0" w:color="auto"/>
        <w:right w:val="none" w:sz="0" w:space="0" w:color="auto"/>
      </w:divBdr>
    </w:div>
    <w:div w:id="271978771">
      <w:bodyDiv w:val="1"/>
      <w:marLeft w:val="0"/>
      <w:marRight w:val="0"/>
      <w:marTop w:val="0"/>
      <w:marBottom w:val="0"/>
      <w:divBdr>
        <w:top w:val="none" w:sz="0" w:space="0" w:color="auto"/>
        <w:left w:val="none" w:sz="0" w:space="0" w:color="auto"/>
        <w:bottom w:val="none" w:sz="0" w:space="0" w:color="auto"/>
        <w:right w:val="none" w:sz="0" w:space="0" w:color="auto"/>
      </w:divBdr>
    </w:div>
    <w:div w:id="595020524">
      <w:bodyDiv w:val="1"/>
      <w:marLeft w:val="0"/>
      <w:marRight w:val="0"/>
      <w:marTop w:val="0"/>
      <w:marBottom w:val="0"/>
      <w:divBdr>
        <w:top w:val="none" w:sz="0" w:space="0" w:color="auto"/>
        <w:left w:val="none" w:sz="0" w:space="0" w:color="auto"/>
        <w:bottom w:val="none" w:sz="0" w:space="0" w:color="auto"/>
        <w:right w:val="none" w:sz="0" w:space="0" w:color="auto"/>
      </w:divBdr>
    </w:div>
    <w:div w:id="771509281">
      <w:bodyDiv w:val="1"/>
      <w:marLeft w:val="0"/>
      <w:marRight w:val="0"/>
      <w:marTop w:val="0"/>
      <w:marBottom w:val="0"/>
      <w:divBdr>
        <w:top w:val="none" w:sz="0" w:space="0" w:color="auto"/>
        <w:left w:val="none" w:sz="0" w:space="0" w:color="auto"/>
        <w:bottom w:val="none" w:sz="0" w:space="0" w:color="auto"/>
        <w:right w:val="none" w:sz="0" w:space="0" w:color="auto"/>
      </w:divBdr>
    </w:div>
    <w:div w:id="1205828340">
      <w:bodyDiv w:val="1"/>
      <w:marLeft w:val="0"/>
      <w:marRight w:val="0"/>
      <w:marTop w:val="0"/>
      <w:marBottom w:val="0"/>
      <w:divBdr>
        <w:top w:val="none" w:sz="0" w:space="0" w:color="auto"/>
        <w:left w:val="none" w:sz="0" w:space="0" w:color="auto"/>
        <w:bottom w:val="none" w:sz="0" w:space="0" w:color="auto"/>
        <w:right w:val="none" w:sz="0" w:space="0" w:color="auto"/>
      </w:divBdr>
    </w:div>
    <w:div w:id="1479692608">
      <w:bodyDiv w:val="1"/>
      <w:marLeft w:val="0"/>
      <w:marRight w:val="0"/>
      <w:marTop w:val="0"/>
      <w:marBottom w:val="0"/>
      <w:divBdr>
        <w:top w:val="none" w:sz="0" w:space="0" w:color="auto"/>
        <w:left w:val="none" w:sz="0" w:space="0" w:color="auto"/>
        <w:bottom w:val="none" w:sz="0" w:space="0" w:color="auto"/>
        <w:right w:val="none" w:sz="0" w:space="0" w:color="auto"/>
      </w:divBdr>
      <w:divsChild>
        <w:div w:id="152747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esktop\GHA%20-%20KGARCIA\ABOGADA\P&#218;BLICO\RECURSOS\JUDICIAL\WILLIAM%20IDROBO\RECURSO%20DE%20REPOSI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RECURSO DE REPOSICION</Template>
  <TotalTime>272</TotalTime>
  <Pages>10</Pages>
  <Words>3253</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Javier Rivera Agredo</cp:lastModifiedBy>
  <cp:revision>124</cp:revision>
  <cp:lastPrinted>2025-06-17T20:34:00Z</cp:lastPrinted>
  <dcterms:created xsi:type="dcterms:W3CDTF">2025-02-20T21:06:00Z</dcterms:created>
  <dcterms:modified xsi:type="dcterms:W3CDTF">2025-06-17T20:44:00Z</dcterms:modified>
</cp:coreProperties>
</file>