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5B3C" w14:textId="77777777" w:rsidR="00C44EB0" w:rsidRPr="005E3011" w:rsidRDefault="00C44EB0" w:rsidP="006D716C">
      <w:pPr>
        <w:jc w:val="center"/>
        <w:rPr>
          <w:rFonts w:ascii="Arial" w:hAnsi="Arial" w:cs="Arial"/>
          <w:b/>
        </w:rPr>
      </w:pPr>
      <w:r w:rsidRPr="005E3011">
        <w:rPr>
          <w:rFonts w:ascii="Arial" w:hAnsi="Arial" w:cs="Arial"/>
          <w:b/>
        </w:rPr>
        <w:t>INFORME INICIAL DEL PROCESO</w:t>
      </w:r>
    </w:p>
    <w:tbl>
      <w:tblPr>
        <w:tblStyle w:val="Tablaconcuadrcula"/>
        <w:tblW w:w="0" w:type="auto"/>
        <w:tblLook w:val="04A0" w:firstRow="1" w:lastRow="0" w:firstColumn="1" w:lastColumn="0" w:noHBand="0" w:noVBand="1"/>
      </w:tblPr>
      <w:tblGrid>
        <w:gridCol w:w="4414"/>
        <w:gridCol w:w="4414"/>
      </w:tblGrid>
      <w:tr w:rsidR="00C44EB0" w:rsidRPr="005E3011" w14:paraId="00875B3F" w14:textId="77777777" w:rsidTr="5AF8758B">
        <w:tc>
          <w:tcPr>
            <w:tcW w:w="4414" w:type="dxa"/>
            <w:shd w:val="clear" w:color="auto" w:fill="D9D9D9" w:themeFill="background1" w:themeFillShade="D9"/>
          </w:tcPr>
          <w:p w14:paraId="00875B3D" w14:textId="77777777" w:rsidR="00C44EB0" w:rsidRPr="005E3011" w:rsidRDefault="00C44EB0" w:rsidP="00C44EB0">
            <w:pPr>
              <w:rPr>
                <w:rFonts w:ascii="Arial" w:hAnsi="Arial" w:cs="Arial"/>
                <w:b/>
              </w:rPr>
            </w:pPr>
            <w:r w:rsidRPr="005E3011">
              <w:rPr>
                <w:rFonts w:ascii="Arial" w:hAnsi="Arial" w:cs="Arial"/>
                <w:b/>
              </w:rPr>
              <w:t>Apoderado</w:t>
            </w:r>
            <w:r w:rsidR="00AE03CA" w:rsidRPr="005E3011">
              <w:rPr>
                <w:rFonts w:ascii="Arial" w:hAnsi="Arial" w:cs="Arial"/>
                <w:b/>
              </w:rPr>
              <w:t>:</w:t>
            </w:r>
          </w:p>
        </w:tc>
        <w:tc>
          <w:tcPr>
            <w:tcW w:w="4414" w:type="dxa"/>
          </w:tcPr>
          <w:p w14:paraId="00875B3E" w14:textId="77777777" w:rsidR="00C44EB0" w:rsidRPr="005E3011" w:rsidRDefault="00B632BF" w:rsidP="00B632BF">
            <w:pPr>
              <w:jc w:val="both"/>
              <w:rPr>
                <w:rFonts w:ascii="Arial" w:hAnsi="Arial" w:cs="Arial"/>
              </w:rPr>
            </w:pPr>
            <w:r w:rsidRPr="005E3011">
              <w:rPr>
                <w:rFonts w:ascii="Arial" w:hAnsi="Arial" w:cs="Arial"/>
              </w:rPr>
              <w:t>GUSTAVO ALBERTO HERRERA ÁVILA</w:t>
            </w:r>
          </w:p>
        </w:tc>
      </w:tr>
      <w:tr w:rsidR="00AE03CA" w:rsidRPr="005E3011" w14:paraId="00875B42" w14:textId="77777777" w:rsidTr="5AF8758B">
        <w:tc>
          <w:tcPr>
            <w:tcW w:w="4414" w:type="dxa"/>
            <w:shd w:val="clear" w:color="auto" w:fill="D9D9D9" w:themeFill="background1" w:themeFillShade="D9"/>
          </w:tcPr>
          <w:p w14:paraId="00875B40" w14:textId="77777777" w:rsidR="00AE03CA" w:rsidRPr="005E3011" w:rsidRDefault="00AE03CA" w:rsidP="00C44EB0">
            <w:pPr>
              <w:rPr>
                <w:rFonts w:ascii="Arial" w:hAnsi="Arial" w:cs="Arial"/>
                <w:b/>
              </w:rPr>
            </w:pPr>
            <w:r w:rsidRPr="005E3011">
              <w:rPr>
                <w:rFonts w:ascii="Arial" w:hAnsi="Arial" w:cs="Arial"/>
                <w:b/>
              </w:rPr>
              <w:t xml:space="preserve">Tipo </w:t>
            </w:r>
            <w:r w:rsidR="006D716C" w:rsidRPr="005E3011">
              <w:rPr>
                <w:rFonts w:ascii="Arial" w:hAnsi="Arial" w:cs="Arial"/>
                <w:b/>
              </w:rPr>
              <w:t xml:space="preserve">y # </w:t>
            </w:r>
            <w:r w:rsidRPr="005E3011">
              <w:rPr>
                <w:rFonts w:ascii="Arial" w:hAnsi="Arial" w:cs="Arial"/>
                <w:b/>
              </w:rPr>
              <w:t>de Póliza:</w:t>
            </w:r>
          </w:p>
        </w:tc>
        <w:tc>
          <w:tcPr>
            <w:tcW w:w="4414" w:type="dxa"/>
          </w:tcPr>
          <w:p w14:paraId="66F4D7C0" w14:textId="77777777" w:rsidR="00B632BF" w:rsidRPr="005E3011" w:rsidRDefault="004D56EB" w:rsidP="00B632BF">
            <w:pPr>
              <w:jc w:val="both"/>
              <w:rPr>
                <w:rFonts w:ascii="Arial" w:eastAsia="Times New Roman" w:hAnsi="Arial" w:cs="Arial"/>
                <w:color w:val="000000"/>
                <w:lang w:eastAsia="es-CO"/>
              </w:rPr>
            </w:pPr>
            <w:r w:rsidRPr="005E3011">
              <w:rPr>
                <w:rFonts w:ascii="Arial" w:hAnsi="Arial" w:cs="Arial"/>
              </w:rPr>
              <w:t>PÓLIZA DE GARANTÍA ÚNICA DE CUMPLIMIENTO EN FAVOR DE ENTIDADES ESTATALES - DECRETO 1082 DE 2015- N</w:t>
            </w:r>
            <w:r w:rsidR="009D3A7F" w:rsidRPr="005E3011">
              <w:rPr>
                <w:rFonts w:ascii="Arial" w:hAnsi="Arial" w:cs="Arial"/>
              </w:rPr>
              <w:t>o</w:t>
            </w:r>
            <w:r w:rsidRPr="005E3011">
              <w:rPr>
                <w:rFonts w:ascii="Arial" w:hAnsi="Arial" w:cs="Arial"/>
              </w:rPr>
              <w:t>.</w:t>
            </w:r>
            <w:r w:rsidR="009D3A7F" w:rsidRPr="005E3011">
              <w:rPr>
                <w:rFonts w:ascii="Arial" w:eastAsia="Times New Roman" w:hAnsi="Arial" w:cs="Arial"/>
                <w:color w:val="000000"/>
                <w:lang w:eastAsia="es-CO"/>
              </w:rPr>
              <w:t xml:space="preserve"> 3044483</w:t>
            </w:r>
          </w:p>
          <w:p w14:paraId="29D3D905" w14:textId="77777777" w:rsidR="009D3A7F" w:rsidRPr="005E3011" w:rsidRDefault="009D3A7F" w:rsidP="00B632BF">
            <w:pPr>
              <w:jc w:val="both"/>
              <w:rPr>
                <w:rFonts w:ascii="Arial" w:eastAsia="Times New Roman" w:hAnsi="Arial" w:cs="Arial"/>
                <w:color w:val="000000"/>
                <w:lang w:eastAsia="es-CO"/>
              </w:rPr>
            </w:pPr>
          </w:p>
          <w:p w14:paraId="34244BBD" w14:textId="6999D9E3" w:rsidR="009D3A7F" w:rsidRPr="005E3011" w:rsidRDefault="009D3A7F" w:rsidP="00B632BF">
            <w:pPr>
              <w:jc w:val="both"/>
              <w:rPr>
                <w:rFonts w:ascii="Arial" w:eastAsia="Times New Roman" w:hAnsi="Arial" w:cs="Arial"/>
                <w:color w:val="000000"/>
                <w:lang w:eastAsia="es-CO"/>
              </w:rPr>
            </w:pPr>
            <w:r w:rsidRPr="005E3011">
              <w:rPr>
                <w:rFonts w:ascii="Arial" w:eastAsia="Times New Roman" w:hAnsi="Arial" w:cs="Arial"/>
                <w:color w:val="000000"/>
                <w:lang w:eastAsia="es-CO"/>
              </w:rPr>
              <w:t>PÓLIZA DE RCE DERIVADA DE CUMPLIMIENTO No.</w:t>
            </w:r>
            <w:r w:rsidRPr="005E3011">
              <w:rPr>
                <w:rFonts w:ascii="Arial" w:eastAsia="Times New Roman" w:hAnsi="Arial" w:cs="Arial"/>
                <w:lang w:eastAsia="es-CO"/>
              </w:rPr>
              <w:t xml:space="preserve"> 723656</w:t>
            </w:r>
          </w:p>
          <w:p w14:paraId="00875B41" w14:textId="56ECB891" w:rsidR="009D3A7F" w:rsidRPr="005E3011" w:rsidRDefault="009D3A7F" w:rsidP="00B632BF">
            <w:pPr>
              <w:jc w:val="both"/>
              <w:rPr>
                <w:rFonts w:ascii="Arial" w:hAnsi="Arial" w:cs="Arial"/>
              </w:rPr>
            </w:pPr>
          </w:p>
        </w:tc>
      </w:tr>
      <w:tr w:rsidR="00AE03CA" w:rsidRPr="005E3011" w14:paraId="00875B45" w14:textId="77777777" w:rsidTr="5AF8758B">
        <w:tc>
          <w:tcPr>
            <w:tcW w:w="4414" w:type="dxa"/>
            <w:shd w:val="clear" w:color="auto" w:fill="D9D9D9" w:themeFill="background1" w:themeFillShade="D9"/>
          </w:tcPr>
          <w:p w14:paraId="00875B43" w14:textId="77777777" w:rsidR="00AE03CA" w:rsidRPr="005E3011" w:rsidRDefault="00AE03CA" w:rsidP="00C44EB0">
            <w:pPr>
              <w:rPr>
                <w:rFonts w:ascii="Arial" w:hAnsi="Arial" w:cs="Arial"/>
                <w:b/>
              </w:rPr>
            </w:pPr>
            <w:r w:rsidRPr="005E3011">
              <w:rPr>
                <w:rFonts w:ascii="Arial" w:hAnsi="Arial" w:cs="Arial"/>
                <w:b/>
              </w:rPr>
              <w:t>Amparo</w:t>
            </w:r>
            <w:r w:rsidR="006D716C" w:rsidRPr="005E3011">
              <w:rPr>
                <w:rFonts w:ascii="Arial" w:hAnsi="Arial" w:cs="Arial"/>
                <w:b/>
              </w:rPr>
              <w:t>s</w:t>
            </w:r>
            <w:r w:rsidRPr="005E3011">
              <w:rPr>
                <w:rFonts w:ascii="Arial" w:hAnsi="Arial" w:cs="Arial"/>
                <w:b/>
              </w:rPr>
              <w:t xml:space="preserve"> afectado</w:t>
            </w:r>
            <w:r w:rsidR="006D716C" w:rsidRPr="005E3011">
              <w:rPr>
                <w:rFonts w:ascii="Arial" w:hAnsi="Arial" w:cs="Arial"/>
                <w:b/>
              </w:rPr>
              <w:t>s</w:t>
            </w:r>
            <w:r w:rsidRPr="005E3011">
              <w:rPr>
                <w:rFonts w:ascii="Arial" w:hAnsi="Arial" w:cs="Arial"/>
                <w:b/>
              </w:rPr>
              <w:t>:</w:t>
            </w:r>
          </w:p>
        </w:tc>
        <w:tc>
          <w:tcPr>
            <w:tcW w:w="4414" w:type="dxa"/>
          </w:tcPr>
          <w:p w14:paraId="14A89A95" w14:textId="0F75FC37" w:rsidR="00AE03CA" w:rsidRPr="005E3011" w:rsidRDefault="00661A2D" w:rsidP="00B632BF">
            <w:pPr>
              <w:jc w:val="both"/>
              <w:rPr>
                <w:rFonts w:ascii="Arial" w:hAnsi="Arial" w:cs="Arial"/>
              </w:rPr>
            </w:pPr>
            <w:r w:rsidRPr="005E3011">
              <w:rPr>
                <w:rFonts w:ascii="Arial" w:hAnsi="Arial" w:cs="Arial"/>
              </w:rPr>
              <w:t xml:space="preserve">-Prestaciones sociales. </w:t>
            </w:r>
          </w:p>
          <w:p w14:paraId="6165626A" w14:textId="5DB14DAF" w:rsidR="007F2D0F" w:rsidRPr="005E3011" w:rsidRDefault="00661A2D" w:rsidP="00B632BF">
            <w:pPr>
              <w:jc w:val="both"/>
              <w:rPr>
                <w:rFonts w:ascii="Arial" w:hAnsi="Arial" w:cs="Arial"/>
              </w:rPr>
            </w:pPr>
            <w:r w:rsidRPr="005E3011">
              <w:rPr>
                <w:rFonts w:ascii="Arial" w:hAnsi="Arial" w:cs="Arial"/>
              </w:rPr>
              <w:t>-Salarios.</w:t>
            </w:r>
          </w:p>
          <w:p w14:paraId="00875B44" w14:textId="6A725B0F" w:rsidR="007F2D0F" w:rsidRPr="005E3011" w:rsidRDefault="00661A2D" w:rsidP="00B632BF">
            <w:pPr>
              <w:jc w:val="both"/>
              <w:rPr>
                <w:rFonts w:ascii="Arial" w:hAnsi="Arial" w:cs="Arial"/>
              </w:rPr>
            </w:pPr>
            <w:r w:rsidRPr="005E3011">
              <w:rPr>
                <w:rFonts w:ascii="Arial" w:hAnsi="Arial" w:cs="Arial"/>
              </w:rPr>
              <w:t>-Indemnizaciones laborales.</w:t>
            </w:r>
          </w:p>
        </w:tc>
      </w:tr>
      <w:tr w:rsidR="00AE03CA" w:rsidRPr="005E3011" w14:paraId="00875B48" w14:textId="77777777" w:rsidTr="5AF8758B">
        <w:tc>
          <w:tcPr>
            <w:tcW w:w="4414" w:type="dxa"/>
            <w:shd w:val="clear" w:color="auto" w:fill="D9D9D9" w:themeFill="background1" w:themeFillShade="D9"/>
          </w:tcPr>
          <w:p w14:paraId="00875B46" w14:textId="77777777" w:rsidR="00AE03CA" w:rsidRPr="005E3011" w:rsidRDefault="00AE03CA" w:rsidP="00C44EB0">
            <w:pPr>
              <w:rPr>
                <w:rFonts w:ascii="Arial" w:hAnsi="Arial" w:cs="Arial"/>
                <w:b/>
              </w:rPr>
            </w:pPr>
            <w:r w:rsidRPr="005E3011">
              <w:rPr>
                <w:rFonts w:ascii="Arial" w:hAnsi="Arial" w:cs="Arial"/>
                <w:b/>
              </w:rPr>
              <w:t>Tomador:</w:t>
            </w:r>
          </w:p>
        </w:tc>
        <w:tc>
          <w:tcPr>
            <w:tcW w:w="4414" w:type="dxa"/>
          </w:tcPr>
          <w:p w14:paraId="00875B47" w14:textId="0CEA976E" w:rsidR="00AE03CA" w:rsidRPr="005E3011" w:rsidRDefault="009D3A7F" w:rsidP="00B632BF">
            <w:pPr>
              <w:jc w:val="both"/>
              <w:rPr>
                <w:rFonts w:ascii="Arial" w:hAnsi="Arial" w:cs="Arial"/>
              </w:rPr>
            </w:pPr>
            <w:r w:rsidRPr="005E3011">
              <w:rPr>
                <w:rFonts w:ascii="Arial" w:eastAsia="Times New Roman" w:hAnsi="Arial" w:cs="Arial"/>
                <w:color w:val="000000"/>
                <w:lang w:eastAsia="es-CO"/>
              </w:rPr>
              <w:t>CONSORCIO VÍAS NARIÑO</w:t>
            </w:r>
          </w:p>
        </w:tc>
      </w:tr>
      <w:tr w:rsidR="00AE03CA" w:rsidRPr="005E3011" w14:paraId="00875B4B" w14:textId="77777777" w:rsidTr="5AF8758B">
        <w:tc>
          <w:tcPr>
            <w:tcW w:w="4414" w:type="dxa"/>
            <w:shd w:val="clear" w:color="auto" w:fill="D9D9D9" w:themeFill="background1" w:themeFillShade="D9"/>
          </w:tcPr>
          <w:p w14:paraId="00875B49" w14:textId="77777777" w:rsidR="00AE03CA" w:rsidRPr="005E3011" w:rsidRDefault="00AE03CA" w:rsidP="00C44EB0">
            <w:pPr>
              <w:rPr>
                <w:rFonts w:ascii="Arial" w:hAnsi="Arial" w:cs="Arial"/>
                <w:b/>
              </w:rPr>
            </w:pPr>
            <w:r w:rsidRPr="005E3011">
              <w:rPr>
                <w:rFonts w:ascii="Arial" w:hAnsi="Arial" w:cs="Arial"/>
                <w:b/>
              </w:rPr>
              <w:t>Asegurado:</w:t>
            </w:r>
          </w:p>
        </w:tc>
        <w:tc>
          <w:tcPr>
            <w:tcW w:w="4414" w:type="dxa"/>
          </w:tcPr>
          <w:p w14:paraId="00875B4A" w14:textId="7BA3CFF4" w:rsidR="00AE03CA" w:rsidRPr="005E3011" w:rsidRDefault="009D3A7F" w:rsidP="00B632BF">
            <w:pPr>
              <w:jc w:val="both"/>
              <w:rPr>
                <w:rFonts w:ascii="Arial" w:hAnsi="Arial" w:cs="Arial"/>
              </w:rPr>
            </w:pPr>
            <w:r w:rsidRPr="005E3011">
              <w:rPr>
                <w:rFonts w:ascii="Arial" w:eastAsia="Times New Roman" w:hAnsi="Arial" w:cs="Arial"/>
                <w:color w:val="000000"/>
                <w:lang w:eastAsia="es-CO"/>
              </w:rPr>
              <w:t>DEPARTAMENTO DE NARIÑO</w:t>
            </w:r>
          </w:p>
        </w:tc>
      </w:tr>
      <w:tr w:rsidR="00C44EB0" w:rsidRPr="005E3011" w14:paraId="00875B4E" w14:textId="77777777" w:rsidTr="5AF8758B">
        <w:tc>
          <w:tcPr>
            <w:tcW w:w="4414" w:type="dxa"/>
            <w:shd w:val="clear" w:color="auto" w:fill="D9D9D9" w:themeFill="background1" w:themeFillShade="D9"/>
          </w:tcPr>
          <w:p w14:paraId="00875B4C" w14:textId="77777777" w:rsidR="00C44EB0" w:rsidRPr="005E3011" w:rsidRDefault="00C44EB0" w:rsidP="00C44EB0">
            <w:pPr>
              <w:rPr>
                <w:rFonts w:ascii="Arial" w:hAnsi="Arial" w:cs="Arial"/>
                <w:b/>
              </w:rPr>
            </w:pPr>
            <w:r w:rsidRPr="005E3011">
              <w:rPr>
                <w:rFonts w:ascii="Arial" w:hAnsi="Arial" w:cs="Arial"/>
                <w:b/>
              </w:rPr>
              <w:t>Tipo de Proceso</w:t>
            </w:r>
            <w:r w:rsidR="00AE03CA" w:rsidRPr="005E3011">
              <w:rPr>
                <w:rFonts w:ascii="Arial" w:hAnsi="Arial" w:cs="Arial"/>
                <w:b/>
              </w:rPr>
              <w:t>:</w:t>
            </w:r>
          </w:p>
        </w:tc>
        <w:tc>
          <w:tcPr>
            <w:tcW w:w="4414" w:type="dxa"/>
          </w:tcPr>
          <w:p w14:paraId="00875B4D" w14:textId="45451FAC" w:rsidR="00C44EB0" w:rsidRPr="005E3011" w:rsidRDefault="00084CEB" w:rsidP="00B632BF">
            <w:pPr>
              <w:jc w:val="both"/>
              <w:rPr>
                <w:rFonts w:ascii="Arial" w:hAnsi="Arial" w:cs="Arial"/>
              </w:rPr>
            </w:pPr>
            <w:r w:rsidRPr="005E3011">
              <w:rPr>
                <w:rFonts w:ascii="Arial" w:hAnsi="Arial" w:cs="Arial"/>
              </w:rPr>
              <w:t>ORDINARIO LABORAL DE PRIMERA INSTANCIA</w:t>
            </w:r>
          </w:p>
        </w:tc>
      </w:tr>
      <w:tr w:rsidR="006D716C" w:rsidRPr="005E3011" w14:paraId="00875B51" w14:textId="77777777" w:rsidTr="5AF8758B">
        <w:tc>
          <w:tcPr>
            <w:tcW w:w="4414" w:type="dxa"/>
            <w:shd w:val="clear" w:color="auto" w:fill="D9D9D9" w:themeFill="background1" w:themeFillShade="D9"/>
          </w:tcPr>
          <w:p w14:paraId="00875B4F" w14:textId="77777777" w:rsidR="006D716C" w:rsidRPr="005E3011" w:rsidRDefault="006D716C" w:rsidP="00C44EB0">
            <w:pPr>
              <w:rPr>
                <w:rFonts w:ascii="Arial" w:hAnsi="Arial" w:cs="Arial"/>
                <w:b/>
              </w:rPr>
            </w:pPr>
            <w:r w:rsidRPr="005E3011">
              <w:rPr>
                <w:rFonts w:ascii="Arial" w:hAnsi="Arial" w:cs="Arial"/>
                <w:b/>
              </w:rPr>
              <w:t>Jurisdicción:</w:t>
            </w:r>
          </w:p>
        </w:tc>
        <w:tc>
          <w:tcPr>
            <w:tcW w:w="4414" w:type="dxa"/>
          </w:tcPr>
          <w:p w14:paraId="00875B50" w14:textId="3AADA2B4" w:rsidR="006D716C" w:rsidRPr="005E3011" w:rsidRDefault="00084CEB" w:rsidP="00B632BF">
            <w:pPr>
              <w:jc w:val="both"/>
              <w:rPr>
                <w:rFonts w:ascii="Arial" w:hAnsi="Arial" w:cs="Arial"/>
              </w:rPr>
            </w:pPr>
            <w:r w:rsidRPr="005E3011">
              <w:rPr>
                <w:rFonts w:ascii="Arial" w:hAnsi="Arial" w:cs="Arial"/>
              </w:rPr>
              <w:t>LABORAL</w:t>
            </w:r>
          </w:p>
        </w:tc>
      </w:tr>
      <w:tr w:rsidR="00C44EB0" w:rsidRPr="005E3011" w14:paraId="00875B54" w14:textId="77777777" w:rsidTr="5AF8758B">
        <w:tc>
          <w:tcPr>
            <w:tcW w:w="4414" w:type="dxa"/>
            <w:shd w:val="clear" w:color="auto" w:fill="D9D9D9" w:themeFill="background1" w:themeFillShade="D9"/>
          </w:tcPr>
          <w:p w14:paraId="00875B52" w14:textId="77777777" w:rsidR="00C44EB0" w:rsidRPr="005E3011" w:rsidRDefault="00C44EB0" w:rsidP="00C44EB0">
            <w:pPr>
              <w:rPr>
                <w:rFonts w:ascii="Arial" w:hAnsi="Arial" w:cs="Arial"/>
                <w:b/>
              </w:rPr>
            </w:pPr>
            <w:r w:rsidRPr="005E3011">
              <w:rPr>
                <w:rFonts w:ascii="Arial" w:hAnsi="Arial" w:cs="Arial"/>
                <w:b/>
              </w:rPr>
              <w:t>Despacho</w:t>
            </w:r>
            <w:r w:rsidR="00AE03CA" w:rsidRPr="005E3011">
              <w:rPr>
                <w:rFonts w:ascii="Arial" w:hAnsi="Arial" w:cs="Arial"/>
                <w:b/>
              </w:rPr>
              <w:t>:</w:t>
            </w:r>
          </w:p>
        </w:tc>
        <w:tc>
          <w:tcPr>
            <w:tcW w:w="4414" w:type="dxa"/>
          </w:tcPr>
          <w:p w14:paraId="00875B53" w14:textId="40738A46" w:rsidR="00C44EB0" w:rsidRPr="005E3011" w:rsidRDefault="00084CEB" w:rsidP="00AC1AAA">
            <w:pPr>
              <w:jc w:val="both"/>
              <w:rPr>
                <w:rFonts w:ascii="Arial" w:hAnsi="Arial" w:cs="Arial"/>
              </w:rPr>
            </w:pPr>
            <w:r w:rsidRPr="005E3011">
              <w:rPr>
                <w:rFonts w:ascii="Arial" w:hAnsi="Arial" w:cs="Arial"/>
              </w:rPr>
              <w:t xml:space="preserve">JUZGADO </w:t>
            </w:r>
            <w:r w:rsidR="009D3A7F" w:rsidRPr="005E3011">
              <w:rPr>
                <w:rFonts w:ascii="Arial" w:hAnsi="Arial" w:cs="Arial"/>
              </w:rPr>
              <w:t>TERCERO</w:t>
            </w:r>
            <w:r w:rsidRPr="005E3011">
              <w:rPr>
                <w:rFonts w:ascii="Arial" w:hAnsi="Arial" w:cs="Arial"/>
              </w:rPr>
              <w:t xml:space="preserve"> (00</w:t>
            </w:r>
            <w:r w:rsidR="009D3A7F" w:rsidRPr="005E3011">
              <w:rPr>
                <w:rFonts w:ascii="Arial" w:hAnsi="Arial" w:cs="Arial"/>
              </w:rPr>
              <w:t>3</w:t>
            </w:r>
            <w:r w:rsidRPr="005E3011">
              <w:rPr>
                <w:rFonts w:ascii="Arial" w:hAnsi="Arial" w:cs="Arial"/>
              </w:rPr>
              <w:t>) LABORAL DEL CIRCUITO DE PASTO</w:t>
            </w:r>
          </w:p>
        </w:tc>
      </w:tr>
      <w:tr w:rsidR="00C44EB0" w:rsidRPr="005E3011" w14:paraId="00875B57" w14:textId="77777777" w:rsidTr="5AF8758B">
        <w:tc>
          <w:tcPr>
            <w:tcW w:w="4414" w:type="dxa"/>
            <w:shd w:val="clear" w:color="auto" w:fill="D9D9D9" w:themeFill="background1" w:themeFillShade="D9"/>
          </w:tcPr>
          <w:p w14:paraId="00875B55" w14:textId="77777777" w:rsidR="00C44EB0" w:rsidRPr="005E3011" w:rsidRDefault="00C44EB0" w:rsidP="00C44EB0">
            <w:pPr>
              <w:rPr>
                <w:rFonts w:ascii="Arial" w:hAnsi="Arial" w:cs="Arial"/>
                <w:b/>
              </w:rPr>
            </w:pPr>
            <w:r w:rsidRPr="005E3011">
              <w:rPr>
                <w:rFonts w:ascii="Arial" w:hAnsi="Arial" w:cs="Arial"/>
                <w:b/>
              </w:rPr>
              <w:t>Ciudad</w:t>
            </w:r>
            <w:r w:rsidR="00AE03CA" w:rsidRPr="005E3011">
              <w:rPr>
                <w:rFonts w:ascii="Arial" w:hAnsi="Arial" w:cs="Arial"/>
                <w:b/>
              </w:rPr>
              <w:t>:</w:t>
            </w:r>
          </w:p>
        </w:tc>
        <w:tc>
          <w:tcPr>
            <w:tcW w:w="4414" w:type="dxa"/>
          </w:tcPr>
          <w:p w14:paraId="00875B56" w14:textId="191A0AAC" w:rsidR="00C44EB0" w:rsidRPr="005E3011" w:rsidRDefault="00084CEB" w:rsidP="00B632BF">
            <w:pPr>
              <w:jc w:val="both"/>
              <w:rPr>
                <w:rFonts w:ascii="Arial" w:hAnsi="Arial" w:cs="Arial"/>
              </w:rPr>
            </w:pPr>
            <w:r w:rsidRPr="005E3011">
              <w:rPr>
                <w:rFonts w:ascii="Arial" w:hAnsi="Arial" w:cs="Arial"/>
              </w:rPr>
              <w:t>PASTO</w:t>
            </w:r>
          </w:p>
        </w:tc>
      </w:tr>
      <w:tr w:rsidR="00C44EB0" w:rsidRPr="005E3011" w14:paraId="00875B5A" w14:textId="77777777" w:rsidTr="5AF8758B">
        <w:tc>
          <w:tcPr>
            <w:tcW w:w="4414" w:type="dxa"/>
            <w:shd w:val="clear" w:color="auto" w:fill="D9D9D9" w:themeFill="background1" w:themeFillShade="D9"/>
          </w:tcPr>
          <w:p w14:paraId="00875B58" w14:textId="77777777" w:rsidR="00C44EB0" w:rsidRPr="005E3011" w:rsidRDefault="00C44EB0" w:rsidP="00C44EB0">
            <w:pPr>
              <w:rPr>
                <w:rFonts w:ascii="Arial" w:hAnsi="Arial" w:cs="Arial"/>
                <w:b/>
              </w:rPr>
            </w:pPr>
            <w:r w:rsidRPr="005E3011">
              <w:rPr>
                <w:rFonts w:ascii="Arial" w:hAnsi="Arial" w:cs="Arial"/>
                <w:b/>
              </w:rPr>
              <w:t>Radicado (23 dígitos)</w:t>
            </w:r>
            <w:r w:rsidR="00AE03CA" w:rsidRPr="005E3011">
              <w:rPr>
                <w:rFonts w:ascii="Arial" w:hAnsi="Arial" w:cs="Arial"/>
                <w:b/>
              </w:rPr>
              <w:t>:</w:t>
            </w:r>
          </w:p>
        </w:tc>
        <w:tc>
          <w:tcPr>
            <w:tcW w:w="4414" w:type="dxa"/>
          </w:tcPr>
          <w:p w14:paraId="00875B59" w14:textId="356CB44C" w:rsidR="00C44EB0" w:rsidRPr="005E3011" w:rsidRDefault="009D3A7F" w:rsidP="00C43C7B">
            <w:pPr>
              <w:rPr>
                <w:rFonts w:ascii="Arial" w:hAnsi="Arial" w:cs="Arial"/>
              </w:rPr>
            </w:pPr>
            <w:r w:rsidRPr="005E3011">
              <w:rPr>
                <w:rStyle w:val="normaltextrun"/>
                <w:rFonts w:ascii="Arial" w:hAnsi="Arial" w:cs="Arial"/>
                <w:color w:val="000000"/>
                <w:bdr w:val="none" w:sz="0" w:space="0" w:color="auto" w:frame="1"/>
                <w:lang w:val="es-ES"/>
              </w:rPr>
              <w:t>52001310500320220033900</w:t>
            </w:r>
          </w:p>
        </w:tc>
      </w:tr>
      <w:tr w:rsidR="00C44EB0" w:rsidRPr="005E3011" w14:paraId="00875B5D" w14:textId="77777777" w:rsidTr="5AF8758B">
        <w:tc>
          <w:tcPr>
            <w:tcW w:w="4414" w:type="dxa"/>
            <w:shd w:val="clear" w:color="auto" w:fill="D9D9D9" w:themeFill="background1" w:themeFillShade="D9"/>
          </w:tcPr>
          <w:p w14:paraId="00875B5B" w14:textId="77777777" w:rsidR="00C44EB0" w:rsidRPr="005E3011" w:rsidRDefault="00AE03CA" w:rsidP="00C44EB0">
            <w:pPr>
              <w:rPr>
                <w:rFonts w:ascii="Arial" w:hAnsi="Arial" w:cs="Arial"/>
                <w:b/>
              </w:rPr>
            </w:pPr>
            <w:r w:rsidRPr="005E3011">
              <w:rPr>
                <w:rFonts w:ascii="Arial" w:hAnsi="Arial" w:cs="Arial"/>
                <w:b/>
              </w:rPr>
              <w:t>Demandantes:</w:t>
            </w:r>
          </w:p>
        </w:tc>
        <w:tc>
          <w:tcPr>
            <w:tcW w:w="4414" w:type="dxa"/>
          </w:tcPr>
          <w:p w14:paraId="00875B5C" w14:textId="73AC109C" w:rsidR="00C44EB0" w:rsidRPr="005E3011" w:rsidRDefault="009D3A7F" w:rsidP="00B632BF">
            <w:pPr>
              <w:jc w:val="both"/>
              <w:rPr>
                <w:rFonts w:ascii="Arial" w:hAnsi="Arial" w:cs="Arial"/>
              </w:rPr>
            </w:pPr>
            <w:r w:rsidRPr="005E3011">
              <w:rPr>
                <w:rStyle w:val="normaltextrun"/>
                <w:rFonts w:ascii="Arial" w:hAnsi="Arial" w:cs="Arial"/>
                <w:color w:val="000000"/>
                <w:bdr w:val="none" w:sz="0" w:space="0" w:color="auto" w:frame="1"/>
              </w:rPr>
              <w:t>MAURICIO GÓMEZ GARCÍA</w:t>
            </w:r>
          </w:p>
        </w:tc>
      </w:tr>
      <w:tr w:rsidR="00C44EB0" w:rsidRPr="005E3011" w14:paraId="00875B60" w14:textId="77777777" w:rsidTr="5AF8758B">
        <w:tc>
          <w:tcPr>
            <w:tcW w:w="4414" w:type="dxa"/>
            <w:shd w:val="clear" w:color="auto" w:fill="D9D9D9" w:themeFill="background1" w:themeFillShade="D9"/>
          </w:tcPr>
          <w:p w14:paraId="00875B5E" w14:textId="77777777" w:rsidR="00C44EB0" w:rsidRPr="005E3011" w:rsidRDefault="00AE03CA" w:rsidP="00C44EB0">
            <w:pPr>
              <w:rPr>
                <w:rFonts w:ascii="Arial" w:hAnsi="Arial" w:cs="Arial"/>
                <w:b/>
              </w:rPr>
            </w:pPr>
            <w:r w:rsidRPr="005E3011">
              <w:rPr>
                <w:rFonts w:ascii="Arial" w:hAnsi="Arial" w:cs="Arial"/>
                <w:b/>
              </w:rPr>
              <w:t>Demandados:</w:t>
            </w:r>
          </w:p>
        </w:tc>
        <w:tc>
          <w:tcPr>
            <w:tcW w:w="4414" w:type="dxa"/>
          </w:tcPr>
          <w:p w14:paraId="00875B5F" w14:textId="7550B177" w:rsidR="00C44EB0" w:rsidRPr="005E3011" w:rsidRDefault="009D3A7F" w:rsidP="00B632BF">
            <w:pPr>
              <w:jc w:val="both"/>
              <w:rPr>
                <w:rFonts w:ascii="Arial" w:hAnsi="Arial" w:cs="Arial"/>
              </w:rPr>
            </w:pPr>
            <w:r w:rsidRPr="005E3011">
              <w:rPr>
                <w:rStyle w:val="normaltextrun"/>
                <w:rFonts w:ascii="Arial" w:hAnsi="Arial" w:cs="Arial"/>
                <w:color w:val="000000"/>
                <w:shd w:val="clear" w:color="auto" w:fill="FFFFFF"/>
              </w:rPr>
              <w:t>CARLOS MARIO CARMONA PATIÑO, DEPARTAMENTO DE NARIÑO, CONSORCIO VÍAS NARIÑO y los SOCIOS DEL CONSORCIO: SANTIAGO SANCHEZ VESGA, JULIO CÉSAR LARA SILVA, JAVIER ANDRÉS GAVIRIA MOSQUERA, CARLOS FCO DIAZ GRANADOS e INGENIERÍA y CONSULTORÍA Y PROYECTOS S.A.S</w:t>
            </w:r>
          </w:p>
        </w:tc>
      </w:tr>
      <w:tr w:rsidR="00C44EB0" w:rsidRPr="005E3011" w14:paraId="00875B63" w14:textId="77777777" w:rsidTr="5AF8758B">
        <w:tc>
          <w:tcPr>
            <w:tcW w:w="4414" w:type="dxa"/>
            <w:shd w:val="clear" w:color="auto" w:fill="D9D9D9" w:themeFill="background1" w:themeFillShade="D9"/>
          </w:tcPr>
          <w:p w14:paraId="00875B61" w14:textId="77777777" w:rsidR="00C44EB0" w:rsidRPr="005E3011" w:rsidRDefault="00AE03CA" w:rsidP="00C44EB0">
            <w:pPr>
              <w:rPr>
                <w:rFonts w:ascii="Arial" w:hAnsi="Arial" w:cs="Arial"/>
                <w:b/>
              </w:rPr>
            </w:pPr>
            <w:r w:rsidRPr="005E3011">
              <w:rPr>
                <w:rFonts w:ascii="Arial" w:hAnsi="Arial" w:cs="Arial"/>
                <w:b/>
              </w:rPr>
              <w:t>Tipo de vinculación de Liberty (directa, llamamiento en garantía, litisconsorte):</w:t>
            </w:r>
          </w:p>
        </w:tc>
        <w:tc>
          <w:tcPr>
            <w:tcW w:w="4414" w:type="dxa"/>
          </w:tcPr>
          <w:p w14:paraId="00875B62" w14:textId="480FF2B7" w:rsidR="00C44EB0" w:rsidRPr="005E3011" w:rsidRDefault="00084CEB" w:rsidP="00B632BF">
            <w:pPr>
              <w:jc w:val="both"/>
              <w:rPr>
                <w:rFonts w:ascii="Arial" w:hAnsi="Arial" w:cs="Arial"/>
              </w:rPr>
            </w:pPr>
            <w:r w:rsidRPr="005E3011">
              <w:rPr>
                <w:rFonts w:ascii="Arial" w:hAnsi="Arial" w:cs="Arial"/>
              </w:rPr>
              <w:t>LLAMADO EN GARANTÍA</w:t>
            </w:r>
          </w:p>
        </w:tc>
      </w:tr>
      <w:tr w:rsidR="009D3A7F" w:rsidRPr="005E3011" w14:paraId="00875B70" w14:textId="77777777" w:rsidTr="00381ABA">
        <w:tc>
          <w:tcPr>
            <w:tcW w:w="4414" w:type="dxa"/>
            <w:shd w:val="clear" w:color="auto" w:fill="D9D9D9" w:themeFill="background1" w:themeFillShade="D9"/>
          </w:tcPr>
          <w:p w14:paraId="00875B64" w14:textId="77777777" w:rsidR="009D3A7F" w:rsidRPr="005E3011" w:rsidRDefault="009D3A7F" w:rsidP="009D3A7F">
            <w:pPr>
              <w:rPr>
                <w:rFonts w:ascii="Arial" w:hAnsi="Arial" w:cs="Arial"/>
                <w:b/>
              </w:rPr>
            </w:pPr>
            <w:r w:rsidRPr="005E3011">
              <w:rPr>
                <w:rFonts w:ascii="Arial" w:hAnsi="Arial" w:cs="Arial"/>
                <w:b/>
              </w:rPr>
              <w:t>Resumen de los hechos:</w:t>
            </w:r>
          </w:p>
        </w:tc>
        <w:tc>
          <w:tcPr>
            <w:tcW w:w="4414" w:type="dxa"/>
            <w:vAlign w:val="bottom"/>
          </w:tcPr>
          <w:p w14:paraId="2A6F8853" w14:textId="77777777" w:rsidR="009D3A7F" w:rsidRPr="005E3011" w:rsidRDefault="009D3A7F" w:rsidP="009D3A7F">
            <w:pPr>
              <w:jc w:val="both"/>
              <w:rPr>
                <w:rFonts w:ascii="Arial" w:eastAsia="Times New Roman" w:hAnsi="Arial" w:cs="Arial"/>
                <w:lang w:eastAsia="es-CO"/>
              </w:rPr>
            </w:pPr>
            <w:r w:rsidRPr="005E3011">
              <w:rPr>
                <w:rFonts w:ascii="Arial" w:eastAsia="Times New Roman" w:hAnsi="Arial" w:cs="Arial"/>
                <w:lang w:eastAsia="es-CO"/>
              </w:rPr>
              <w:t>De conformidad con los hechos de la demanda el señor MAURICIO GÓMEZ GARCÍA, celebró un contrato laboral con el señor CARLOS MARIO CARMONA el 30/07/2020 y que hasta marzo de 2021 trabajó en el Departamento de Antioquia en la ejecución de obras para beneficio de la Gobernación de Antioquia, y que en dicho mes su empleador lo trasladó a San Bernardo a continuar trabajando para el Consorcio Vías Nariño.</w:t>
            </w:r>
          </w:p>
          <w:p w14:paraId="289C4916" w14:textId="77777777" w:rsidR="00661A2D" w:rsidRPr="005E3011" w:rsidRDefault="00661A2D" w:rsidP="009D3A7F">
            <w:pPr>
              <w:jc w:val="both"/>
              <w:rPr>
                <w:rFonts w:ascii="Arial" w:eastAsia="Times New Roman" w:hAnsi="Arial" w:cs="Arial"/>
                <w:lang w:eastAsia="es-CO"/>
              </w:rPr>
            </w:pPr>
          </w:p>
          <w:p w14:paraId="13CD9080" w14:textId="77777777" w:rsidR="009D3A7F" w:rsidRPr="005E3011" w:rsidRDefault="009D3A7F" w:rsidP="009D3A7F">
            <w:pPr>
              <w:jc w:val="both"/>
              <w:rPr>
                <w:rFonts w:ascii="Arial" w:eastAsia="Times New Roman" w:hAnsi="Arial" w:cs="Arial"/>
                <w:lang w:eastAsia="es-CO"/>
              </w:rPr>
            </w:pPr>
            <w:r w:rsidRPr="005E3011">
              <w:rPr>
                <w:rFonts w:ascii="Arial" w:eastAsia="Times New Roman" w:hAnsi="Arial" w:cs="Arial"/>
                <w:lang w:eastAsia="es-CO"/>
              </w:rPr>
              <w:t xml:space="preserve">Aduce que prestó sus servicios para la ejecución del contrato No. 1297-19 y que en virtud de este trabajó durante el 30/07/2020 al 16/07/2021 en el cargo de </w:t>
            </w:r>
            <w:r w:rsidRPr="005E3011">
              <w:rPr>
                <w:rFonts w:ascii="Arial" w:eastAsia="Times New Roman" w:hAnsi="Arial" w:cs="Arial"/>
                <w:lang w:eastAsia="es-CO"/>
              </w:rPr>
              <w:lastRenderedPageBreak/>
              <w:t xml:space="preserve">asistente de mantenimiento y logística de vehículos y maquinaria. </w:t>
            </w:r>
          </w:p>
          <w:p w14:paraId="0C2ED816" w14:textId="77777777" w:rsidR="00661A2D" w:rsidRPr="005E3011" w:rsidRDefault="00661A2D" w:rsidP="009D3A7F">
            <w:pPr>
              <w:jc w:val="both"/>
              <w:rPr>
                <w:rFonts w:ascii="Arial" w:eastAsia="Times New Roman" w:hAnsi="Arial" w:cs="Arial"/>
                <w:lang w:eastAsia="es-CO"/>
              </w:rPr>
            </w:pPr>
          </w:p>
          <w:p w14:paraId="502D48C1" w14:textId="77777777" w:rsidR="009D3A7F" w:rsidRPr="005E3011" w:rsidRDefault="009D3A7F" w:rsidP="009D3A7F">
            <w:pPr>
              <w:jc w:val="both"/>
              <w:rPr>
                <w:rFonts w:ascii="Arial" w:eastAsia="Times New Roman" w:hAnsi="Arial" w:cs="Arial"/>
                <w:lang w:eastAsia="es-CO"/>
              </w:rPr>
            </w:pPr>
            <w:r w:rsidRPr="005E3011">
              <w:rPr>
                <w:rFonts w:ascii="Arial" w:eastAsia="Times New Roman" w:hAnsi="Arial" w:cs="Arial"/>
                <w:lang w:eastAsia="es-CO"/>
              </w:rPr>
              <w:t xml:space="preserve">Precisa que devengaba un salario de $2.000.000 pero que su afiliación a la seguridad por fue por menos del SMLMV. Argumenta que se vio forzado a presentar renuncia el 16/07/2021 y que a la fecha </w:t>
            </w:r>
            <w:proofErr w:type="gramStart"/>
            <w:r w:rsidRPr="005E3011">
              <w:rPr>
                <w:rFonts w:ascii="Arial" w:eastAsia="Times New Roman" w:hAnsi="Arial" w:cs="Arial"/>
                <w:lang w:eastAsia="es-CO"/>
              </w:rPr>
              <w:t>le</w:t>
            </w:r>
            <w:proofErr w:type="gramEnd"/>
            <w:r w:rsidRPr="005E3011">
              <w:rPr>
                <w:rFonts w:ascii="Arial" w:eastAsia="Times New Roman" w:hAnsi="Arial" w:cs="Arial"/>
                <w:lang w:eastAsia="es-CO"/>
              </w:rPr>
              <w:t xml:space="preserve"> adeudan salarios, cesantías, intereses a las cesantías, vacaciones, prima de servicios, indemnización por despido indirecto y la indemnización moratoria.</w:t>
            </w:r>
          </w:p>
          <w:p w14:paraId="00875B6F" w14:textId="201BD058" w:rsidR="009D3A7F" w:rsidRPr="005E3011" w:rsidRDefault="009D3A7F" w:rsidP="00661A2D">
            <w:pPr>
              <w:jc w:val="both"/>
              <w:rPr>
                <w:rFonts w:ascii="Arial" w:hAnsi="Arial" w:cs="Arial"/>
              </w:rPr>
            </w:pPr>
            <w:r w:rsidRPr="005E3011">
              <w:rPr>
                <w:rFonts w:ascii="Arial" w:eastAsia="Times New Roman" w:hAnsi="Arial" w:cs="Arial"/>
                <w:lang w:eastAsia="es-CO"/>
              </w:rPr>
              <w:t>          </w:t>
            </w:r>
          </w:p>
        </w:tc>
      </w:tr>
      <w:tr w:rsidR="00C44EB0" w:rsidRPr="005E3011" w14:paraId="00875B73" w14:textId="77777777" w:rsidTr="5AF8758B">
        <w:tc>
          <w:tcPr>
            <w:tcW w:w="4414" w:type="dxa"/>
            <w:shd w:val="clear" w:color="auto" w:fill="D9D9D9" w:themeFill="background1" w:themeFillShade="D9"/>
          </w:tcPr>
          <w:p w14:paraId="00875B71" w14:textId="77777777" w:rsidR="00C44EB0" w:rsidRPr="005E3011" w:rsidRDefault="00AE03CA" w:rsidP="00C44EB0">
            <w:pPr>
              <w:rPr>
                <w:rFonts w:ascii="Arial" w:hAnsi="Arial" w:cs="Arial"/>
                <w:b/>
              </w:rPr>
            </w:pPr>
            <w:r w:rsidRPr="005E3011">
              <w:rPr>
                <w:rFonts w:ascii="Arial" w:hAnsi="Arial" w:cs="Arial"/>
                <w:b/>
              </w:rPr>
              <w:lastRenderedPageBreak/>
              <w:t>Descripción de las pretensiones:</w:t>
            </w:r>
          </w:p>
        </w:tc>
        <w:tc>
          <w:tcPr>
            <w:tcW w:w="4414" w:type="dxa"/>
          </w:tcPr>
          <w:p w14:paraId="08479BEC" w14:textId="77777777" w:rsidR="009D3A7F" w:rsidRPr="005E3011" w:rsidRDefault="009D3A7F" w:rsidP="5AF8758B">
            <w:pPr>
              <w:pStyle w:val="Prrafodelista"/>
              <w:numPr>
                <w:ilvl w:val="0"/>
                <w:numId w:val="5"/>
              </w:numPr>
              <w:ind w:left="360"/>
              <w:jc w:val="both"/>
              <w:rPr>
                <w:rStyle w:val="normaltextrun"/>
                <w:rFonts w:ascii="Arial" w:hAnsi="Arial" w:cs="Arial"/>
              </w:rPr>
            </w:pPr>
            <w:r w:rsidRPr="005E3011">
              <w:rPr>
                <w:rStyle w:val="normaltextrun"/>
                <w:rFonts w:ascii="Arial" w:hAnsi="Arial" w:cs="Arial"/>
                <w:color w:val="000000"/>
                <w:shd w:val="clear" w:color="auto" w:fill="FFFFFF"/>
                <w:lang w:val="es-ES"/>
              </w:rPr>
              <w:t>Se condene a las demandadas al pago de salarios, prestaciones sociales, vacaciones, indemnizaciones por despido indirecto, sanciones moratorias, gastos de transportes y demás beneficios</w:t>
            </w:r>
          </w:p>
          <w:p w14:paraId="05D0B3C1" w14:textId="77777777" w:rsidR="009D3A7F" w:rsidRPr="005E3011" w:rsidRDefault="009D3A7F" w:rsidP="5AF8758B">
            <w:pPr>
              <w:pStyle w:val="Prrafodelista"/>
              <w:numPr>
                <w:ilvl w:val="0"/>
                <w:numId w:val="5"/>
              </w:numPr>
              <w:ind w:left="360"/>
              <w:jc w:val="both"/>
              <w:rPr>
                <w:rStyle w:val="normaltextrun"/>
                <w:rFonts w:ascii="Arial" w:hAnsi="Arial" w:cs="Arial"/>
              </w:rPr>
            </w:pPr>
            <w:r w:rsidRPr="005E3011">
              <w:rPr>
                <w:rStyle w:val="normaltextrun"/>
                <w:rFonts w:ascii="Arial" w:hAnsi="Arial" w:cs="Arial"/>
                <w:color w:val="000000"/>
                <w:shd w:val="clear" w:color="auto" w:fill="FFFFFF"/>
                <w:lang w:val="es-ES"/>
              </w:rPr>
              <w:t>Se condene al pago de perjuicios</w:t>
            </w:r>
          </w:p>
          <w:p w14:paraId="00875B72" w14:textId="72201190" w:rsidR="007B6938" w:rsidRPr="005E3011" w:rsidRDefault="009D3A7F" w:rsidP="5AF8758B">
            <w:pPr>
              <w:pStyle w:val="Prrafodelista"/>
              <w:numPr>
                <w:ilvl w:val="0"/>
                <w:numId w:val="5"/>
              </w:numPr>
              <w:ind w:left="360"/>
              <w:jc w:val="both"/>
              <w:rPr>
                <w:rFonts w:ascii="Arial" w:hAnsi="Arial" w:cs="Arial"/>
              </w:rPr>
            </w:pPr>
            <w:r w:rsidRPr="005E3011">
              <w:rPr>
                <w:rStyle w:val="normaltextrun"/>
                <w:rFonts w:ascii="Arial" w:hAnsi="Arial" w:cs="Arial"/>
                <w:color w:val="000000"/>
                <w:shd w:val="clear" w:color="auto" w:fill="FFFFFF"/>
                <w:lang w:val="es-ES"/>
              </w:rPr>
              <w:t xml:space="preserve">Se condene al pago de aportes a pensión, a lo ultra y extra </w:t>
            </w:r>
            <w:proofErr w:type="spellStart"/>
            <w:r w:rsidRPr="005E3011">
              <w:rPr>
                <w:rStyle w:val="normaltextrun"/>
                <w:rFonts w:ascii="Arial" w:hAnsi="Arial" w:cs="Arial"/>
                <w:color w:val="000000"/>
                <w:shd w:val="clear" w:color="auto" w:fill="FFFFFF"/>
                <w:lang w:val="es-ES"/>
              </w:rPr>
              <w:t>petita</w:t>
            </w:r>
            <w:proofErr w:type="spellEnd"/>
            <w:r w:rsidRPr="005E3011">
              <w:rPr>
                <w:rStyle w:val="normaltextrun"/>
                <w:rFonts w:ascii="Arial" w:hAnsi="Arial" w:cs="Arial"/>
                <w:color w:val="000000"/>
                <w:shd w:val="clear" w:color="auto" w:fill="FFFFFF"/>
                <w:lang w:val="es-ES"/>
              </w:rPr>
              <w:t xml:space="preserve"> y a las costas procesales.</w:t>
            </w:r>
            <w:r w:rsidRPr="005E3011">
              <w:rPr>
                <w:rStyle w:val="eop"/>
                <w:rFonts w:ascii="Arial" w:hAnsi="Arial" w:cs="Arial"/>
                <w:color w:val="000000"/>
                <w:shd w:val="clear" w:color="auto" w:fill="FFFFFF"/>
              </w:rPr>
              <w:t> </w:t>
            </w:r>
          </w:p>
        </w:tc>
      </w:tr>
      <w:tr w:rsidR="00C44EB0" w:rsidRPr="005E3011" w14:paraId="00875B76" w14:textId="77777777" w:rsidTr="5AF8758B">
        <w:tc>
          <w:tcPr>
            <w:tcW w:w="4414" w:type="dxa"/>
            <w:shd w:val="clear" w:color="auto" w:fill="D9D9D9" w:themeFill="background1" w:themeFillShade="D9"/>
          </w:tcPr>
          <w:p w14:paraId="00875B74" w14:textId="77777777" w:rsidR="00C44EB0" w:rsidRPr="005E3011" w:rsidRDefault="00AE03CA" w:rsidP="006D716C">
            <w:pPr>
              <w:rPr>
                <w:rFonts w:ascii="Arial" w:hAnsi="Arial" w:cs="Arial"/>
                <w:b/>
              </w:rPr>
            </w:pPr>
            <w:r w:rsidRPr="005E3011">
              <w:rPr>
                <w:rFonts w:ascii="Arial" w:hAnsi="Arial" w:cs="Arial"/>
                <w:b/>
              </w:rPr>
              <w:t>Pretensiones cuantificadas</w:t>
            </w:r>
            <w:r w:rsidR="006D716C" w:rsidRPr="005E3011">
              <w:rPr>
                <w:rFonts w:ascii="Arial" w:hAnsi="Arial" w:cs="Arial"/>
                <w:b/>
              </w:rPr>
              <w:t xml:space="preserve"> ($)</w:t>
            </w:r>
            <w:r w:rsidRPr="005E3011">
              <w:rPr>
                <w:rFonts w:ascii="Arial" w:hAnsi="Arial" w:cs="Arial"/>
                <w:b/>
              </w:rPr>
              <w:t>:</w:t>
            </w:r>
          </w:p>
        </w:tc>
        <w:tc>
          <w:tcPr>
            <w:tcW w:w="4414" w:type="dxa"/>
          </w:tcPr>
          <w:p w14:paraId="00875B75" w14:textId="21600546" w:rsidR="00C44EB0" w:rsidRPr="005E3011" w:rsidRDefault="007B6938" w:rsidP="008D2BA7">
            <w:pPr>
              <w:jc w:val="both"/>
              <w:rPr>
                <w:rFonts w:ascii="Arial" w:hAnsi="Arial" w:cs="Arial"/>
              </w:rPr>
            </w:pPr>
            <w:r w:rsidRPr="005E3011">
              <w:rPr>
                <w:rFonts w:ascii="Arial" w:hAnsi="Arial" w:cs="Arial"/>
              </w:rPr>
              <w:t>$</w:t>
            </w:r>
            <w:r w:rsidR="009E0883" w:rsidRPr="005E3011">
              <w:rPr>
                <w:rFonts w:ascii="Arial" w:hAnsi="Arial" w:cs="Arial"/>
              </w:rPr>
              <w:t>60.978.444</w:t>
            </w:r>
          </w:p>
        </w:tc>
      </w:tr>
      <w:tr w:rsidR="00AE03CA" w:rsidRPr="005E3011" w14:paraId="00875B79" w14:textId="77777777" w:rsidTr="5AF8758B">
        <w:tc>
          <w:tcPr>
            <w:tcW w:w="4414" w:type="dxa"/>
            <w:shd w:val="clear" w:color="auto" w:fill="D9D9D9" w:themeFill="background1" w:themeFillShade="D9"/>
          </w:tcPr>
          <w:p w14:paraId="00875B77" w14:textId="77777777" w:rsidR="00AE03CA" w:rsidRPr="005E3011" w:rsidRDefault="00AE03CA" w:rsidP="00C44EB0">
            <w:pPr>
              <w:rPr>
                <w:rFonts w:ascii="Arial" w:hAnsi="Arial" w:cs="Arial"/>
                <w:b/>
              </w:rPr>
            </w:pPr>
            <w:r w:rsidRPr="005E3011">
              <w:rPr>
                <w:rFonts w:ascii="Arial" w:hAnsi="Arial" w:cs="Arial"/>
                <w:b/>
              </w:rPr>
              <w:t>Valor asegurado amparo</w:t>
            </w:r>
            <w:r w:rsidR="006D716C" w:rsidRPr="005E3011">
              <w:rPr>
                <w:rFonts w:ascii="Arial" w:hAnsi="Arial" w:cs="Arial"/>
                <w:b/>
              </w:rPr>
              <w:t>s</w:t>
            </w:r>
            <w:r w:rsidRPr="005E3011">
              <w:rPr>
                <w:rFonts w:ascii="Arial" w:hAnsi="Arial" w:cs="Arial"/>
                <w:b/>
              </w:rPr>
              <w:t xml:space="preserve"> afectado</w:t>
            </w:r>
            <w:r w:rsidR="006D716C" w:rsidRPr="005E3011">
              <w:rPr>
                <w:rFonts w:ascii="Arial" w:hAnsi="Arial" w:cs="Arial"/>
                <w:b/>
              </w:rPr>
              <w:t>s</w:t>
            </w:r>
            <w:r w:rsidRPr="005E3011">
              <w:rPr>
                <w:rFonts w:ascii="Arial" w:hAnsi="Arial" w:cs="Arial"/>
                <w:b/>
              </w:rPr>
              <w:t>:</w:t>
            </w:r>
          </w:p>
        </w:tc>
        <w:tc>
          <w:tcPr>
            <w:tcW w:w="4414" w:type="dxa"/>
          </w:tcPr>
          <w:p w14:paraId="00875B78" w14:textId="07854143" w:rsidR="00AE03CA" w:rsidRPr="005E3011" w:rsidRDefault="007B6938" w:rsidP="5AF8758B">
            <w:pPr>
              <w:rPr>
                <w:rFonts w:ascii="Arial" w:hAnsi="Arial" w:cs="Arial"/>
                <w:b/>
                <w:bCs/>
              </w:rPr>
            </w:pPr>
            <w:r w:rsidRPr="005E3011">
              <w:rPr>
                <w:rFonts w:ascii="Arial" w:hAnsi="Arial" w:cs="Arial"/>
                <w:b/>
                <w:bCs/>
              </w:rPr>
              <w:t xml:space="preserve"> $</w:t>
            </w:r>
            <w:r w:rsidR="009D3A7F" w:rsidRPr="005E3011">
              <w:rPr>
                <w:rFonts w:ascii="Arial" w:hAnsi="Arial" w:cs="Arial"/>
                <w:b/>
                <w:bCs/>
              </w:rPr>
              <w:t>222.197.122</w:t>
            </w:r>
          </w:p>
        </w:tc>
      </w:tr>
      <w:tr w:rsidR="00C44EB0" w:rsidRPr="005E3011" w14:paraId="00875B7C" w14:textId="77777777" w:rsidTr="5AF8758B">
        <w:tc>
          <w:tcPr>
            <w:tcW w:w="4414" w:type="dxa"/>
            <w:shd w:val="clear" w:color="auto" w:fill="D9D9D9" w:themeFill="background1" w:themeFillShade="D9"/>
          </w:tcPr>
          <w:p w14:paraId="00875B7A" w14:textId="77777777" w:rsidR="00C44EB0" w:rsidRPr="005E3011" w:rsidRDefault="00AE03CA" w:rsidP="00C44EB0">
            <w:pPr>
              <w:rPr>
                <w:rFonts w:ascii="Arial" w:hAnsi="Arial" w:cs="Arial"/>
                <w:b/>
              </w:rPr>
            </w:pPr>
            <w:r w:rsidRPr="005E3011">
              <w:rPr>
                <w:rFonts w:ascii="Arial" w:hAnsi="Arial" w:cs="Arial"/>
                <w:b/>
              </w:rPr>
              <w:t>Valoración objetiva de las pretensiones:</w:t>
            </w:r>
          </w:p>
        </w:tc>
        <w:tc>
          <w:tcPr>
            <w:tcW w:w="4414" w:type="dxa"/>
          </w:tcPr>
          <w:p w14:paraId="00875B7B" w14:textId="253BF0F8" w:rsidR="00C44EB0" w:rsidRPr="005E3011" w:rsidRDefault="007B6938" w:rsidP="008D2BA7">
            <w:pPr>
              <w:rPr>
                <w:rFonts w:ascii="Arial" w:hAnsi="Arial" w:cs="Arial"/>
                <w:b/>
              </w:rPr>
            </w:pPr>
            <w:r w:rsidRPr="005E3011">
              <w:rPr>
                <w:rFonts w:ascii="Arial" w:hAnsi="Arial" w:cs="Arial"/>
              </w:rPr>
              <w:t>$</w:t>
            </w:r>
            <w:r w:rsidR="009E0883" w:rsidRPr="005E3011">
              <w:rPr>
                <w:rFonts w:ascii="Arial" w:hAnsi="Arial" w:cs="Arial"/>
              </w:rPr>
              <w:t>60.</w:t>
            </w:r>
            <w:r w:rsidR="005E3011" w:rsidRPr="005E3011">
              <w:rPr>
                <w:rFonts w:ascii="Arial" w:hAnsi="Arial" w:cs="Arial"/>
              </w:rPr>
              <w:t>612.029</w:t>
            </w:r>
          </w:p>
        </w:tc>
      </w:tr>
      <w:tr w:rsidR="00C44EB0" w:rsidRPr="005E3011" w14:paraId="00875B7F" w14:textId="77777777" w:rsidTr="005E3011">
        <w:trPr>
          <w:trHeight w:val="480"/>
        </w:trPr>
        <w:tc>
          <w:tcPr>
            <w:tcW w:w="4414" w:type="dxa"/>
            <w:shd w:val="clear" w:color="auto" w:fill="D9D9D9" w:themeFill="background1" w:themeFillShade="D9"/>
          </w:tcPr>
          <w:p w14:paraId="00875B7D" w14:textId="77777777" w:rsidR="00C44EB0" w:rsidRPr="005E3011" w:rsidRDefault="00AE03CA" w:rsidP="00C44EB0">
            <w:pPr>
              <w:rPr>
                <w:rFonts w:ascii="Arial" w:hAnsi="Arial" w:cs="Arial"/>
                <w:b/>
              </w:rPr>
            </w:pPr>
            <w:r w:rsidRPr="005E3011">
              <w:rPr>
                <w:rFonts w:ascii="Arial" w:hAnsi="Arial" w:cs="Arial"/>
                <w:b/>
              </w:rPr>
              <w:t>Calificación de la contingencia:</w:t>
            </w:r>
          </w:p>
        </w:tc>
        <w:tc>
          <w:tcPr>
            <w:tcW w:w="4414" w:type="dxa"/>
          </w:tcPr>
          <w:p w14:paraId="3953E438" w14:textId="75623879" w:rsidR="007B6938" w:rsidRPr="005E3011" w:rsidRDefault="004D56EB" w:rsidP="007B6938">
            <w:pPr>
              <w:pStyle w:val="paragraph"/>
              <w:spacing w:before="0" w:beforeAutospacing="0" w:after="0" w:afterAutospacing="0"/>
              <w:jc w:val="both"/>
              <w:textAlignment w:val="baseline"/>
              <w:rPr>
                <w:rFonts w:ascii="Arial" w:hAnsi="Arial" w:cs="Arial"/>
                <w:color w:val="000000" w:themeColor="text1"/>
                <w:sz w:val="22"/>
                <w:szCs w:val="22"/>
              </w:rPr>
            </w:pPr>
            <w:r w:rsidRPr="005E3011">
              <w:rPr>
                <w:rStyle w:val="normaltextrun"/>
                <w:rFonts w:ascii="Arial" w:hAnsi="Arial" w:cs="Arial"/>
                <w:color w:val="000000" w:themeColor="text1"/>
                <w:sz w:val="22"/>
                <w:szCs w:val="22"/>
                <w:lang w:val="es-CO"/>
              </w:rPr>
              <w:t xml:space="preserve"> EVENTUAL </w:t>
            </w:r>
          </w:p>
          <w:p w14:paraId="00875B7E" w14:textId="2E8BBB33" w:rsidR="00C44EB0" w:rsidRPr="005E3011" w:rsidRDefault="00C44EB0" w:rsidP="007B6938">
            <w:pPr>
              <w:pStyle w:val="paragraph"/>
              <w:spacing w:before="0" w:beforeAutospacing="0" w:after="0" w:afterAutospacing="0"/>
              <w:jc w:val="both"/>
              <w:textAlignment w:val="baseline"/>
              <w:rPr>
                <w:rFonts w:ascii="Arial" w:hAnsi="Arial" w:cs="Arial"/>
                <w:sz w:val="22"/>
                <w:szCs w:val="22"/>
              </w:rPr>
            </w:pPr>
          </w:p>
        </w:tc>
      </w:tr>
      <w:tr w:rsidR="00C44EB0" w:rsidRPr="005E3011" w14:paraId="00875B83" w14:textId="77777777" w:rsidTr="5AF8758B">
        <w:tc>
          <w:tcPr>
            <w:tcW w:w="4414" w:type="dxa"/>
            <w:shd w:val="clear" w:color="auto" w:fill="D9D9D9" w:themeFill="background1" w:themeFillShade="D9"/>
          </w:tcPr>
          <w:p w14:paraId="00875B80" w14:textId="77777777" w:rsidR="00C44EB0" w:rsidRPr="005E3011" w:rsidRDefault="006D716C" w:rsidP="00C44EB0">
            <w:pPr>
              <w:rPr>
                <w:rFonts w:ascii="Arial" w:hAnsi="Arial" w:cs="Arial"/>
                <w:b/>
              </w:rPr>
            </w:pPr>
            <w:r w:rsidRPr="005E3011">
              <w:rPr>
                <w:rFonts w:ascii="Arial" w:hAnsi="Arial" w:cs="Arial"/>
                <w:b/>
              </w:rPr>
              <w:t>Motivos de la c</w:t>
            </w:r>
            <w:r w:rsidR="00AE03CA" w:rsidRPr="005E3011">
              <w:rPr>
                <w:rFonts w:ascii="Arial" w:hAnsi="Arial" w:cs="Arial"/>
                <w:b/>
              </w:rPr>
              <w:t>alificación:</w:t>
            </w:r>
          </w:p>
        </w:tc>
        <w:tc>
          <w:tcPr>
            <w:tcW w:w="4414" w:type="dxa"/>
          </w:tcPr>
          <w:p w14:paraId="4BDBEE3C" w14:textId="35280E7F" w:rsidR="005E3011" w:rsidRPr="005E3011" w:rsidRDefault="005E3011" w:rsidP="005E3011">
            <w:pPr>
              <w:pStyle w:val="paragraph"/>
              <w:jc w:val="both"/>
              <w:rPr>
                <w:rFonts w:ascii="Arial" w:hAnsi="Arial" w:cs="Arial"/>
                <w:sz w:val="22"/>
                <w:szCs w:val="22"/>
                <w:lang w:val="es-CO"/>
              </w:rPr>
            </w:pPr>
            <w:r w:rsidRPr="005E3011">
              <w:rPr>
                <w:rFonts w:ascii="Arial" w:hAnsi="Arial" w:cs="Arial"/>
                <w:sz w:val="22"/>
                <w:szCs w:val="22"/>
                <w:lang w:val="es-CO"/>
              </w:rPr>
              <w:t>La contingencia se califica como EVENTUAL toda vez que, si bien la póliza de cumplimento presta cobertura material y temporal, dependerá del debate probatorio confirmar o desvirtuar la responsabilidad del asegurado. </w:t>
            </w:r>
          </w:p>
          <w:p w14:paraId="327E9F93" w14:textId="7F849023" w:rsidR="005E3011" w:rsidRPr="005E3011" w:rsidRDefault="005E3011" w:rsidP="005E3011">
            <w:pPr>
              <w:pStyle w:val="paragraph"/>
              <w:jc w:val="both"/>
              <w:rPr>
                <w:rFonts w:ascii="Arial" w:hAnsi="Arial" w:cs="Arial"/>
                <w:sz w:val="22"/>
                <w:szCs w:val="22"/>
                <w:lang w:val="es-CO"/>
              </w:rPr>
            </w:pPr>
            <w:r w:rsidRPr="005E3011">
              <w:rPr>
                <w:rFonts w:ascii="Arial" w:hAnsi="Arial" w:cs="Arial"/>
                <w:sz w:val="22"/>
                <w:szCs w:val="22"/>
                <w:lang w:val="es-CO"/>
              </w:rPr>
              <w:t xml:space="preserve">Lo primero que debe tomarse en consideración es que la Póliza De Cumplimiento A Favor De Entidades Estatales - Decreto 1082 de 2015 No. 3044483, tiene como afianzado al Consorcio Vías Nariño y asegurado y beneficiario al Departamento de Nariño, prestando cobertura material y temporal de conformidad con los hechos y pretensiones de la demanda. </w:t>
            </w:r>
            <w:r w:rsidRPr="005E3011">
              <w:rPr>
                <w:rFonts w:ascii="Arial" w:hAnsi="Arial" w:cs="Arial"/>
                <w:sz w:val="22"/>
                <w:szCs w:val="22"/>
                <w:u w:val="single"/>
                <w:lang w:val="es-CO"/>
              </w:rPr>
              <w:t>Frente a la cobertura temporal,</w:t>
            </w:r>
            <w:r w:rsidRPr="005E3011">
              <w:rPr>
                <w:rFonts w:ascii="Arial" w:hAnsi="Arial" w:cs="Arial"/>
                <w:sz w:val="22"/>
                <w:szCs w:val="22"/>
                <w:lang w:val="es-CO"/>
              </w:rPr>
              <w:t xml:space="preserve"> debe precisarse que su modalidad es OCURRENCIA y cuenta con una vigencia comprendida entre el 08/11/2019 hasta 10/02/2022 (Sin tener en </w:t>
            </w:r>
            <w:r w:rsidRPr="005E3011">
              <w:rPr>
                <w:rFonts w:ascii="Arial" w:hAnsi="Arial" w:cs="Arial"/>
                <w:sz w:val="22"/>
                <w:szCs w:val="22"/>
                <w:lang w:val="es-CO"/>
              </w:rPr>
              <w:lastRenderedPageBreak/>
              <w:t>cuenta el término adicional de los tres años por prescripción trienal que otorga la póliza), es decir que, para la fecha del siniestro -inicio del vínculo laboral 30/07/2020 y finalización del vínculo 16/07/2021, la póliza se encontraba vigente.  </w:t>
            </w:r>
            <w:r w:rsidRPr="005E3011">
              <w:rPr>
                <w:rFonts w:ascii="Arial" w:hAnsi="Arial" w:cs="Arial"/>
                <w:sz w:val="22"/>
                <w:szCs w:val="22"/>
                <w:u w:val="single"/>
                <w:lang w:val="es-CO"/>
              </w:rPr>
              <w:t>Frente a la cobertura material</w:t>
            </w:r>
            <w:r w:rsidRPr="005E3011">
              <w:rPr>
                <w:rFonts w:ascii="Arial" w:hAnsi="Arial" w:cs="Arial"/>
                <w:sz w:val="22"/>
                <w:szCs w:val="22"/>
                <w:lang w:val="es-CO"/>
              </w:rPr>
              <w:t xml:space="preserve">, se precisa que el actor está solicitando el pago de salarios, cesantías, intereses a las cesantías, prima de servicios, vacaciones, indemnización de que trata el Art 64 del CST, sanciones moratorias, gastos de transportes, beneficios, aportes a pensión y perjuicios. La póliza amparó el pago de salarios, prestaciones sociales e indemnizaciones laborales que la sociedad afianzada deba a sus trabajadores en ejecución del contrato afianzado (No. 1297 de 2019) y que, como consecuencia de ello, genere un perjuicio patrimonial para el asegurado de la póliza, conceptos los cuales, la parte demandante solicita en el presente proceso. Ahora bien, en atención a las documentales aportadas al plenario, se tiene que (i) si bien el actor aduce que su empleador fue el señor </w:t>
            </w:r>
            <w:r w:rsidRPr="005E3011">
              <w:rPr>
                <w:rFonts w:ascii="Arial" w:hAnsi="Arial" w:cs="Arial"/>
                <w:sz w:val="22"/>
                <w:szCs w:val="22"/>
              </w:rPr>
              <w:t>CARLOS MARIO CARMONA y la empresa que aceptó su renuncia fue INGENIERÍA CONSULTORÍA Y PROYECTOS S.A.S, sin embargo, de acuerdo a su historial laboral el CONSORCIO VÍAS NARIÑO (Afianzado) le realizó cotizaciones en los meses de abril, mayo y junio de 2021, (</w:t>
            </w:r>
            <w:proofErr w:type="spellStart"/>
            <w:r w:rsidRPr="005E3011">
              <w:rPr>
                <w:rFonts w:ascii="Arial" w:hAnsi="Arial" w:cs="Arial"/>
                <w:sz w:val="22"/>
                <w:szCs w:val="22"/>
              </w:rPr>
              <w:t>ii</w:t>
            </w:r>
            <w:proofErr w:type="spellEnd"/>
            <w:r w:rsidRPr="005E3011">
              <w:rPr>
                <w:rFonts w:ascii="Arial" w:hAnsi="Arial" w:cs="Arial"/>
                <w:sz w:val="22"/>
                <w:szCs w:val="22"/>
              </w:rPr>
              <w:t xml:space="preserve">) </w:t>
            </w:r>
            <w:r w:rsidRPr="005E3011">
              <w:rPr>
                <w:rFonts w:ascii="Arial" w:hAnsi="Arial" w:cs="Arial"/>
                <w:sz w:val="22"/>
                <w:szCs w:val="22"/>
                <w:lang w:val="es-CO"/>
              </w:rPr>
              <w:t>no se logra evidenciar que en efecto el trabajador sí realizó su labor en ejecución del contrato, (</w:t>
            </w:r>
            <w:proofErr w:type="spellStart"/>
            <w:r w:rsidRPr="005E3011">
              <w:rPr>
                <w:rFonts w:ascii="Arial" w:hAnsi="Arial" w:cs="Arial"/>
                <w:sz w:val="22"/>
                <w:szCs w:val="22"/>
                <w:lang w:val="es-CO"/>
              </w:rPr>
              <w:t>iii</w:t>
            </w:r>
            <w:proofErr w:type="spellEnd"/>
            <w:r w:rsidRPr="005E3011">
              <w:rPr>
                <w:rFonts w:ascii="Arial" w:hAnsi="Arial" w:cs="Arial"/>
                <w:sz w:val="22"/>
                <w:szCs w:val="22"/>
                <w:lang w:val="es-CO"/>
              </w:rPr>
              <w:t>) el actor solicita el pago de las acreencias laborales desde marzo al 16 de julio de 2021. </w:t>
            </w:r>
            <w:r w:rsidRPr="005E3011">
              <w:rPr>
                <w:rFonts w:ascii="Arial" w:hAnsi="Arial" w:cs="Arial"/>
                <w:sz w:val="22"/>
                <w:szCs w:val="22"/>
                <w:u w:val="single"/>
                <w:lang w:val="es-CO"/>
              </w:rPr>
              <w:t>Frente la Póliza de RCE</w:t>
            </w:r>
            <w:r w:rsidRPr="005E3011">
              <w:rPr>
                <w:rFonts w:ascii="Arial" w:hAnsi="Arial" w:cs="Arial"/>
                <w:sz w:val="22"/>
                <w:szCs w:val="22"/>
                <w:lang w:val="es-CO"/>
              </w:rPr>
              <w:t xml:space="preserve"> derivada de cumplimiento No. </w:t>
            </w:r>
            <w:r w:rsidRPr="005E3011">
              <w:rPr>
                <w:rFonts w:ascii="Arial" w:hAnsi="Arial" w:cs="Arial"/>
                <w:sz w:val="22"/>
                <w:szCs w:val="22"/>
              </w:rPr>
              <w:t xml:space="preserve">723656, se precisa que no existen pruebas que acrediten que </w:t>
            </w:r>
            <w:r w:rsidRPr="005E3011">
              <w:rPr>
                <w:rFonts w:ascii="Arial" w:hAnsi="Arial" w:cs="Arial"/>
                <w:sz w:val="22"/>
                <w:szCs w:val="22"/>
                <w:lang w:val="es-CO"/>
              </w:rPr>
              <w:t>se haya causado un daño, lesión y/o perjuicio patrimonial ocasionado a una tercera persona o a un trabajador del CONSORCIO VÍAS NARIÑO y/o del DEPARTAMENTO DE NARIÑO (asegurados) por una eventual culpa patronal. </w:t>
            </w:r>
          </w:p>
          <w:p w14:paraId="64C4FDE7" w14:textId="103943DA" w:rsidR="005E3011" w:rsidRPr="005E3011" w:rsidRDefault="005E3011" w:rsidP="005E3011">
            <w:pPr>
              <w:pStyle w:val="paragraph"/>
              <w:jc w:val="both"/>
              <w:rPr>
                <w:rFonts w:ascii="Arial" w:hAnsi="Arial" w:cs="Arial"/>
                <w:sz w:val="22"/>
                <w:szCs w:val="22"/>
                <w:lang w:val="es-CO"/>
              </w:rPr>
            </w:pPr>
            <w:r w:rsidRPr="005E3011">
              <w:rPr>
                <w:rFonts w:ascii="Arial" w:hAnsi="Arial" w:cs="Arial"/>
                <w:sz w:val="22"/>
                <w:szCs w:val="22"/>
                <w:lang w:val="es-CO"/>
              </w:rPr>
              <w:t xml:space="preserve">Por otro lado, frente a la responsabilidad del asegurado, debe decirse que existen elementos de prueba que deberán ser </w:t>
            </w:r>
            <w:r w:rsidRPr="005E3011">
              <w:rPr>
                <w:rFonts w:ascii="Arial" w:hAnsi="Arial" w:cs="Arial"/>
                <w:sz w:val="22"/>
                <w:szCs w:val="22"/>
                <w:lang w:val="es-CO"/>
              </w:rPr>
              <w:lastRenderedPageBreak/>
              <w:t>valorados por el juez a fin de determinar si (i) se logra acreditar que Consorcio Vías Nariño fungió como empleador del demandante y en qué periodos, (</w:t>
            </w:r>
            <w:proofErr w:type="spellStart"/>
            <w:r w:rsidRPr="005E3011">
              <w:rPr>
                <w:rFonts w:ascii="Arial" w:hAnsi="Arial" w:cs="Arial"/>
                <w:sz w:val="22"/>
                <w:szCs w:val="22"/>
                <w:lang w:val="es-CO"/>
              </w:rPr>
              <w:t>ii</w:t>
            </w:r>
            <w:proofErr w:type="spellEnd"/>
            <w:r w:rsidRPr="005E3011">
              <w:rPr>
                <w:rFonts w:ascii="Arial" w:hAnsi="Arial" w:cs="Arial"/>
                <w:sz w:val="22"/>
                <w:szCs w:val="22"/>
                <w:lang w:val="es-CO"/>
              </w:rPr>
              <w:t>) si efectivamente el Consorcio Vías Nariño adeuda los emolumentos solicitados por el actor, (</w:t>
            </w:r>
            <w:proofErr w:type="spellStart"/>
            <w:r w:rsidRPr="005E3011">
              <w:rPr>
                <w:rFonts w:ascii="Arial" w:hAnsi="Arial" w:cs="Arial"/>
                <w:sz w:val="22"/>
                <w:szCs w:val="22"/>
                <w:lang w:val="es-CO"/>
              </w:rPr>
              <w:t>iii</w:t>
            </w:r>
            <w:proofErr w:type="spellEnd"/>
            <w:r w:rsidRPr="005E3011">
              <w:rPr>
                <w:rFonts w:ascii="Arial" w:hAnsi="Arial" w:cs="Arial"/>
                <w:sz w:val="22"/>
                <w:szCs w:val="22"/>
                <w:lang w:val="es-CO"/>
              </w:rPr>
              <w:t>) Si el demandante prestó servicios en la ejecución del contrato afianzado y, (</w:t>
            </w:r>
            <w:proofErr w:type="spellStart"/>
            <w:r w:rsidRPr="005E3011">
              <w:rPr>
                <w:rFonts w:ascii="Arial" w:hAnsi="Arial" w:cs="Arial"/>
                <w:sz w:val="22"/>
                <w:szCs w:val="22"/>
                <w:lang w:val="es-CO"/>
              </w:rPr>
              <w:t>iv</w:t>
            </w:r>
            <w:proofErr w:type="spellEnd"/>
            <w:r w:rsidRPr="005E3011">
              <w:rPr>
                <w:rFonts w:ascii="Arial" w:hAnsi="Arial" w:cs="Arial"/>
                <w:sz w:val="22"/>
                <w:szCs w:val="22"/>
                <w:lang w:val="es-CO"/>
              </w:rPr>
              <w:t>) si opera la solidaridad entre el Consorcio Vías Nariño y el Departamento de Nariño durante el periodo alegado por el actor esto es de marzo de 2021 al 16/07/2021. Situaciones que, en atención a lo mencionado en líneas anteriores, pueden resultar probados.  </w:t>
            </w:r>
          </w:p>
          <w:p w14:paraId="744D6F24" w14:textId="77777777" w:rsidR="005E3011" w:rsidRPr="005E3011" w:rsidRDefault="005E3011" w:rsidP="005E3011">
            <w:pPr>
              <w:pStyle w:val="paragraph"/>
              <w:jc w:val="both"/>
              <w:rPr>
                <w:rFonts w:ascii="Arial" w:hAnsi="Arial" w:cs="Arial"/>
                <w:sz w:val="22"/>
                <w:szCs w:val="22"/>
                <w:lang w:val="es-CO"/>
              </w:rPr>
            </w:pPr>
            <w:r w:rsidRPr="005E3011">
              <w:rPr>
                <w:rFonts w:ascii="Arial" w:hAnsi="Arial" w:cs="Arial"/>
                <w:sz w:val="22"/>
                <w:szCs w:val="22"/>
                <w:lang w:val="es-CO"/>
              </w:rPr>
              <w:t>Lo esgrimido sin perjuicio del carácter contingente del proceso</w:t>
            </w:r>
          </w:p>
          <w:p w14:paraId="00875B82" w14:textId="6EB86551" w:rsidR="00C44EB0" w:rsidRPr="005E3011" w:rsidRDefault="00C44EB0" w:rsidP="005E3011">
            <w:pPr>
              <w:pStyle w:val="paragraph"/>
              <w:spacing w:before="0" w:beforeAutospacing="0" w:after="0" w:afterAutospacing="0"/>
              <w:jc w:val="both"/>
              <w:textAlignment w:val="baseline"/>
              <w:rPr>
                <w:rFonts w:ascii="Arial" w:hAnsi="Arial" w:cs="Arial"/>
                <w:sz w:val="22"/>
                <w:szCs w:val="22"/>
              </w:rPr>
            </w:pPr>
          </w:p>
        </w:tc>
      </w:tr>
      <w:tr w:rsidR="00C44EB0" w:rsidRPr="005E3011" w14:paraId="00875BA1" w14:textId="77777777" w:rsidTr="5AF8758B">
        <w:tc>
          <w:tcPr>
            <w:tcW w:w="4414" w:type="dxa"/>
            <w:shd w:val="clear" w:color="auto" w:fill="D9D9D9" w:themeFill="background1" w:themeFillShade="D9"/>
          </w:tcPr>
          <w:p w14:paraId="00875B84" w14:textId="77777777" w:rsidR="00C44EB0" w:rsidRPr="005E3011" w:rsidRDefault="005D416E" w:rsidP="00C44EB0">
            <w:pPr>
              <w:rPr>
                <w:rFonts w:ascii="Arial" w:hAnsi="Arial" w:cs="Arial"/>
                <w:b/>
              </w:rPr>
            </w:pPr>
            <w:r w:rsidRPr="005E3011">
              <w:rPr>
                <w:rFonts w:ascii="Arial" w:hAnsi="Arial" w:cs="Arial"/>
                <w:b/>
              </w:rPr>
              <w:lastRenderedPageBreak/>
              <w:t>Excepciones propuestas:</w:t>
            </w:r>
          </w:p>
        </w:tc>
        <w:tc>
          <w:tcPr>
            <w:tcW w:w="4414" w:type="dxa"/>
          </w:tcPr>
          <w:p w14:paraId="00875B85" w14:textId="77777777" w:rsidR="00C44EB0" w:rsidRPr="005E3011" w:rsidRDefault="00D807C9" w:rsidP="00D807C9">
            <w:pPr>
              <w:jc w:val="both"/>
              <w:rPr>
                <w:rFonts w:ascii="Arial" w:hAnsi="Arial" w:cs="Arial"/>
              </w:rPr>
            </w:pPr>
            <w:r w:rsidRPr="005E3011">
              <w:rPr>
                <w:rFonts w:ascii="Arial" w:hAnsi="Arial" w:cs="Arial"/>
              </w:rPr>
              <w:t>EXCEPCIONES DE FONDO FRENTE A LA DEMANDA:</w:t>
            </w:r>
          </w:p>
          <w:p w14:paraId="00875B8D" w14:textId="2FE20EFB" w:rsidR="00285EF7" w:rsidRPr="005E3011" w:rsidRDefault="00285EF7" w:rsidP="00285EF7">
            <w:pPr>
              <w:jc w:val="both"/>
              <w:rPr>
                <w:rFonts w:ascii="Arial" w:hAnsi="Arial" w:cs="Arial"/>
              </w:rPr>
            </w:pPr>
          </w:p>
          <w:p w14:paraId="5ACEE0AD" w14:textId="10875BBF" w:rsidR="00E1574D" w:rsidRPr="005E3011" w:rsidRDefault="00E1574D" w:rsidP="00E1574D">
            <w:pPr>
              <w:pStyle w:val="Prrafodelista"/>
              <w:numPr>
                <w:ilvl w:val="0"/>
                <w:numId w:val="6"/>
              </w:numPr>
              <w:jc w:val="both"/>
              <w:rPr>
                <w:rStyle w:val="normaltextrun"/>
                <w:rFonts w:ascii="Arial" w:hAnsi="Arial" w:cs="Arial"/>
              </w:rPr>
            </w:pPr>
            <w:r w:rsidRPr="005E3011">
              <w:rPr>
                <w:rStyle w:val="normaltextrun"/>
                <w:rFonts w:ascii="Arial" w:hAnsi="Arial" w:cs="Arial"/>
                <w:color w:val="000000"/>
                <w:lang w:val="es-MX"/>
              </w:rPr>
              <w:t xml:space="preserve">INEXISTENCIA DE OBLIGACIÓN A CARGO DEL </w:t>
            </w:r>
            <w:r w:rsidRPr="005E3011">
              <w:rPr>
                <w:rStyle w:val="normaltextrun"/>
                <w:rFonts w:ascii="Arial" w:hAnsi="Arial" w:cs="Arial"/>
                <w:color w:val="000000"/>
                <w:lang w:val="es-ES"/>
              </w:rPr>
              <w:t xml:space="preserve">DEPARTAMENTO DE NARIÑO </w:t>
            </w:r>
            <w:r w:rsidRPr="005E3011">
              <w:rPr>
                <w:rStyle w:val="normaltextrun"/>
                <w:rFonts w:ascii="Arial" w:hAnsi="Arial" w:cs="Arial"/>
                <w:color w:val="000000"/>
                <w:lang w:val="es-MX"/>
              </w:rPr>
              <w:t>POR CUANTO DICHA SOCIEDAD NO OSTENTÓ LA CALIDAD DE EMPLEADOR DEL DEMANDANTE Y NO SE CONFIGURÓ UN CONTRATO REALIDAD CON DICHA ENTIDAD.</w:t>
            </w:r>
          </w:p>
          <w:p w14:paraId="3940BD27" w14:textId="77777777" w:rsidR="00E1574D" w:rsidRPr="005E3011" w:rsidRDefault="00E1574D" w:rsidP="00E1574D">
            <w:pPr>
              <w:pStyle w:val="Prrafodelista"/>
              <w:ind w:left="360"/>
              <w:jc w:val="both"/>
              <w:rPr>
                <w:rStyle w:val="normaltextrun"/>
                <w:rFonts w:ascii="Arial" w:hAnsi="Arial" w:cs="Arial"/>
              </w:rPr>
            </w:pPr>
          </w:p>
          <w:p w14:paraId="67B879A1" w14:textId="03A556BD" w:rsidR="00E1574D" w:rsidRPr="005E3011" w:rsidRDefault="00E1574D" w:rsidP="00E1574D">
            <w:pPr>
              <w:pStyle w:val="Prrafodelista"/>
              <w:numPr>
                <w:ilvl w:val="0"/>
                <w:numId w:val="6"/>
              </w:numPr>
              <w:jc w:val="both"/>
              <w:rPr>
                <w:rStyle w:val="normaltextrun"/>
                <w:rFonts w:ascii="Arial" w:hAnsi="Arial" w:cs="Arial"/>
              </w:rPr>
            </w:pPr>
            <w:r w:rsidRPr="005E3011">
              <w:rPr>
                <w:rStyle w:val="normaltextrun"/>
                <w:rFonts w:ascii="Arial" w:hAnsi="Arial" w:cs="Arial"/>
                <w:color w:val="000000"/>
                <w:shd w:val="clear" w:color="auto" w:fill="FFFFFF"/>
              </w:rPr>
              <w:t>CONFESIÓN POR PARTE DEL DEMANDANTE QUIEN ASEGURA EN EL ESCRITO DE DEMANDA QUE SU EMPLEADOR FUE EL SEÑOR CARLOS MARIO CARMONA SIN PRECISAR O ACREDITAR EN LA MISMA QUE EL CONSORCIO VÍAS NARIÑO (TOMADOR DE LA PÓLIZA) FUNGIÓ COMO SU EMPLEADOR.</w:t>
            </w:r>
          </w:p>
          <w:p w14:paraId="7629B714" w14:textId="77777777" w:rsidR="00E1574D" w:rsidRPr="005E3011" w:rsidRDefault="00E1574D" w:rsidP="00E1574D">
            <w:pPr>
              <w:pStyle w:val="Prrafodelista"/>
              <w:rPr>
                <w:rFonts w:ascii="Arial" w:hAnsi="Arial" w:cs="Arial"/>
              </w:rPr>
            </w:pPr>
          </w:p>
          <w:p w14:paraId="29A9E7AE" w14:textId="60F5A3B1" w:rsidR="00E1574D" w:rsidRPr="005E3011" w:rsidRDefault="00E1574D" w:rsidP="00E1574D">
            <w:pPr>
              <w:pStyle w:val="Prrafodelista"/>
              <w:numPr>
                <w:ilvl w:val="0"/>
                <w:numId w:val="6"/>
              </w:numPr>
              <w:jc w:val="both"/>
              <w:rPr>
                <w:rStyle w:val="eop"/>
                <w:rFonts w:ascii="Arial" w:hAnsi="Arial" w:cs="Arial"/>
              </w:rPr>
            </w:pPr>
            <w:r w:rsidRPr="005E3011">
              <w:rPr>
                <w:rStyle w:val="normaltextrun"/>
                <w:rFonts w:ascii="Arial" w:hAnsi="Arial" w:cs="Arial"/>
                <w:color w:val="000000"/>
              </w:rPr>
              <w:t>INEXISTENCIA DE SOLIDARIDAD Y DE OBLIGACIÓN A CARGO DEL DEPARTAMENTO DE NARIÑO DE CONFORMIDAD CON EL ARTÍCULO 34 DEL C.S.T.</w:t>
            </w:r>
            <w:r w:rsidRPr="005E3011">
              <w:rPr>
                <w:rStyle w:val="eop"/>
                <w:rFonts w:ascii="Arial" w:hAnsi="Arial" w:cs="Arial"/>
                <w:color w:val="000000"/>
              </w:rPr>
              <w:t> </w:t>
            </w:r>
          </w:p>
          <w:p w14:paraId="6CB5E4B7" w14:textId="77777777" w:rsidR="00E1574D" w:rsidRPr="005E3011" w:rsidRDefault="00E1574D" w:rsidP="00E1574D">
            <w:pPr>
              <w:pStyle w:val="Prrafodelista"/>
              <w:rPr>
                <w:rFonts w:ascii="Arial" w:hAnsi="Arial" w:cs="Arial"/>
              </w:rPr>
            </w:pPr>
          </w:p>
          <w:p w14:paraId="5C54928F" w14:textId="0343C655" w:rsidR="00E1574D" w:rsidRPr="005E3011" w:rsidRDefault="00E1574D" w:rsidP="00E1574D">
            <w:pPr>
              <w:pStyle w:val="Prrafodelista"/>
              <w:numPr>
                <w:ilvl w:val="0"/>
                <w:numId w:val="6"/>
              </w:numPr>
              <w:jc w:val="both"/>
              <w:rPr>
                <w:rFonts w:ascii="Arial" w:hAnsi="Arial" w:cs="Arial"/>
              </w:rPr>
            </w:pPr>
            <w:r w:rsidRPr="005E3011">
              <w:rPr>
                <w:rFonts w:ascii="Arial" w:hAnsi="Arial" w:cs="Arial"/>
              </w:rPr>
              <w:t>INEXISTENCIA Y FALTA DE ACREDITACIÓN DE LA MATERIALIZACIÓN DE PERJUICIOS.</w:t>
            </w:r>
          </w:p>
          <w:p w14:paraId="1F884243" w14:textId="55F60948" w:rsidR="004D56EB" w:rsidRPr="005E3011" w:rsidRDefault="004D56EB" w:rsidP="00E1574D">
            <w:pPr>
              <w:pStyle w:val="Prrafodelista"/>
              <w:ind w:left="360"/>
              <w:jc w:val="both"/>
              <w:rPr>
                <w:rFonts w:ascii="Arial" w:hAnsi="Arial" w:cs="Arial"/>
              </w:rPr>
            </w:pPr>
            <w:r w:rsidRPr="005E3011">
              <w:rPr>
                <w:rFonts w:ascii="Arial" w:hAnsi="Arial" w:cs="Arial"/>
              </w:rPr>
              <w:lastRenderedPageBreak/>
              <w:t xml:space="preserve"> </w:t>
            </w:r>
          </w:p>
          <w:p w14:paraId="02CEF4EC" w14:textId="4962D231" w:rsidR="007B6938" w:rsidRPr="005E3011" w:rsidRDefault="004D56EB" w:rsidP="004D56EB">
            <w:pPr>
              <w:pStyle w:val="Sinespaciado"/>
              <w:numPr>
                <w:ilvl w:val="0"/>
                <w:numId w:val="6"/>
              </w:numPr>
              <w:jc w:val="both"/>
              <w:rPr>
                <w:rFonts w:ascii="Arial" w:hAnsi="Arial" w:cs="Arial"/>
              </w:rPr>
            </w:pPr>
            <w:r w:rsidRPr="005E3011">
              <w:rPr>
                <w:rFonts w:ascii="Arial" w:hAnsi="Arial" w:cs="Arial"/>
              </w:rPr>
              <w:t>P</w:t>
            </w:r>
            <w:r w:rsidR="007B6938" w:rsidRPr="005E3011">
              <w:rPr>
                <w:rFonts w:ascii="Arial" w:hAnsi="Arial" w:cs="Arial"/>
              </w:rPr>
              <w:t>RESCRIPCIÓN DE DERECHOS LABORALES</w:t>
            </w:r>
            <w:r w:rsidRPr="005E3011">
              <w:rPr>
                <w:rFonts w:ascii="Arial" w:hAnsi="Arial" w:cs="Arial"/>
              </w:rPr>
              <w:t>.</w:t>
            </w:r>
          </w:p>
          <w:p w14:paraId="36CE069B" w14:textId="77777777" w:rsidR="00E1574D" w:rsidRPr="005E3011" w:rsidRDefault="00E1574D" w:rsidP="00E1574D">
            <w:pPr>
              <w:pStyle w:val="Prrafodelista"/>
              <w:rPr>
                <w:rFonts w:ascii="Arial" w:hAnsi="Arial" w:cs="Arial"/>
              </w:rPr>
            </w:pPr>
          </w:p>
          <w:p w14:paraId="0C4E66E5" w14:textId="7F7C783D" w:rsidR="00E1574D" w:rsidRPr="005E3011" w:rsidRDefault="00E1574D" w:rsidP="004D56EB">
            <w:pPr>
              <w:pStyle w:val="Sinespaciado"/>
              <w:numPr>
                <w:ilvl w:val="0"/>
                <w:numId w:val="6"/>
              </w:numPr>
              <w:jc w:val="both"/>
              <w:rPr>
                <w:rFonts w:ascii="Arial" w:hAnsi="Arial" w:cs="Arial"/>
              </w:rPr>
            </w:pPr>
            <w:r w:rsidRPr="005E3011">
              <w:rPr>
                <w:rFonts w:ascii="Arial" w:hAnsi="Arial" w:cs="Arial"/>
              </w:rPr>
              <w:t>ENRIQUECIMIENTO SIN CAUSA</w:t>
            </w:r>
          </w:p>
          <w:p w14:paraId="30CCC67C" w14:textId="77777777" w:rsidR="004D56EB" w:rsidRPr="005E3011" w:rsidRDefault="004D56EB" w:rsidP="004D56EB">
            <w:pPr>
              <w:pStyle w:val="Sinespaciado"/>
              <w:jc w:val="both"/>
              <w:rPr>
                <w:rFonts w:ascii="Arial" w:hAnsi="Arial" w:cs="Arial"/>
              </w:rPr>
            </w:pPr>
          </w:p>
          <w:p w14:paraId="03E55670" w14:textId="77777777" w:rsidR="004D56EB" w:rsidRPr="005E3011" w:rsidRDefault="007B6938" w:rsidP="004D56EB">
            <w:pPr>
              <w:pStyle w:val="Prrafodelista"/>
              <w:widowControl w:val="0"/>
              <w:numPr>
                <w:ilvl w:val="0"/>
                <w:numId w:val="6"/>
              </w:numPr>
              <w:autoSpaceDE w:val="0"/>
              <w:autoSpaceDN w:val="0"/>
              <w:contextualSpacing w:val="0"/>
              <w:jc w:val="both"/>
              <w:rPr>
                <w:rFonts w:ascii="Arial" w:hAnsi="Arial" w:cs="Arial"/>
              </w:rPr>
            </w:pPr>
            <w:r w:rsidRPr="005E3011">
              <w:rPr>
                <w:rFonts w:ascii="Arial" w:hAnsi="Arial" w:cs="Arial"/>
              </w:rPr>
              <w:t>COMPENSACIÓN.</w:t>
            </w:r>
          </w:p>
          <w:p w14:paraId="1031BBAA" w14:textId="77777777" w:rsidR="004D56EB" w:rsidRPr="005E3011" w:rsidRDefault="004D56EB" w:rsidP="004D56EB">
            <w:pPr>
              <w:pStyle w:val="Prrafodelista"/>
              <w:rPr>
                <w:rFonts w:ascii="Arial" w:hAnsi="Arial" w:cs="Arial"/>
              </w:rPr>
            </w:pPr>
          </w:p>
          <w:p w14:paraId="700E70D9" w14:textId="3C78DDE4" w:rsidR="007B6938" w:rsidRPr="005E3011" w:rsidRDefault="004D56EB" w:rsidP="004D56EB">
            <w:pPr>
              <w:pStyle w:val="Prrafodelista"/>
              <w:widowControl w:val="0"/>
              <w:numPr>
                <w:ilvl w:val="0"/>
                <w:numId w:val="6"/>
              </w:numPr>
              <w:autoSpaceDE w:val="0"/>
              <w:autoSpaceDN w:val="0"/>
              <w:contextualSpacing w:val="0"/>
              <w:jc w:val="both"/>
              <w:rPr>
                <w:rFonts w:ascii="Arial" w:hAnsi="Arial" w:cs="Arial"/>
              </w:rPr>
            </w:pPr>
            <w:r w:rsidRPr="005E3011">
              <w:rPr>
                <w:rFonts w:ascii="Arial" w:hAnsi="Arial" w:cs="Arial"/>
              </w:rPr>
              <w:t>G</w:t>
            </w:r>
            <w:r w:rsidR="007B6938" w:rsidRPr="005E3011">
              <w:rPr>
                <w:rFonts w:ascii="Arial" w:hAnsi="Arial" w:cs="Arial"/>
              </w:rPr>
              <w:t>ENÉRICA O INNOMINADA.</w:t>
            </w:r>
          </w:p>
          <w:p w14:paraId="0E65798B" w14:textId="65F49279" w:rsidR="00A71844" w:rsidRPr="005E3011" w:rsidRDefault="00A71844" w:rsidP="00285EF7">
            <w:pPr>
              <w:jc w:val="both"/>
              <w:rPr>
                <w:rFonts w:ascii="Arial" w:hAnsi="Arial" w:cs="Arial"/>
              </w:rPr>
            </w:pPr>
          </w:p>
          <w:p w14:paraId="72A42902" w14:textId="77777777" w:rsidR="00A71844" w:rsidRPr="005E3011" w:rsidRDefault="00A71844" w:rsidP="00285EF7">
            <w:pPr>
              <w:jc w:val="both"/>
              <w:rPr>
                <w:rFonts w:ascii="Arial" w:hAnsi="Arial" w:cs="Arial"/>
              </w:rPr>
            </w:pPr>
          </w:p>
          <w:p w14:paraId="1A8B4890" w14:textId="77777777" w:rsidR="005C2D0B" w:rsidRPr="005E3011" w:rsidRDefault="00285EF7" w:rsidP="00A71844">
            <w:pPr>
              <w:jc w:val="both"/>
              <w:rPr>
                <w:rFonts w:ascii="Arial" w:hAnsi="Arial" w:cs="Arial"/>
              </w:rPr>
            </w:pPr>
            <w:r w:rsidRPr="005E3011">
              <w:rPr>
                <w:rFonts w:ascii="Arial" w:hAnsi="Arial" w:cs="Arial"/>
              </w:rPr>
              <w:t>EXCEPCIONES FRENTE AL LLAMAMIENTO EN GARANTÍA:</w:t>
            </w:r>
          </w:p>
          <w:p w14:paraId="48403CCB" w14:textId="77777777" w:rsidR="004D56EB" w:rsidRPr="005E3011" w:rsidRDefault="004D56EB" w:rsidP="00A71844">
            <w:pPr>
              <w:jc w:val="both"/>
              <w:rPr>
                <w:rFonts w:ascii="Arial" w:hAnsi="Arial" w:cs="Arial"/>
              </w:rPr>
            </w:pPr>
          </w:p>
          <w:p w14:paraId="5EFDC0F0" w14:textId="2DCECA47" w:rsidR="004D56EB" w:rsidRPr="005E3011" w:rsidRDefault="004D56EB"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 xml:space="preserve">FALTA </w:t>
            </w:r>
            <w:r w:rsidR="00E1574D" w:rsidRPr="005E3011">
              <w:rPr>
                <w:rStyle w:val="normaltextrun"/>
                <w:rFonts w:ascii="Arial" w:hAnsi="Arial" w:cs="Arial"/>
                <w:sz w:val="22"/>
                <w:szCs w:val="22"/>
              </w:rPr>
              <w:t>DE COBERTURA MATERIAL DE LA PÓLIZA DE SEGURO DE CUMPLIMIENTO EN FAVOR DE ENTIDADES ESTATALES NO. 3044483 FRENTE A UNA EVENTUAL CONDENA A INGENIERÍA CONSULTORÍA Y PROYECTO S.A.S. Y/O CARLOS MARIO CARMONA PATIÑO POR CUANTO NO FUNGEN COMO TOMADORAS DE LA PÓLIZA.</w:t>
            </w:r>
          </w:p>
          <w:p w14:paraId="519DE96D" w14:textId="77777777" w:rsidR="00E1574D" w:rsidRPr="005E3011" w:rsidRDefault="00E1574D" w:rsidP="00E1574D">
            <w:pPr>
              <w:pStyle w:val="paragraph"/>
              <w:spacing w:before="0" w:beforeAutospacing="0" w:after="0" w:afterAutospacing="0"/>
              <w:ind w:left="720"/>
              <w:jc w:val="both"/>
              <w:textAlignment w:val="baseline"/>
              <w:rPr>
                <w:rStyle w:val="normaltextrun"/>
                <w:rFonts w:ascii="Arial" w:hAnsi="Arial" w:cs="Arial"/>
                <w:sz w:val="22"/>
                <w:szCs w:val="22"/>
              </w:rPr>
            </w:pPr>
          </w:p>
          <w:p w14:paraId="46D9E59C" w14:textId="6917613B"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FALTA DE COBERTURA MATERIAL DE LA PÓLIZA DE SEGURO DE CUMPLIMIENTO EN FAVOR DE ENTIDADES ESTATALES DECRETO 1082 DE 2015 NO. 3044483 EXPEDIDA POR LIBERTY SEGUROS S.A. </w:t>
            </w:r>
          </w:p>
          <w:p w14:paraId="417208D0" w14:textId="77777777" w:rsidR="00E1574D" w:rsidRPr="005E3011" w:rsidRDefault="00E1574D" w:rsidP="00E1574D">
            <w:pPr>
              <w:pStyle w:val="Prrafodelista"/>
              <w:rPr>
                <w:rStyle w:val="normaltextrun"/>
                <w:rFonts w:ascii="Arial" w:hAnsi="Arial" w:cs="Arial"/>
              </w:rPr>
            </w:pPr>
          </w:p>
          <w:p w14:paraId="4AB29E5C" w14:textId="18CD5D11"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color w:val="000000"/>
                <w:sz w:val="22"/>
                <w:szCs w:val="22"/>
                <w:shd w:val="clear" w:color="auto" w:fill="FFFFFF"/>
              </w:rPr>
              <w:t>FALTA DE COBERTURA MATERIAL DE LA PÓLIZA DE SEGURO DE RESPONSABILIDAD CIVIL EXTRACONTRACTUAL NO. 723656 DE CARA A LAS PRETENSIONES DE LA DEMANDA.</w:t>
            </w:r>
          </w:p>
          <w:p w14:paraId="4DC82092" w14:textId="77777777" w:rsidR="00E1574D" w:rsidRPr="005E3011" w:rsidRDefault="00E1574D" w:rsidP="00E1574D">
            <w:pPr>
              <w:pStyle w:val="Prrafodelista"/>
              <w:rPr>
                <w:rStyle w:val="normaltextrun"/>
                <w:rFonts w:ascii="Arial" w:hAnsi="Arial" w:cs="Arial"/>
              </w:rPr>
            </w:pPr>
          </w:p>
          <w:p w14:paraId="314C0E2A" w14:textId="0091F470"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RIESGO CIERTO NO ASEGURABLE RESPECTO DE LA PÓLIZA DE SEGURO DE CUMPLIMIENTO EN FAVOR DE ENTIDADES ESTATALES DECRETO 1082 DE 2015 NO. 3044483 EXPEDIDA POR LIBERTY SEGUROS S.A.</w:t>
            </w:r>
          </w:p>
          <w:p w14:paraId="2491B176" w14:textId="77777777" w:rsidR="00E1574D" w:rsidRPr="005E3011" w:rsidRDefault="00E1574D" w:rsidP="00E1574D">
            <w:pPr>
              <w:pStyle w:val="Prrafodelista"/>
              <w:rPr>
                <w:rStyle w:val="normaltextrun"/>
                <w:rFonts w:ascii="Arial" w:hAnsi="Arial" w:cs="Arial"/>
              </w:rPr>
            </w:pPr>
          </w:p>
          <w:p w14:paraId="16C527B9" w14:textId="20EAC832"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IMPROCEDENCIA DE AFECTACIÓN DEL SEGURO DE CUMPLIMIENTO EN FAVOR DE ENTIDADES ESTATALES DECRETO 1082 DE 2015 NO. 3044483 EXPEDIDA POR LIBERTY SEGUROS S.A., POR EL NO CUMPLIMIENTO DE LAS CARGAS ESTABLECIDAS EN EL ARTÍCULO 1077 DEL CÓDIGO DE COMERCIO, DE ACREDITAR LA REALIZACIÓN DEL RIESGO ASEGURADO Y LA CUANTÍA DE LA PÉRDIDA RESPECTO DEL AMPARO DE CUMPLIMIENTO.</w:t>
            </w:r>
          </w:p>
          <w:p w14:paraId="2AD8D657" w14:textId="77777777" w:rsidR="00E1574D" w:rsidRPr="005E3011" w:rsidRDefault="00E1574D" w:rsidP="00E1574D">
            <w:pPr>
              <w:pStyle w:val="Prrafodelista"/>
              <w:rPr>
                <w:rStyle w:val="normaltextrun"/>
                <w:rFonts w:ascii="Arial" w:hAnsi="Arial" w:cs="Arial"/>
              </w:rPr>
            </w:pPr>
          </w:p>
          <w:p w14:paraId="5A7A8F50" w14:textId="06DE1751"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IMPOSIBILIDAD DE AFECTAR LA PÓLIZA POR CUANTO NO SE REALIZÓ EL RIESGO ASEGURADO. </w:t>
            </w:r>
          </w:p>
          <w:p w14:paraId="3FCEC189" w14:textId="77777777" w:rsidR="00E1574D" w:rsidRPr="005E3011" w:rsidRDefault="00E1574D" w:rsidP="00E1574D">
            <w:pPr>
              <w:pStyle w:val="Prrafodelista"/>
              <w:rPr>
                <w:rStyle w:val="normaltextrun"/>
                <w:rFonts w:ascii="Arial" w:hAnsi="Arial" w:cs="Arial"/>
              </w:rPr>
            </w:pPr>
          </w:p>
          <w:p w14:paraId="29DDDF5D" w14:textId="1691A9E4" w:rsidR="00E1574D" w:rsidRPr="005E3011" w:rsidRDefault="00E1574D" w:rsidP="00E1574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sz w:val="22"/>
                <w:szCs w:val="22"/>
              </w:rPr>
              <w:t>FALTA DE COBERTURA TEMPORAL DE LA PÓLIZA DE SEGURO DE CUMPLIMIENTO EN FAVOR DE ENTIDADES ESTATALES DECRETO 1082 DE 2015 NO. 3044483 EXPEDIDA POR LIBERTY SEGUROS S.A.</w:t>
            </w:r>
          </w:p>
          <w:p w14:paraId="0F5D9764" w14:textId="77777777" w:rsidR="00E1574D" w:rsidRPr="005E3011" w:rsidRDefault="00E1574D" w:rsidP="00E1574D">
            <w:pPr>
              <w:pStyle w:val="paragraph"/>
              <w:spacing w:before="0" w:beforeAutospacing="0" w:after="0" w:afterAutospacing="0"/>
              <w:jc w:val="both"/>
              <w:textAlignment w:val="baseline"/>
              <w:rPr>
                <w:rFonts w:ascii="Arial" w:hAnsi="Arial" w:cs="Arial"/>
                <w:sz w:val="22"/>
                <w:szCs w:val="22"/>
              </w:rPr>
            </w:pPr>
          </w:p>
          <w:p w14:paraId="5536F2C4" w14:textId="65C6A8E1" w:rsidR="004D56EB" w:rsidRPr="005E3011" w:rsidRDefault="004D56EB" w:rsidP="004D56EB">
            <w:pPr>
              <w:pStyle w:val="paragraph"/>
              <w:numPr>
                <w:ilvl w:val="0"/>
                <w:numId w:val="7"/>
              </w:numPr>
              <w:spacing w:before="0" w:beforeAutospacing="0" w:after="0" w:afterAutospacing="0"/>
              <w:jc w:val="both"/>
              <w:textAlignment w:val="baseline"/>
              <w:rPr>
                <w:rFonts w:ascii="Arial" w:hAnsi="Arial" w:cs="Arial"/>
                <w:iCs/>
                <w:sz w:val="22"/>
                <w:szCs w:val="22"/>
              </w:rPr>
            </w:pPr>
            <w:r w:rsidRPr="005E3011">
              <w:rPr>
                <w:rFonts w:ascii="Arial" w:hAnsi="Arial" w:cs="Arial"/>
                <w:sz w:val="22"/>
                <w:szCs w:val="22"/>
              </w:rPr>
              <w:t>CONFIGURACIÓN DEL FENÓMENO JURÍDICO DE LA NULIDAD RELATIVA DEL CONTRATO DE SEGURO POR LA RETICENCIA DEL AFIANZADO.</w:t>
            </w:r>
          </w:p>
          <w:p w14:paraId="26E50374" w14:textId="77777777" w:rsidR="00852CC3" w:rsidRPr="005E3011" w:rsidRDefault="00852CC3" w:rsidP="00852CC3">
            <w:pPr>
              <w:pStyle w:val="Prrafodelista"/>
              <w:rPr>
                <w:rFonts w:ascii="Arial" w:hAnsi="Arial" w:cs="Arial"/>
                <w:iCs/>
              </w:rPr>
            </w:pPr>
          </w:p>
          <w:p w14:paraId="3987B985" w14:textId="47532ECC" w:rsidR="00852CC3" w:rsidRPr="005E3011" w:rsidRDefault="00852CC3" w:rsidP="004D56EB">
            <w:pPr>
              <w:pStyle w:val="paragraph"/>
              <w:numPr>
                <w:ilvl w:val="0"/>
                <w:numId w:val="7"/>
              </w:numPr>
              <w:spacing w:before="0" w:beforeAutospacing="0" w:after="0" w:afterAutospacing="0"/>
              <w:jc w:val="both"/>
              <w:textAlignment w:val="baseline"/>
              <w:rPr>
                <w:rFonts w:ascii="Arial" w:hAnsi="Arial" w:cs="Arial"/>
                <w:iCs/>
                <w:sz w:val="22"/>
                <w:szCs w:val="22"/>
              </w:rPr>
            </w:pPr>
            <w:r w:rsidRPr="005E3011">
              <w:rPr>
                <w:rFonts w:ascii="Arial" w:hAnsi="Arial" w:cs="Arial"/>
                <w:iCs/>
                <w:sz w:val="22"/>
                <w:szCs w:val="22"/>
              </w:rPr>
              <w:t>TERMINACIÓN AUTOMÁTICA DE LA PÓLIZA DE SEGURO DE CUMPLIMIENTO EN FAVOR DE ENTIDADES ESTATALES NO. 3044483 COMO CONSECUENCIA DEL EVENTUAL INCUMPLIMIENTO DEL ASEGURADO DE LAS GARANTÍAS ESTIPULADAS EN LAS CONDICIONES GENERALES DE LA PÓLIZA EMITIDA POR LIBERTY SEGUROS S.A.</w:t>
            </w:r>
          </w:p>
          <w:p w14:paraId="50C646BA" w14:textId="77777777" w:rsidR="004D56EB" w:rsidRPr="005E3011" w:rsidRDefault="004D56EB" w:rsidP="004D56EB">
            <w:pPr>
              <w:pStyle w:val="paragraph"/>
              <w:spacing w:before="0" w:beforeAutospacing="0" w:after="0" w:afterAutospacing="0"/>
              <w:ind w:left="720"/>
              <w:jc w:val="both"/>
              <w:textAlignment w:val="baseline"/>
              <w:rPr>
                <w:rFonts w:ascii="Arial" w:hAnsi="Arial" w:cs="Arial"/>
                <w:iCs/>
                <w:sz w:val="22"/>
                <w:szCs w:val="22"/>
              </w:rPr>
            </w:pPr>
          </w:p>
          <w:p w14:paraId="262FA3AF" w14:textId="04B312D2" w:rsidR="00852CC3" w:rsidRPr="005E3011" w:rsidRDefault="00852CC3" w:rsidP="004D56EB">
            <w:pPr>
              <w:pStyle w:val="paragraph"/>
              <w:numPr>
                <w:ilvl w:val="0"/>
                <w:numId w:val="7"/>
              </w:numPr>
              <w:spacing w:before="0" w:beforeAutospacing="0" w:after="0" w:afterAutospacing="0"/>
              <w:jc w:val="both"/>
              <w:textAlignment w:val="baseline"/>
              <w:rPr>
                <w:rFonts w:ascii="Arial" w:hAnsi="Arial" w:cs="Arial"/>
                <w:sz w:val="22"/>
                <w:szCs w:val="22"/>
              </w:rPr>
            </w:pPr>
            <w:r w:rsidRPr="005E3011">
              <w:rPr>
                <w:rFonts w:ascii="Arial" w:hAnsi="Arial" w:cs="Arial"/>
                <w:sz w:val="22"/>
                <w:szCs w:val="22"/>
              </w:rPr>
              <w:t xml:space="preserve">CARÁCTER MERAMENTE INDEMNIZATORIO QUE </w:t>
            </w:r>
            <w:r w:rsidRPr="005E3011">
              <w:rPr>
                <w:rFonts w:ascii="Arial" w:hAnsi="Arial" w:cs="Arial"/>
                <w:sz w:val="22"/>
                <w:szCs w:val="22"/>
              </w:rPr>
              <w:lastRenderedPageBreak/>
              <w:t>REVISTEN LOS CONTRATOS DE SEGUROS.</w:t>
            </w:r>
          </w:p>
          <w:p w14:paraId="657D37C7" w14:textId="77777777" w:rsidR="00852CC3" w:rsidRPr="005E3011" w:rsidRDefault="00852CC3" w:rsidP="00852CC3">
            <w:pPr>
              <w:pStyle w:val="Prrafodelista"/>
              <w:rPr>
                <w:rFonts w:ascii="Arial" w:hAnsi="Arial" w:cs="Arial"/>
              </w:rPr>
            </w:pPr>
          </w:p>
          <w:p w14:paraId="5ADCD8FD" w14:textId="0B2DF5B3" w:rsidR="00852CC3" w:rsidRPr="005E3011" w:rsidRDefault="00852CC3" w:rsidP="004D56EB">
            <w:pPr>
              <w:pStyle w:val="paragraph"/>
              <w:numPr>
                <w:ilvl w:val="0"/>
                <w:numId w:val="7"/>
              </w:numPr>
              <w:spacing w:before="0" w:beforeAutospacing="0" w:after="0" w:afterAutospacing="0"/>
              <w:jc w:val="both"/>
              <w:textAlignment w:val="baseline"/>
              <w:rPr>
                <w:rFonts w:ascii="Arial" w:hAnsi="Arial" w:cs="Arial"/>
                <w:sz w:val="22"/>
                <w:szCs w:val="22"/>
              </w:rPr>
            </w:pPr>
            <w:r w:rsidRPr="005E3011">
              <w:rPr>
                <w:rFonts w:ascii="Arial" w:hAnsi="Arial" w:cs="Arial"/>
                <w:sz w:val="22"/>
                <w:szCs w:val="22"/>
              </w:rPr>
              <w:t>REDUCCIÓN DE LA INDEMNIZACIÓN POR CONMPENSACIONES</w:t>
            </w:r>
          </w:p>
          <w:p w14:paraId="0CA746BF" w14:textId="77777777" w:rsidR="00852CC3" w:rsidRPr="005E3011" w:rsidRDefault="00852CC3" w:rsidP="00852CC3">
            <w:pPr>
              <w:pStyle w:val="Prrafodelista"/>
              <w:rPr>
                <w:rFonts w:ascii="Arial" w:hAnsi="Arial" w:cs="Arial"/>
              </w:rPr>
            </w:pPr>
          </w:p>
          <w:p w14:paraId="66CB0DD4" w14:textId="61D5048C" w:rsidR="004D56EB" w:rsidRPr="005E3011" w:rsidRDefault="004D56EB" w:rsidP="004D56EB">
            <w:pPr>
              <w:pStyle w:val="paragraph"/>
              <w:numPr>
                <w:ilvl w:val="0"/>
                <w:numId w:val="7"/>
              </w:numPr>
              <w:spacing w:before="0" w:beforeAutospacing="0" w:after="0" w:afterAutospacing="0"/>
              <w:jc w:val="both"/>
              <w:textAlignment w:val="baseline"/>
              <w:rPr>
                <w:rFonts w:ascii="Arial" w:hAnsi="Arial" w:cs="Arial"/>
                <w:sz w:val="22"/>
                <w:szCs w:val="22"/>
              </w:rPr>
            </w:pPr>
            <w:r w:rsidRPr="005E3011">
              <w:rPr>
                <w:rFonts w:ascii="Arial" w:hAnsi="Arial" w:cs="Arial"/>
                <w:sz w:val="22"/>
                <w:szCs w:val="22"/>
              </w:rPr>
              <w:t>COEXISTENCIA DEL SEGURO</w:t>
            </w:r>
            <w:r w:rsidR="00852CC3" w:rsidRPr="005E3011">
              <w:rPr>
                <w:rFonts w:ascii="Arial" w:hAnsi="Arial" w:cs="Arial"/>
                <w:sz w:val="22"/>
                <w:szCs w:val="22"/>
              </w:rPr>
              <w:t>S</w:t>
            </w:r>
            <w:r w:rsidRPr="005E3011">
              <w:rPr>
                <w:rFonts w:ascii="Arial" w:hAnsi="Arial" w:cs="Arial"/>
                <w:sz w:val="22"/>
                <w:szCs w:val="22"/>
              </w:rPr>
              <w:t>.</w:t>
            </w:r>
          </w:p>
          <w:p w14:paraId="6B5579E6" w14:textId="77777777" w:rsidR="00852CC3" w:rsidRPr="005E3011" w:rsidRDefault="00852CC3" w:rsidP="00852CC3">
            <w:pPr>
              <w:pStyle w:val="Prrafodelista"/>
              <w:rPr>
                <w:rFonts w:ascii="Arial" w:hAnsi="Arial" w:cs="Arial"/>
              </w:rPr>
            </w:pPr>
          </w:p>
          <w:p w14:paraId="54EEE1B3" w14:textId="3FB7EC29" w:rsidR="00852CC3" w:rsidRPr="005E3011" w:rsidRDefault="00852CC3" w:rsidP="004D56EB">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5E3011">
              <w:rPr>
                <w:rStyle w:val="normaltextrun"/>
                <w:rFonts w:ascii="Arial" w:hAnsi="Arial" w:cs="Arial"/>
                <w:color w:val="0D0D0D"/>
                <w:sz w:val="22"/>
                <w:szCs w:val="22"/>
                <w:bdr w:val="none" w:sz="0" w:space="0" w:color="auto" w:frame="1"/>
              </w:rPr>
              <w:t>EN CUALQUIER CASO, DE NINGUNA FORMA SE PODRÁ EXCEDER EL LÍMITE DEL VALOR ASEGURADO.</w:t>
            </w:r>
          </w:p>
          <w:p w14:paraId="51CF9AEB" w14:textId="77777777" w:rsidR="00852CC3" w:rsidRPr="005E3011" w:rsidRDefault="00852CC3" w:rsidP="00852CC3">
            <w:pPr>
              <w:pStyle w:val="Prrafodelista"/>
              <w:rPr>
                <w:rFonts w:ascii="Arial" w:hAnsi="Arial" w:cs="Arial"/>
              </w:rPr>
            </w:pPr>
          </w:p>
          <w:p w14:paraId="5C37871A" w14:textId="55052C7E" w:rsidR="004D56EB" w:rsidRPr="005E3011" w:rsidRDefault="00852CC3" w:rsidP="00852CC3">
            <w:pPr>
              <w:pStyle w:val="paragraph"/>
              <w:numPr>
                <w:ilvl w:val="0"/>
                <w:numId w:val="7"/>
              </w:numPr>
              <w:spacing w:before="0" w:beforeAutospacing="0" w:after="0" w:afterAutospacing="0"/>
              <w:jc w:val="both"/>
              <w:textAlignment w:val="baseline"/>
              <w:rPr>
                <w:rFonts w:ascii="Arial" w:hAnsi="Arial" w:cs="Arial"/>
                <w:sz w:val="22"/>
                <w:szCs w:val="22"/>
              </w:rPr>
            </w:pPr>
            <w:r w:rsidRPr="005E3011">
              <w:rPr>
                <w:rFonts w:ascii="Arial" w:hAnsi="Arial" w:cs="Arial"/>
                <w:sz w:val="22"/>
                <w:szCs w:val="22"/>
              </w:rPr>
              <w:t>EXTENSIÓN DEL RIESGO POR PARTE DEL ASEGURADO DEPARTAMENTO DE NARIÑO.</w:t>
            </w:r>
          </w:p>
          <w:p w14:paraId="754E69A3" w14:textId="77777777" w:rsidR="004D56EB" w:rsidRPr="005E3011" w:rsidRDefault="004D56EB" w:rsidP="004D56EB">
            <w:pPr>
              <w:pStyle w:val="paragraph"/>
              <w:spacing w:before="0" w:beforeAutospacing="0" w:after="0" w:afterAutospacing="0"/>
              <w:ind w:left="720"/>
              <w:jc w:val="both"/>
              <w:textAlignment w:val="baseline"/>
              <w:rPr>
                <w:rFonts w:ascii="Arial" w:hAnsi="Arial" w:cs="Arial"/>
                <w:sz w:val="22"/>
                <w:szCs w:val="22"/>
              </w:rPr>
            </w:pPr>
          </w:p>
          <w:p w14:paraId="4295A41C" w14:textId="5946D812" w:rsidR="004D56EB" w:rsidRPr="005E3011" w:rsidRDefault="004D56EB" w:rsidP="004D56EB">
            <w:pPr>
              <w:pStyle w:val="paragraph"/>
              <w:numPr>
                <w:ilvl w:val="0"/>
                <w:numId w:val="7"/>
              </w:numPr>
              <w:spacing w:before="0" w:beforeAutospacing="0" w:after="0" w:afterAutospacing="0"/>
              <w:jc w:val="both"/>
              <w:textAlignment w:val="baseline"/>
              <w:rPr>
                <w:rFonts w:ascii="Arial" w:hAnsi="Arial" w:cs="Arial"/>
                <w:sz w:val="22"/>
                <w:szCs w:val="22"/>
              </w:rPr>
            </w:pPr>
            <w:bookmarkStart w:id="0" w:name="_Hlk143069444"/>
            <w:r w:rsidRPr="005E3011">
              <w:rPr>
                <w:rFonts w:ascii="Arial" w:hAnsi="Arial" w:cs="Arial"/>
                <w:sz w:val="22"/>
                <w:szCs w:val="22"/>
              </w:rPr>
              <w:t>UBÉRRIMA BUENA FE EN LA PÓLIZA DE CUMPLIMIENTO.</w:t>
            </w:r>
          </w:p>
          <w:p w14:paraId="4DD46112" w14:textId="77777777" w:rsidR="004D56EB" w:rsidRPr="005E3011" w:rsidRDefault="004D56EB" w:rsidP="004D56EB">
            <w:pPr>
              <w:pStyle w:val="paragraph"/>
              <w:spacing w:before="0" w:beforeAutospacing="0" w:after="0" w:afterAutospacing="0"/>
              <w:ind w:left="720"/>
              <w:jc w:val="both"/>
              <w:textAlignment w:val="baseline"/>
              <w:rPr>
                <w:rFonts w:ascii="Arial" w:hAnsi="Arial" w:cs="Arial"/>
                <w:sz w:val="22"/>
                <w:szCs w:val="22"/>
              </w:rPr>
            </w:pPr>
          </w:p>
          <w:p w14:paraId="60DA1FA7" w14:textId="77777777" w:rsidR="004D56EB" w:rsidRPr="005E3011" w:rsidRDefault="004D56EB" w:rsidP="00A71844">
            <w:pPr>
              <w:pStyle w:val="paragraph"/>
              <w:numPr>
                <w:ilvl w:val="0"/>
                <w:numId w:val="7"/>
              </w:numPr>
              <w:spacing w:before="0" w:beforeAutospacing="0" w:after="0" w:afterAutospacing="0"/>
              <w:jc w:val="both"/>
              <w:textAlignment w:val="baseline"/>
              <w:rPr>
                <w:rFonts w:ascii="Arial" w:hAnsi="Arial" w:cs="Arial"/>
                <w:iCs/>
                <w:sz w:val="22"/>
                <w:szCs w:val="22"/>
              </w:rPr>
            </w:pPr>
            <w:bookmarkStart w:id="1" w:name="_Hlk143069476"/>
            <w:bookmarkEnd w:id="0"/>
            <w:r w:rsidRPr="005E3011">
              <w:rPr>
                <w:rFonts w:ascii="Arial" w:hAnsi="Arial" w:cs="Arial"/>
                <w:sz w:val="22"/>
                <w:szCs w:val="22"/>
              </w:rPr>
              <w:t>SUBROGACIÓN</w:t>
            </w:r>
            <w:bookmarkStart w:id="2" w:name="_Hlk143069490"/>
            <w:bookmarkEnd w:id="1"/>
          </w:p>
          <w:p w14:paraId="11801924" w14:textId="77777777" w:rsidR="00852CC3" w:rsidRPr="005E3011" w:rsidRDefault="00852CC3" w:rsidP="00852CC3">
            <w:pPr>
              <w:pStyle w:val="paragraph"/>
              <w:spacing w:before="0" w:beforeAutospacing="0" w:after="0" w:afterAutospacing="0"/>
              <w:jc w:val="both"/>
              <w:textAlignment w:val="baseline"/>
              <w:rPr>
                <w:rFonts w:ascii="Arial" w:hAnsi="Arial" w:cs="Arial"/>
                <w:iCs/>
                <w:sz w:val="22"/>
                <w:szCs w:val="22"/>
              </w:rPr>
            </w:pPr>
          </w:p>
          <w:p w14:paraId="34A90C07" w14:textId="22EF35CC" w:rsidR="007B6938" w:rsidRPr="005E3011" w:rsidRDefault="004D56EB" w:rsidP="00A71844">
            <w:pPr>
              <w:pStyle w:val="paragraph"/>
              <w:numPr>
                <w:ilvl w:val="0"/>
                <w:numId w:val="7"/>
              </w:numPr>
              <w:spacing w:before="0" w:beforeAutospacing="0" w:after="0" w:afterAutospacing="0"/>
              <w:jc w:val="both"/>
              <w:textAlignment w:val="baseline"/>
              <w:rPr>
                <w:rStyle w:val="normaltextrun"/>
                <w:rFonts w:ascii="Arial" w:hAnsi="Arial" w:cs="Arial"/>
                <w:iCs/>
                <w:sz w:val="22"/>
                <w:szCs w:val="22"/>
              </w:rPr>
            </w:pPr>
            <w:r w:rsidRPr="005E3011">
              <w:rPr>
                <w:rFonts w:ascii="Arial" w:hAnsi="Arial" w:cs="Arial"/>
                <w:sz w:val="22"/>
                <w:szCs w:val="22"/>
              </w:rPr>
              <w:t>PRESCRIPCION</w:t>
            </w:r>
            <w:r w:rsidRPr="005E3011">
              <w:rPr>
                <w:rStyle w:val="normaltextrun"/>
                <w:rFonts w:ascii="Arial" w:hAnsi="Arial" w:cs="Arial"/>
                <w:sz w:val="22"/>
                <w:szCs w:val="22"/>
              </w:rPr>
              <w:t xml:space="preserve"> DE LAS ACCIONES DERIVADAS DEL CONTRATO DE SEGURO</w:t>
            </w:r>
            <w:bookmarkEnd w:id="2"/>
            <w:r w:rsidRPr="005E3011">
              <w:rPr>
                <w:rStyle w:val="normaltextrun"/>
                <w:rFonts w:ascii="Arial" w:hAnsi="Arial" w:cs="Arial"/>
                <w:sz w:val="22"/>
                <w:szCs w:val="22"/>
              </w:rPr>
              <w:t>.</w:t>
            </w:r>
          </w:p>
          <w:p w14:paraId="7B63BF22" w14:textId="77777777" w:rsidR="004D56EB" w:rsidRPr="005E3011" w:rsidRDefault="004D56EB" w:rsidP="004D56EB">
            <w:pPr>
              <w:pStyle w:val="paragraph"/>
              <w:spacing w:before="0" w:beforeAutospacing="0" w:after="0" w:afterAutospacing="0"/>
              <w:ind w:left="720"/>
              <w:jc w:val="both"/>
              <w:textAlignment w:val="baseline"/>
              <w:rPr>
                <w:rFonts w:ascii="Arial" w:hAnsi="Arial" w:cs="Arial"/>
                <w:iCs/>
                <w:sz w:val="22"/>
                <w:szCs w:val="22"/>
              </w:rPr>
            </w:pPr>
          </w:p>
          <w:p w14:paraId="010FB94F" w14:textId="77777777" w:rsidR="004D56EB" w:rsidRPr="005E3011" w:rsidRDefault="004D56EB" w:rsidP="004D56EB">
            <w:pPr>
              <w:pStyle w:val="paragraph"/>
              <w:numPr>
                <w:ilvl w:val="0"/>
                <w:numId w:val="7"/>
              </w:numPr>
              <w:spacing w:before="0" w:beforeAutospacing="0" w:after="0" w:afterAutospacing="0"/>
              <w:jc w:val="both"/>
              <w:textAlignment w:val="baseline"/>
              <w:rPr>
                <w:rFonts w:ascii="Arial" w:hAnsi="Arial" w:cs="Arial"/>
                <w:sz w:val="22"/>
                <w:szCs w:val="22"/>
              </w:rPr>
            </w:pPr>
            <w:bookmarkStart w:id="3" w:name="_Hlk143069509"/>
            <w:r w:rsidRPr="005E3011">
              <w:rPr>
                <w:rFonts w:ascii="Arial" w:hAnsi="Arial" w:cs="Arial"/>
                <w:sz w:val="22"/>
                <w:szCs w:val="22"/>
              </w:rPr>
              <w:t>GENÉRICA Y OTRAS.</w:t>
            </w:r>
            <w:bookmarkEnd w:id="3"/>
          </w:p>
          <w:p w14:paraId="73ABE786" w14:textId="77777777" w:rsidR="00A71844" w:rsidRPr="005E3011" w:rsidRDefault="00A71844" w:rsidP="00A71844">
            <w:pPr>
              <w:jc w:val="both"/>
              <w:rPr>
                <w:rFonts w:ascii="Arial" w:hAnsi="Arial" w:cs="Arial"/>
              </w:rPr>
            </w:pPr>
          </w:p>
          <w:p w14:paraId="00875BA0" w14:textId="6C6B83CB" w:rsidR="00A71844" w:rsidRPr="005E3011" w:rsidRDefault="00A71844" w:rsidP="00A71844">
            <w:pPr>
              <w:jc w:val="both"/>
              <w:rPr>
                <w:rFonts w:ascii="Arial" w:hAnsi="Arial" w:cs="Arial"/>
              </w:rPr>
            </w:pPr>
          </w:p>
        </w:tc>
      </w:tr>
      <w:tr w:rsidR="00C44EB0" w:rsidRPr="005E3011" w14:paraId="00875BA4" w14:textId="77777777" w:rsidTr="5AF8758B">
        <w:tc>
          <w:tcPr>
            <w:tcW w:w="4414" w:type="dxa"/>
            <w:shd w:val="clear" w:color="auto" w:fill="D9D9D9" w:themeFill="background1" w:themeFillShade="D9"/>
          </w:tcPr>
          <w:p w14:paraId="00875BA2" w14:textId="77777777" w:rsidR="00C44EB0" w:rsidRPr="005E3011" w:rsidRDefault="005D416E" w:rsidP="00C44EB0">
            <w:pPr>
              <w:rPr>
                <w:rFonts w:ascii="Arial" w:hAnsi="Arial" w:cs="Arial"/>
                <w:b/>
              </w:rPr>
            </w:pPr>
            <w:r w:rsidRPr="005E3011">
              <w:rPr>
                <w:rFonts w:ascii="Arial" w:hAnsi="Arial" w:cs="Arial"/>
                <w:b/>
              </w:rPr>
              <w:lastRenderedPageBreak/>
              <w:t>Concepto del abogado sobre la posibilidad de conciliar el caso y valor de una propuesta conciliatoria:</w:t>
            </w:r>
          </w:p>
        </w:tc>
        <w:tc>
          <w:tcPr>
            <w:tcW w:w="4414" w:type="dxa"/>
          </w:tcPr>
          <w:p w14:paraId="00875BA3" w14:textId="5CD8EA3D" w:rsidR="000E79B7" w:rsidRPr="005E3011" w:rsidRDefault="004D56EB" w:rsidP="5AF8758B">
            <w:pPr>
              <w:jc w:val="both"/>
              <w:rPr>
                <w:rFonts w:ascii="Arial" w:hAnsi="Arial" w:cs="Arial"/>
              </w:rPr>
            </w:pPr>
            <w:r w:rsidRPr="005E3011">
              <w:rPr>
                <w:rFonts w:ascii="Arial" w:hAnsi="Arial" w:cs="Arial"/>
                <w:b/>
                <w:bCs/>
              </w:rPr>
              <w:t xml:space="preserve">NO CONCILIAR, </w:t>
            </w:r>
            <w:r w:rsidR="00661A2D" w:rsidRPr="005E3011">
              <w:rPr>
                <w:rFonts w:ascii="Arial" w:hAnsi="Arial" w:cs="Arial"/>
              </w:rPr>
              <w:t>pese a que la calificación es eventual, dependerá del ámbito probatorio establecer si existe cosa juzgada en el presente proceso, en atención</w:t>
            </w:r>
            <w:r w:rsidRPr="005E3011">
              <w:rPr>
                <w:rFonts w:ascii="Arial" w:hAnsi="Arial" w:cs="Arial"/>
              </w:rPr>
              <w:t xml:space="preserve"> </w:t>
            </w:r>
            <w:r w:rsidR="00661A2D" w:rsidRPr="005E3011">
              <w:rPr>
                <w:rFonts w:ascii="Arial" w:hAnsi="Arial" w:cs="Arial"/>
              </w:rPr>
              <w:t>a</w:t>
            </w:r>
            <w:r w:rsidR="00852CC3" w:rsidRPr="005E3011">
              <w:rPr>
                <w:rFonts w:ascii="Arial" w:hAnsi="Arial" w:cs="Arial"/>
              </w:rPr>
              <w:t xml:space="preserve"> </w:t>
            </w:r>
            <w:r w:rsidR="00661A2D" w:rsidRPr="005E3011">
              <w:rPr>
                <w:rFonts w:ascii="Arial" w:hAnsi="Arial" w:cs="Arial"/>
              </w:rPr>
              <w:t xml:space="preserve">la existencia o no de solidaridad entre la empresa tomadora y la beneficiaria de la póliza. </w:t>
            </w:r>
          </w:p>
        </w:tc>
      </w:tr>
    </w:tbl>
    <w:p w14:paraId="00875BA5" w14:textId="77777777" w:rsidR="00C44EB0" w:rsidRPr="005E3011" w:rsidRDefault="00C44EB0" w:rsidP="00C44EB0">
      <w:pPr>
        <w:rPr>
          <w:rFonts w:ascii="Arial" w:hAnsi="Arial" w:cs="Arial"/>
          <w:b/>
        </w:rPr>
      </w:pPr>
    </w:p>
    <w:p w14:paraId="00875BA6" w14:textId="77777777" w:rsidR="00B5554B" w:rsidRPr="005E3011" w:rsidRDefault="00B5554B" w:rsidP="00C44EB0">
      <w:pPr>
        <w:rPr>
          <w:rFonts w:ascii="Arial" w:hAnsi="Arial" w:cs="Arial"/>
          <w:b/>
        </w:rPr>
      </w:pPr>
    </w:p>
    <w:p w14:paraId="00875BA7" w14:textId="77777777" w:rsidR="005D416E" w:rsidRPr="005E3011" w:rsidRDefault="005D416E" w:rsidP="00C44EB0">
      <w:pPr>
        <w:rPr>
          <w:rFonts w:ascii="Arial" w:hAnsi="Arial" w:cs="Arial"/>
          <w:b/>
        </w:rPr>
      </w:pPr>
      <w:r w:rsidRPr="005E3011">
        <w:rPr>
          <w:rFonts w:ascii="Arial" w:hAnsi="Arial" w:cs="Arial"/>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005D416E" w:rsidRPr="005E3011" w14:paraId="00875BAA" w14:textId="77777777" w:rsidTr="005D416E">
        <w:tc>
          <w:tcPr>
            <w:tcW w:w="4414" w:type="dxa"/>
            <w:shd w:val="clear" w:color="auto" w:fill="D9D9D9" w:themeFill="background1" w:themeFillShade="D9"/>
          </w:tcPr>
          <w:p w14:paraId="00875BA8" w14:textId="77777777" w:rsidR="005D416E" w:rsidRPr="005E3011" w:rsidRDefault="005D416E" w:rsidP="00C44EB0">
            <w:pPr>
              <w:rPr>
                <w:rFonts w:ascii="Arial" w:hAnsi="Arial" w:cs="Arial"/>
                <w:b/>
              </w:rPr>
            </w:pPr>
            <w:r w:rsidRPr="005E3011">
              <w:rPr>
                <w:rFonts w:ascii="Arial" w:hAnsi="Arial" w:cs="Arial"/>
                <w:b/>
              </w:rPr>
              <w:t>Fecha y hora de la diligencia:</w:t>
            </w:r>
          </w:p>
        </w:tc>
        <w:tc>
          <w:tcPr>
            <w:tcW w:w="4414" w:type="dxa"/>
          </w:tcPr>
          <w:p w14:paraId="00875BA9" w14:textId="6FB4C0A1" w:rsidR="005D416E" w:rsidRPr="005E3011" w:rsidRDefault="005D416E" w:rsidP="00C44EB0">
            <w:pPr>
              <w:rPr>
                <w:rFonts w:ascii="Arial" w:hAnsi="Arial" w:cs="Arial"/>
                <w:b/>
              </w:rPr>
            </w:pPr>
          </w:p>
        </w:tc>
      </w:tr>
      <w:tr w:rsidR="005D416E" w:rsidRPr="005E3011" w14:paraId="00875BAD" w14:textId="77777777" w:rsidTr="005D416E">
        <w:tc>
          <w:tcPr>
            <w:tcW w:w="4414" w:type="dxa"/>
            <w:shd w:val="clear" w:color="auto" w:fill="D9D9D9" w:themeFill="background1" w:themeFillShade="D9"/>
          </w:tcPr>
          <w:p w14:paraId="00875BAB" w14:textId="77777777" w:rsidR="005D416E" w:rsidRPr="005E3011" w:rsidRDefault="005D416E" w:rsidP="00C44EB0">
            <w:pPr>
              <w:rPr>
                <w:rFonts w:ascii="Arial" w:hAnsi="Arial" w:cs="Arial"/>
                <w:b/>
              </w:rPr>
            </w:pPr>
            <w:r w:rsidRPr="005E3011">
              <w:rPr>
                <w:rFonts w:ascii="Arial" w:hAnsi="Arial" w:cs="Arial"/>
                <w:b/>
              </w:rPr>
              <w:t>Síntesis de los argumentos de la Compañía:</w:t>
            </w:r>
          </w:p>
        </w:tc>
        <w:tc>
          <w:tcPr>
            <w:tcW w:w="4414" w:type="dxa"/>
          </w:tcPr>
          <w:p w14:paraId="00875BAC" w14:textId="3D332838" w:rsidR="005D416E" w:rsidRPr="005E3011" w:rsidRDefault="005D416E" w:rsidP="00A71844">
            <w:pPr>
              <w:pStyle w:val="Prrafodelista"/>
              <w:jc w:val="both"/>
              <w:rPr>
                <w:rFonts w:ascii="Arial" w:hAnsi="Arial" w:cs="Arial"/>
              </w:rPr>
            </w:pPr>
          </w:p>
        </w:tc>
      </w:tr>
      <w:tr w:rsidR="005D416E" w:rsidRPr="005E3011" w14:paraId="00875BB0" w14:textId="77777777" w:rsidTr="005D416E">
        <w:tc>
          <w:tcPr>
            <w:tcW w:w="4414" w:type="dxa"/>
            <w:shd w:val="clear" w:color="auto" w:fill="D9D9D9" w:themeFill="background1" w:themeFillShade="D9"/>
          </w:tcPr>
          <w:p w14:paraId="00875BAE" w14:textId="77777777" w:rsidR="005D416E" w:rsidRPr="005E3011" w:rsidRDefault="005D416E" w:rsidP="00C44EB0">
            <w:pPr>
              <w:rPr>
                <w:rFonts w:ascii="Arial" w:hAnsi="Arial" w:cs="Arial"/>
                <w:b/>
              </w:rPr>
            </w:pPr>
            <w:r w:rsidRPr="005E3011">
              <w:rPr>
                <w:rFonts w:ascii="Arial" w:hAnsi="Arial" w:cs="Arial"/>
                <w:b/>
              </w:rPr>
              <w:t>Recomendaciones para la diligencia:</w:t>
            </w:r>
          </w:p>
        </w:tc>
        <w:tc>
          <w:tcPr>
            <w:tcW w:w="4414" w:type="dxa"/>
          </w:tcPr>
          <w:p w14:paraId="00875BAF" w14:textId="3097F28F" w:rsidR="005D416E" w:rsidRPr="005E3011" w:rsidRDefault="005D416E" w:rsidP="004D6468">
            <w:pPr>
              <w:jc w:val="both"/>
              <w:rPr>
                <w:rFonts w:ascii="Arial" w:hAnsi="Arial" w:cs="Arial"/>
                <w:bCs/>
              </w:rPr>
            </w:pPr>
          </w:p>
        </w:tc>
      </w:tr>
    </w:tbl>
    <w:p w14:paraId="00875BB1" w14:textId="77777777" w:rsidR="005D416E" w:rsidRPr="005E3011" w:rsidRDefault="005D416E" w:rsidP="006D716C">
      <w:pPr>
        <w:rPr>
          <w:b/>
        </w:rPr>
      </w:pPr>
    </w:p>
    <w:sectPr w:rsidR="005D416E" w:rsidRPr="005E3011" w:rsidSect="001107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ED0C" w14:textId="77777777" w:rsidR="00C41022" w:rsidRDefault="00C41022" w:rsidP="00110714">
      <w:pPr>
        <w:spacing w:after="0" w:line="240" w:lineRule="auto"/>
      </w:pPr>
      <w:r>
        <w:separator/>
      </w:r>
    </w:p>
  </w:endnote>
  <w:endnote w:type="continuationSeparator" w:id="0">
    <w:p w14:paraId="3C3B42D8" w14:textId="77777777" w:rsidR="00C41022" w:rsidRDefault="00C41022" w:rsidP="001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8" w14:textId="77777777" w:rsidR="00110714" w:rsidRDefault="00110714" w:rsidP="001107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9" w14:textId="77777777" w:rsidR="00110714" w:rsidRDefault="001107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B" w14:textId="77777777" w:rsidR="00110714" w:rsidRDefault="00110714" w:rsidP="00110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14D0" w14:textId="77777777" w:rsidR="00C41022" w:rsidRDefault="00C41022" w:rsidP="00110714">
      <w:pPr>
        <w:spacing w:after="0" w:line="240" w:lineRule="auto"/>
      </w:pPr>
      <w:r>
        <w:separator/>
      </w:r>
    </w:p>
  </w:footnote>
  <w:footnote w:type="continuationSeparator" w:id="0">
    <w:p w14:paraId="4853BCAA" w14:textId="77777777" w:rsidR="00C41022" w:rsidRDefault="00C41022" w:rsidP="0011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6" w14:textId="77777777" w:rsidR="00110714" w:rsidRDefault="00110714" w:rsidP="00110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7" w14:textId="77777777" w:rsidR="00110714" w:rsidRDefault="00110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A" w14:textId="77777777" w:rsidR="00110714" w:rsidRDefault="00110714" w:rsidP="00110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CD7145"/>
    <w:multiLevelType w:val="hybridMultilevel"/>
    <w:tmpl w:val="F68E6282"/>
    <w:lvl w:ilvl="0" w:tplc="B6D21C6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394D59"/>
    <w:multiLevelType w:val="hybridMultilevel"/>
    <w:tmpl w:val="C082C456"/>
    <w:lvl w:ilvl="0" w:tplc="C1706C6A">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E668E6"/>
    <w:multiLevelType w:val="hybridMultilevel"/>
    <w:tmpl w:val="36386B9A"/>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9343102">
    <w:abstractNumId w:val="4"/>
  </w:num>
  <w:num w:numId="2" w16cid:durableId="915090255">
    <w:abstractNumId w:val="6"/>
  </w:num>
  <w:num w:numId="3" w16cid:durableId="933631062">
    <w:abstractNumId w:val="5"/>
  </w:num>
  <w:num w:numId="4" w16cid:durableId="1225481626">
    <w:abstractNumId w:val="0"/>
  </w:num>
  <w:num w:numId="5" w16cid:durableId="441001521">
    <w:abstractNumId w:val="1"/>
  </w:num>
  <w:num w:numId="6" w16cid:durableId="1867329878">
    <w:abstractNumId w:val="2"/>
  </w:num>
  <w:num w:numId="7" w16cid:durableId="162643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74E4D"/>
    <w:rsid w:val="00084CEB"/>
    <w:rsid w:val="0008589A"/>
    <w:rsid w:val="000E79B7"/>
    <w:rsid w:val="00110714"/>
    <w:rsid w:val="00117816"/>
    <w:rsid w:val="001350E9"/>
    <w:rsid w:val="001E292C"/>
    <w:rsid w:val="001E70EC"/>
    <w:rsid w:val="001F0FB7"/>
    <w:rsid w:val="00270EE2"/>
    <w:rsid w:val="0028346B"/>
    <w:rsid w:val="00285EF7"/>
    <w:rsid w:val="002E55B4"/>
    <w:rsid w:val="00300C59"/>
    <w:rsid w:val="00434C76"/>
    <w:rsid w:val="00477487"/>
    <w:rsid w:val="004D56EB"/>
    <w:rsid w:val="004D6468"/>
    <w:rsid w:val="005273BB"/>
    <w:rsid w:val="00543FA8"/>
    <w:rsid w:val="005C2D0B"/>
    <w:rsid w:val="005D416E"/>
    <w:rsid w:val="005E3011"/>
    <w:rsid w:val="00661A2D"/>
    <w:rsid w:val="006B6519"/>
    <w:rsid w:val="006D4C14"/>
    <w:rsid w:val="006D716C"/>
    <w:rsid w:val="007253C4"/>
    <w:rsid w:val="0075008C"/>
    <w:rsid w:val="00784168"/>
    <w:rsid w:val="00786461"/>
    <w:rsid w:val="007B6938"/>
    <w:rsid w:val="007F2D0F"/>
    <w:rsid w:val="00852CC3"/>
    <w:rsid w:val="00884BFA"/>
    <w:rsid w:val="008D2BA7"/>
    <w:rsid w:val="0090036B"/>
    <w:rsid w:val="00977791"/>
    <w:rsid w:val="009871E0"/>
    <w:rsid w:val="009C3B96"/>
    <w:rsid w:val="009D3A7F"/>
    <w:rsid w:val="009E0883"/>
    <w:rsid w:val="00A16E62"/>
    <w:rsid w:val="00A40AF2"/>
    <w:rsid w:val="00A47435"/>
    <w:rsid w:val="00A71844"/>
    <w:rsid w:val="00A9C8F6"/>
    <w:rsid w:val="00AC1AAA"/>
    <w:rsid w:val="00AE03CA"/>
    <w:rsid w:val="00AE4541"/>
    <w:rsid w:val="00AE5010"/>
    <w:rsid w:val="00B404F0"/>
    <w:rsid w:val="00B5554B"/>
    <w:rsid w:val="00B632BF"/>
    <w:rsid w:val="00BE177E"/>
    <w:rsid w:val="00C17506"/>
    <w:rsid w:val="00C41022"/>
    <w:rsid w:val="00C43C7B"/>
    <w:rsid w:val="00C44EB0"/>
    <w:rsid w:val="00C758F4"/>
    <w:rsid w:val="00CA20E0"/>
    <w:rsid w:val="00CD3381"/>
    <w:rsid w:val="00D52497"/>
    <w:rsid w:val="00D807C9"/>
    <w:rsid w:val="00E1574D"/>
    <w:rsid w:val="00E227BF"/>
    <w:rsid w:val="00E27188"/>
    <w:rsid w:val="00E50B69"/>
    <w:rsid w:val="00E76D69"/>
    <w:rsid w:val="00ED176B"/>
    <w:rsid w:val="00F47055"/>
    <w:rsid w:val="0126F8B9"/>
    <w:rsid w:val="14AEB526"/>
    <w:rsid w:val="197AECEF"/>
    <w:rsid w:val="1F6554C8"/>
    <w:rsid w:val="274AE067"/>
    <w:rsid w:val="483506F2"/>
    <w:rsid w:val="4EED969C"/>
    <w:rsid w:val="50C49C4F"/>
    <w:rsid w:val="56EC60BC"/>
    <w:rsid w:val="5AF8758B"/>
    <w:rsid w:val="61D5D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D807C9"/>
    <w:pPr>
      <w:ind w:left="720"/>
      <w:contextualSpacing/>
    </w:pPr>
  </w:style>
  <w:style w:type="paragraph" w:customStyle="1" w:styleId="paragraph">
    <w:name w:val="paragraph"/>
    <w:basedOn w:val="Normal"/>
    <w:rsid w:val="007B693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7B6938"/>
  </w:style>
  <w:style w:type="character" w:customStyle="1" w:styleId="eop">
    <w:name w:val="eop"/>
    <w:basedOn w:val="Fuentedeprrafopredeter"/>
    <w:rsid w:val="007B693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B6938"/>
  </w:style>
  <w:style w:type="paragraph" w:styleId="Textoindependiente">
    <w:name w:val="Body Text"/>
    <w:basedOn w:val="Normal"/>
    <w:link w:val="TextoindependienteCar"/>
    <w:uiPriority w:val="1"/>
    <w:qFormat/>
    <w:rsid w:val="007B6938"/>
    <w:pPr>
      <w:widowControl w:val="0"/>
      <w:autoSpaceDE w:val="0"/>
      <w:autoSpaceDN w:val="0"/>
      <w:spacing w:after="0" w:line="240" w:lineRule="auto"/>
    </w:pPr>
    <w:rPr>
      <w:rFonts w:ascii="Arial" w:eastAsia="Arial" w:hAnsi="Arial" w:cs="Arial"/>
      <w:sz w:val="21"/>
      <w:szCs w:val="21"/>
      <w:lang w:val="es-ES"/>
    </w:rPr>
  </w:style>
  <w:style w:type="character" w:customStyle="1" w:styleId="TextoindependienteCar">
    <w:name w:val="Texto independiente Car"/>
    <w:basedOn w:val="Fuentedeprrafopredeter"/>
    <w:link w:val="Textoindependiente"/>
    <w:uiPriority w:val="1"/>
    <w:rsid w:val="007B6938"/>
    <w:rPr>
      <w:rFonts w:ascii="Arial" w:eastAsia="Arial" w:hAnsi="Arial" w:cs="Arial"/>
      <w:sz w:val="21"/>
      <w:szCs w:val="21"/>
      <w:lang w:val="es-ES"/>
    </w:rPr>
  </w:style>
  <w:style w:type="paragraph" w:styleId="Sinespaciado">
    <w:name w:val="No Spacing"/>
    <w:link w:val="SinespaciadoCar"/>
    <w:uiPriority w:val="1"/>
    <w:qFormat/>
    <w:rsid w:val="007B6938"/>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B6938"/>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4133">
      <w:bodyDiv w:val="1"/>
      <w:marLeft w:val="0"/>
      <w:marRight w:val="0"/>
      <w:marTop w:val="0"/>
      <w:marBottom w:val="0"/>
      <w:divBdr>
        <w:top w:val="none" w:sz="0" w:space="0" w:color="auto"/>
        <w:left w:val="none" w:sz="0" w:space="0" w:color="auto"/>
        <w:bottom w:val="none" w:sz="0" w:space="0" w:color="auto"/>
        <w:right w:val="none" w:sz="0" w:space="0" w:color="auto"/>
      </w:divBdr>
      <w:divsChild>
        <w:div w:id="232787420">
          <w:marLeft w:val="0"/>
          <w:marRight w:val="0"/>
          <w:marTop w:val="0"/>
          <w:marBottom w:val="0"/>
          <w:divBdr>
            <w:top w:val="none" w:sz="0" w:space="0" w:color="auto"/>
            <w:left w:val="none" w:sz="0" w:space="0" w:color="auto"/>
            <w:bottom w:val="none" w:sz="0" w:space="0" w:color="auto"/>
            <w:right w:val="none" w:sz="0" w:space="0" w:color="auto"/>
          </w:divBdr>
        </w:div>
        <w:div w:id="1094745357">
          <w:marLeft w:val="0"/>
          <w:marRight w:val="0"/>
          <w:marTop w:val="0"/>
          <w:marBottom w:val="0"/>
          <w:divBdr>
            <w:top w:val="none" w:sz="0" w:space="0" w:color="auto"/>
            <w:left w:val="none" w:sz="0" w:space="0" w:color="auto"/>
            <w:bottom w:val="none" w:sz="0" w:space="0" w:color="auto"/>
            <w:right w:val="none" w:sz="0" w:space="0" w:color="auto"/>
          </w:divBdr>
        </w:div>
        <w:div w:id="110130963">
          <w:marLeft w:val="0"/>
          <w:marRight w:val="0"/>
          <w:marTop w:val="0"/>
          <w:marBottom w:val="0"/>
          <w:divBdr>
            <w:top w:val="none" w:sz="0" w:space="0" w:color="auto"/>
            <w:left w:val="none" w:sz="0" w:space="0" w:color="auto"/>
            <w:bottom w:val="none" w:sz="0" w:space="0" w:color="auto"/>
            <w:right w:val="none" w:sz="0" w:space="0" w:color="auto"/>
          </w:divBdr>
        </w:div>
        <w:div w:id="1259602783">
          <w:marLeft w:val="0"/>
          <w:marRight w:val="0"/>
          <w:marTop w:val="0"/>
          <w:marBottom w:val="0"/>
          <w:divBdr>
            <w:top w:val="none" w:sz="0" w:space="0" w:color="auto"/>
            <w:left w:val="none" w:sz="0" w:space="0" w:color="auto"/>
            <w:bottom w:val="none" w:sz="0" w:space="0" w:color="auto"/>
            <w:right w:val="none" w:sz="0" w:space="0" w:color="auto"/>
          </w:divBdr>
        </w:div>
        <w:div w:id="1487747753">
          <w:marLeft w:val="0"/>
          <w:marRight w:val="0"/>
          <w:marTop w:val="0"/>
          <w:marBottom w:val="0"/>
          <w:divBdr>
            <w:top w:val="none" w:sz="0" w:space="0" w:color="auto"/>
            <w:left w:val="none" w:sz="0" w:space="0" w:color="auto"/>
            <w:bottom w:val="none" w:sz="0" w:space="0" w:color="auto"/>
            <w:right w:val="none" w:sz="0" w:space="0" w:color="auto"/>
          </w:divBdr>
        </w:div>
      </w:divsChild>
    </w:div>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467163789">
      <w:bodyDiv w:val="1"/>
      <w:marLeft w:val="0"/>
      <w:marRight w:val="0"/>
      <w:marTop w:val="0"/>
      <w:marBottom w:val="0"/>
      <w:divBdr>
        <w:top w:val="none" w:sz="0" w:space="0" w:color="auto"/>
        <w:left w:val="none" w:sz="0" w:space="0" w:color="auto"/>
        <w:bottom w:val="none" w:sz="0" w:space="0" w:color="auto"/>
        <w:right w:val="none" w:sz="0" w:space="0" w:color="auto"/>
      </w:divBdr>
      <w:divsChild>
        <w:div w:id="1391929316">
          <w:marLeft w:val="0"/>
          <w:marRight w:val="0"/>
          <w:marTop w:val="0"/>
          <w:marBottom w:val="0"/>
          <w:divBdr>
            <w:top w:val="none" w:sz="0" w:space="0" w:color="auto"/>
            <w:left w:val="none" w:sz="0" w:space="0" w:color="auto"/>
            <w:bottom w:val="none" w:sz="0" w:space="0" w:color="auto"/>
            <w:right w:val="none" w:sz="0" w:space="0" w:color="auto"/>
          </w:divBdr>
        </w:div>
        <w:div w:id="1474642675">
          <w:marLeft w:val="0"/>
          <w:marRight w:val="0"/>
          <w:marTop w:val="0"/>
          <w:marBottom w:val="0"/>
          <w:divBdr>
            <w:top w:val="none" w:sz="0" w:space="0" w:color="auto"/>
            <w:left w:val="none" w:sz="0" w:space="0" w:color="auto"/>
            <w:bottom w:val="none" w:sz="0" w:space="0" w:color="auto"/>
            <w:right w:val="none" w:sz="0" w:space="0" w:color="auto"/>
          </w:divBdr>
        </w:div>
        <w:div w:id="87133">
          <w:marLeft w:val="0"/>
          <w:marRight w:val="0"/>
          <w:marTop w:val="0"/>
          <w:marBottom w:val="0"/>
          <w:divBdr>
            <w:top w:val="none" w:sz="0" w:space="0" w:color="auto"/>
            <w:left w:val="none" w:sz="0" w:space="0" w:color="auto"/>
            <w:bottom w:val="none" w:sz="0" w:space="0" w:color="auto"/>
            <w:right w:val="none" w:sz="0" w:space="0" w:color="auto"/>
          </w:divBdr>
        </w:div>
        <w:div w:id="595208444">
          <w:marLeft w:val="0"/>
          <w:marRight w:val="0"/>
          <w:marTop w:val="0"/>
          <w:marBottom w:val="0"/>
          <w:divBdr>
            <w:top w:val="none" w:sz="0" w:space="0" w:color="auto"/>
            <w:left w:val="none" w:sz="0" w:space="0" w:color="auto"/>
            <w:bottom w:val="none" w:sz="0" w:space="0" w:color="auto"/>
            <w:right w:val="none" w:sz="0" w:space="0" w:color="auto"/>
          </w:divBdr>
        </w:div>
        <w:div w:id="1705397318">
          <w:marLeft w:val="0"/>
          <w:marRight w:val="0"/>
          <w:marTop w:val="0"/>
          <w:marBottom w:val="0"/>
          <w:divBdr>
            <w:top w:val="none" w:sz="0" w:space="0" w:color="auto"/>
            <w:left w:val="none" w:sz="0" w:space="0" w:color="auto"/>
            <w:bottom w:val="none" w:sz="0" w:space="0" w:color="auto"/>
            <w:right w:val="none" w:sz="0" w:space="0" w:color="auto"/>
          </w:divBdr>
        </w:div>
        <w:div w:id="779910918">
          <w:marLeft w:val="0"/>
          <w:marRight w:val="0"/>
          <w:marTop w:val="0"/>
          <w:marBottom w:val="0"/>
          <w:divBdr>
            <w:top w:val="none" w:sz="0" w:space="0" w:color="auto"/>
            <w:left w:val="none" w:sz="0" w:space="0" w:color="auto"/>
            <w:bottom w:val="none" w:sz="0" w:space="0" w:color="auto"/>
            <w:right w:val="none" w:sz="0" w:space="0" w:color="auto"/>
          </w:divBdr>
        </w:div>
        <w:div w:id="1183280897">
          <w:marLeft w:val="0"/>
          <w:marRight w:val="0"/>
          <w:marTop w:val="0"/>
          <w:marBottom w:val="0"/>
          <w:divBdr>
            <w:top w:val="none" w:sz="0" w:space="0" w:color="auto"/>
            <w:left w:val="none" w:sz="0" w:space="0" w:color="auto"/>
            <w:bottom w:val="none" w:sz="0" w:space="0" w:color="auto"/>
            <w:right w:val="none" w:sz="0" w:space="0" w:color="auto"/>
          </w:divBdr>
        </w:div>
      </w:divsChild>
    </w:div>
    <w:div w:id="946549380">
      <w:bodyDiv w:val="1"/>
      <w:marLeft w:val="0"/>
      <w:marRight w:val="0"/>
      <w:marTop w:val="0"/>
      <w:marBottom w:val="0"/>
      <w:divBdr>
        <w:top w:val="none" w:sz="0" w:space="0" w:color="auto"/>
        <w:left w:val="none" w:sz="0" w:space="0" w:color="auto"/>
        <w:bottom w:val="none" w:sz="0" w:space="0" w:color="auto"/>
        <w:right w:val="none" w:sz="0" w:space="0" w:color="auto"/>
      </w:divBdr>
      <w:divsChild>
        <w:div w:id="1771050818">
          <w:marLeft w:val="0"/>
          <w:marRight w:val="0"/>
          <w:marTop w:val="0"/>
          <w:marBottom w:val="0"/>
          <w:divBdr>
            <w:top w:val="none" w:sz="0" w:space="0" w:color="auto"/>
            <w:left w:val="none" w:sz="0" w:space="0" w:color="auto"/>
            <w:bottom w:val="none" w:sz="0" w:space="0" w:color="auto"/>
            <w:right w:val="none" w:sz="0" w:space="0" w:color="auto"/>
          </w:divBdr>
        </w:div>
        <w:div w:id="1074426411">
          <w:marLeft w:val="0"/>
          <w:marRight w:val="0"/>
          <w:marTop w:val="0"/>
          <w:marBottom w:val="0"/>
          <w:divBdr>
            <w:top w:val="none" w:sz="0" w:space="0" w:color="auto"/>
            <w:left w:val="none" w:sz="0" w:space="0" w:color="auto"/>
            <w:bottom w:val="none" w:sz="0" w:space="0" w:color="auto"/>
            <w:right w:val="none" w:sz="0" w:space="0" w:color="auto"/>
          </w:divBdr>
        </w:div>
        <w:div w:id="312030726">
          <w:marLeft w:val="0"/>
          <w:marRight w:val="0"/>
          <w:marTop w:val="0"/>
          <w:marBottom w:val="0"/>
          <w:divBdr>
            <w:top w:val="none" w:sz="0" w:space="0" w:color="auto"/>
            <w:left w:val="none" w:sz="0" w:space="0" w:color="auto"/>
            <w:bottom w:val="none" w:sz="0" w:space="0" w:color="auto"/>
            <w:right w:val="none" w:sz="0" w:space="0" w:color="auto"/>
          </w:divBdr>
        </w:div>
        <w:div w:id="366371241">
          <w:marLeft w:val="0"/>
          <w:marRight w:val="0"/>
          <w:marTop w:val="0"/>
          <w:marBottom w:val="0"/>
          <w:divBdr>
            <w:top w:val="none" w:sz="0" w:space="0" w:color="auto"/>
            <w:left w:val="none" w:sz="0" w:space="0" w:color="auto"/>
            <w:bottom w:val="none" w:sz="0" w:space="0" w:color="auto"/>
            <w:right w:val="none" w:sz="0" w:space="0" w:color="auto"/>
          </w:divBdr>
        </w:div>
        <w:div w:id="962274798">
          <w:marLeft w:val="0"/>
          <w:marRight w:val="0"/>
          <w:marTop w:val="0"/>
          <w:marBottom w:val="0"/>
          <w:divBdr>
            <w:top w:val="none" w:sz="0" w:space="0" w:color="auto"/>
            <w:left w:val="none" w:sz="0" w:space="0" w:color="auto"/>
            <w:bottom w:val="none" w:sz="0" w:space="0" w:color="auto"/>
            <w:right w:val="none" w:sz="0" w:space="0" w:color="auto"/>
          </w:divBdr>
        </w:div>
        <w:div w:id="549076201">
          <w:marLeft w:val="0"/>
          <w:marRight w:val="0"/>
          <w:marTop w:val="0"/>
          <w:marBottom w:val="0"/>
          <w:divBdr>
            <w:top w:val="none" w:sz="0" w:space="0" w:color="auto"/>
            <w:left w:val="none" w:sz="0" w:space="0" w:color="auto"/>
            <w:bottom w:val="none" w:sz="0" w:space="0" w:color="auto"/>
            <w:right w:val="none" w:sz="0" w:space="0" w:color="auto"/>
          </w:divBdr>
        </w:div>
        <w:div w:id="1416318079">
          <w:marLeft w:val="0"/>
          <w:marRight w:val="0"/>
          <w:marTop w:val="0"/>
          <w:marBottom w:val="0"/>
          <w:divBdr>
            <w:top w:val="none" w:sz="0" w:space="0" w:color="auto"/>
            <w:left w:val="none" w:sz="0" w:space="0" w:color="auto"/>
            <w:bottom w:val="none" w:sz="0" w:space="0" w:color="auto"/>
            <w:right w:val="none" w:sz="0" w:space="0" w:color="auto"/>
          </w:divBdr>
        </w:div>
      </w:divsChild>
    </w:div>
    <w:div w:id="1072003207">
      <w:bodyDiv w:val="1"/>
      <w:marLeft w:val="0"/>
      <w:marRight w:val="0"/>
      <w:marTop w:val="0"/>
      <w:marBottom w:val="0"/>
      <w:divBdr>
        <w:top w:val="none" w:sz="0" w:space="0" w:color="auto"/>
        <w:left w:val="none" w:sz="0" w:space="0" w:color="auto"/>
        <w:bottom w:val="none" w:sz="0" w:space="0" w:color="auto"/>
        <w:right w:val="none" w:sz="0" w:space="0" w:color="auto"/>
      </w:divBdr>
      <w:divsChild>
        <w:div w:id="245000870">
          <w:marLeft w:val="0"/>
          <w:marRight w:val="0"/>
          <w:marTop w:val="0"/>
          <w:marBottom w:val="0"/>
          <w:divBdr>
            <w:top w:val="none" w:sz="0" w:space="0" w:color="auto"/>
            <w:left w:val="none" w:sz="0" w:space="0" w:color="auto"/>
            <w:bottom w:val="none" w:sz="0" w:space="0" w:color="auto"/>
            <w:right w:val="none" w:sz="0" w:space="0" w:color="auto"/>
          </w:divBdr>
        </w:div>
        <w:div w:id="21520783">
          <w:marLeft w:val="0"/>
          <w:marRight w:val="0"/>
          <w:marTop w:val="0"/>
          <w:marBottom w:val="0"/>
          <w:divBdr>
            <w:top w:val="none" w:sz="0" w:space="0" w:color="auto"/>
            <w:left w:val="none" w:sz="0" w:space="0" w:color="auto"/>
            <w:bottom w:val="none" w:sz="0" w:space="0" w:color="auto"/>
            <w:right w:val="none" w:sz="0" w:space="0" w:color="auto"/>
          </w:divBdr>
        </w:div>
        <w:div w:id="1465270129">
          <w:marLeft w:val="0"/>
          <w:marRight w:val="0"/>
          <w:marTop w:val="0"/>
          <w:marBottom w:val="0"/>
          <w:divBdr>
            <w:top w:val="none" w:sz="0" w:space="0" w:color="auto"/>
            <w:left w:val="none" w:sz="0" w:space="0" w:color="auto"/>
            <w:bottom w:val="none" w:sz="0" w:space="0" w:color="auto"/>
            <w:right w:val="none" w:sz="0" w:space="0" w:color="auto"/>
          </w:divBdr>
        </w:div>
        <w:div w:id="1572421178">
          <w:marLeft w:val="0"/>
          <w:marRight w:val="0"/>
          <w:marTop w:val="0"/>
          <w:marBottom w:val="0"/>
          <w:divBdr>
            <w:top w:val="none" w:sz="0" w:space="0" w:color="auto"/>
            <w:left w:val="none" w:sz="0" w:space="0" w:color="auto"/>
            <w:bottom w:val="none" w:sz="0" w:space="0" w:color="auto"/>
            <w:right w:val="none" w:sz="0" w:space="0" w:color="auto"/>
          </w:divBdr>
        </w:div>
        <w:div w:id="1456948711">
          <w:marLeft w:val="0"/>
          <w:marRight w:val="0"/>
          <w:marTop w:val="0"/>
          <w:marBottom w:val="0"/>
          <w:divBdr>
            <w:top w:val="none" w:sz="0" w:space="0" w:color="auto"/>
            <w:left w:val="none" w:sz="0" w:space="0" w:color="auto"/>
            <w:bottom w:val="none" w:sz="0" w:space="0" w:color="auto"/>
            <w:right w:val="none" w:sz="0" w:space="0" w:color="auto"/>
          </w:divBdr>
        </w:div>
      </w:divsChild>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1465</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Guzman, Katy (Colombia)</dc:creator>
  <cp:keywords/>
  <dc:description/>
  <cp:lastModifiedBy>Valentina Orozco Arce</cp:lastModifiedBy>
  <cp:revision>9</cp:revision>
  <dcterms:created xsi:type="dcterms:W3CDTF">2020-06-17T21:21:00Z</dcterms:created>
  <dcterms:modified xsi:type="dcterms:W3CDTF">2024-07-17T21:41:00Z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