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6E2F" w14:textId="77777777" w:rsidR="00D336FF" w:rsidRDefault="00D336FF" w:rsidP="00D336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  <w:lang w:val="es-CO"/>
        </w:rPr>
      </w:pPr>
      <w:r>
        <w:rPr>
          <w:rFonts w:ascii="TimesNewRomanPSMT" w:hAnsi="TimesNewRomanPSMT" w:cs="TimesNewRomanPSMT"/>
          <w:kern w:val="0"/>
          <w:sz w:val="20"/>
          <w:szCs w:val="20"/>
          <w:lang w:val="es-CO"/>
        </w:rPr>
        <w:t>13-2022-343-01 ADRIANA LUCIA SÁENZ GARZÓN VS COLPENSIONES Y OTROS</w:t>
      </w:r>
    </w:p>
    <w:p w14:paraId="2115D528" w14:textId="77777777" w:rsidR="00F46C4D" w:rsidRDefault="00F46C4D" w:rsidP="00D336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3E327CA9" w14:textId="77777777" w:rsidR="00F46C4D" w:rsidRDefault="00F46C4D" w:rsidP="00D336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03C7D466" w14:textId="5D9F2A9C" w:rsidR="00D336FF" w:rsidRDefault="00D336FF" w:rsidP="00F46C4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REPUBLICA DE COLOMBIA</w:t>
      </w:r>
    </w:p>
    <w:p w14:paraId="242BFFEF" w14:textId="77777777" w:rsidR="00D336FF" w:rsidRDefault="00D336FF" w:rsidP="00F46C4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TRIBUNAL SUPERIOR DE BOGOTA D.C.</w:t>
      </w:r>
    </w:p>
    <w:p w14:paraId="4706341D" w14:textId="77777777" w:rsidR="00D336FF" w:rsidRDefault="00D336FF" w:rsidP="00F46C4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SALA LABORAL</w:t>
      </w:r>
    </w:p>
    <w:p w14:paraId="42AEDA83" w14:textId="77777777" w:rsidR="00F46C4D" w:rsidRDefault="00F46C4D" w:rsidP="00D336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540A1087" w14:textId="31E53F01" w:rsidR="00D336FF" w:rsidRDefault="00D336FF" w:rsidP="00D336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PROCESO ORDINARIO No. 13-2022-343-01</w:t>
      </w:r>
    </w:p>
    <w:p w14:paraId="09ED6DAB" w14:textId="77777777" w:rsidR="000319B1" w:rsidRDefault="000319B1" w:rsidP="00D336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2128FCA3" w14:textId="346E638A" w:rsidR="00D336FF" w:rsidRDefault="00D336FF" w:rsidP="00D336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ASUNTO: APELACIÓN AUTO</w:t>
      </w:r>
    </w:p>
    <w:p w14:paraId="0F4886A3" w14:textId="77777777" w:rsidR="000319B1" w:rsidRDefault="000319B1" w:rsidP="00D336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3C70BAC7" w14:textId="7494E600" w:rsidR="00D336FF" w:rsidRDefault="00D336FF" w:rsidP="00D336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DEMANDANTE: ADRIANA LUCIA SÁENZ GARZÓN</w:t>
      </w:r>
    </w:p>
    <w:p w14:paraId="01D2907E" w14:textId="77777777" w:rsidR="000319B1" w:rsidRDefault="000319B1" w:rsidP="00D336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4BBA3BA9" w14:textId="6C61DFC6" w:rsidR="00D336FF" w:rsidRDefault="00D336FF" w:rsidP="00D336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DEMANDADOS: COLPENSIONES Y OTROS</w:t>
      </w:r>
    </w:p>
    <w:p w14:paraId="4B8E7D6C" w14:textId="77777777" w:rsidR="000319B1" w:rsidRDefault="000319B1" w:rsidP="00D336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428F944B" w14:textId="3E512F40" w:rsidR="00D336FF" w:rsidRDefault="00D336FF" w:rsidP="00D336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MAGISTRADA PONENTE</w:t>
      </w:r>
    </w:p>
    <w:p w14:paraId="1938C92E" w14:textId="77777777" w:rsidR="00D336FF" w:rsidRDefault="00D336FF" w:rsidP="00D336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MARLENY RUEDA OLARTE</w:t>
      </w:r>
    </w:p>
    <w:p w14:paraId="5EC65962" w14:textId="77777777" w:rsidR="00F46C4D" w:rsidRDefault="00F46C4D" w:rsidP="00D336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7570BB07" w14:textId="77777777" w:rsidR="000319B1" w:rsidRDefault="000319B1" w:rsidP="00D336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4655D292" w14:textId="48E8800E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En Bogotá D.C., a los treinta (30) días del mes de noviembre de dos mil veintitrés</w:t>
      </w:r>
      <w:r w:rsidR="004D3A86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(2023); previa deliberación de los Magistrados y conforme a los términos acordados en</w:t>
      </w:r>
      <w:r w:rsidR="004D3A86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la Sala de Decisión, se procede a dictar la siguiente,</w:t>
      </w:r>
    </w:p>
    <w:p w14:paraId="4E242159" w14:textId="77777777" w:rsidR="00F46C4D" w:rsidRDefault="00F46C4D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657BF478" w14:textId="7A5FF41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DECISION</w:t>
      </w:r>
    </w:p>
    <w:p w14:paraId="0ECFE62B" w14:textId="77777777" w:rsidR="004D3A86" w:rsidRDefault="004D3A86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4670E87B" w14:textId="1D3FE684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El Tribunal Superior de Bogotá por conducto de la Sala Laboral, resuelve el recurso</w:t>
      </w:r>
      <w:r w:rsidR="004D3A86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de apelación interpuesto por la apoderada de SKANDIA; contra el auto proferido por</w:t>
      </w:r>
    </w:p>
    <w:p w14:paraId="673478CB" w14:textId="0DA6ABC9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la Juez 13 Laboral del Circuito de Bogotá, el día catorce (14) de julio de dos mil</w:t>
      </w:r>
      <w:r w:rsidR="004D3A86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veintitrés (2023), por medio del cual se NEGÓ el llamamiento en garantía de</w:t>
      </w:r>
      <w:r w:rsidR="004D3A86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MAPFRE COLOMBIA VIDA SEGUROS. (Expediente Digitalizado).</w:t>
      </w:r>
    </w:p>
    <w:p w14:paraId="7EEEAA60" w14:textId="77777777" w:rsidR="004D3A86" w:rsidRDefault="004D3A86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630AF064" w14:textId="58BDA84E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HECHOS</w:t>
      </w:r>
    </w:p>
    <w:p w14:paraId="347B25F7" w14:textId="77777777" w:rsidR="004D3A86" w:rsidRDefault="004D3A86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7EE81833" w14:textId="2D826BFC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La señora ADRIANA LUCIA SAENZ GARZÓN, instauró a través de apoderado</w:t>
      </w:r>
      <w:r w:rsidR="004D3A86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demanda en contra de SKANDIA PESNIONES Y CESANTÍAS SA, COLFONDOS</w:t>
      </w:r>
    </w:p>
    <w:p w14:paraId="68CDB9D9" w14:textId="5515A2F8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PENSIONES Y CESANTÍAS SA Y COLPENSIONES, para que, a través de un proceso</w:t>
      </w:r>
      <w:r w:rsidR="004D3A86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ordinario laboral, se declare la ineficacia del traslado del RPM al RAIS y en</w:t>
      </w:r>
    </w:p>
    <w:p w14:paraId="6E795C8D" w14:textId="0F245753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consecuencia se ordene la devolución de aportes, con sus rendimientos, extra y ultra</w:t>
      </w:r>
      <w:r w:rsidR="004D3A86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proofErr w:type="spellStart"/>
      <w:r>
        <w:rPr>
          <w:rFonts w:ascii="ArialMT" w:hAnsi="ArialMT" w:cs="ArialMT"/>
          <w:kern w:val="0"/>
          <w:sz w:val="24"/>
          <w:szCs w:val="24"/>
          <w:lang w:val="es-CO"/>
        </w:rPr>
        <w:t>petita</w:t>
      </w:r>
      <w:proofErr w:type="spellEnd"/>
      <w:r>
        <w:rPr>
          <w:rFonts w:ascii="ArialMT" w:hAnsi="ArialMT" w:cs="ArialMT"/>
          <w:kern w:val="0"/>
          <w:sz w:val="24"/>
          <w:szCs w:val="24"/>
          <w:lang w:val="es-CO"/>
        </w:rPr>
        <w:t xml:space="preserve"> y costas. (Expediente Digitalizado).</w:t>
      </w:r>
    </w:p>
    <w:p w14:paraId="40E0809D" w14:textId="75DCD16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0"/>
          <w:szCs w:val="20"/>
          <w:lang w:val="es-CO"/>
        </w:rPr>
      </w:pPr>
    </w:p>
    <w:p w14:paraId="01EA9436" w14:textId="47865DE5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la demandada SKANDIA ADMINISTRADORA DE FONDOS DE PENSIONES Y</w:t>
      </w:r>
      <w:r w:rsidR="000B04D1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CESANTIAS SA, solicitó llamar en garantía a MAPFRE COLOMBIA VIDA</w:t>
      </w:r>
      <w:r w:rsidR="000B04D1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SEGUROS SA.</w:t>
      </w:r>
    </w:p>
    <w:p w14:paraId="3C07EE11" w14:textId="77777777" w:rsidR="000B04D1" w:rsidRDefault="000B04D1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7D966C25" w14:textId="07D43BD6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Mediante la providencia que hoy revisa la Sala, el Juez negó la solicitud, básicamente</w:t>
      </w:r>
      <w:r w:rsidR="000B04D1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que las pólizas aportadas por la demandada no cubren ni amparan lo discutido en este</w:t>
      </w:r>
      <w:r w:rsidR="000B04D1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 xml:space="preserve">juicio, esto es, la ineficacia de traslado de régimen; sin que sea </w:t>
      </w:r>
      <w:r>
        <w:rPr>
          <w:rFonts w:ascii="ArialMT" w:hAnsi="ArialMT" w:cs="ArialMT"/>
          <w:kern w:val="0"/>
          <w:sz w:val="24"/>
          <w:szCs w:val="24"/>
          <w:lang w:val="es-CO"/>
        </w:rPr>
        <w:lastRenderedPageBreak/>
        <w:t>además competencia</w:t>
      </w:r>
      <w:r w:rsidR="000B04D1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del Juez laboral definir el contrato de seguro en caso de una eventual condena. Citó al</w:t>
      </w:r>
      <w:r w:rsidR="000B04D1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 xml:space="preserve">respecto sentencia de la CSJ con Rad </w:t>
      </w:r>
      <w:proofErr w:type="spellStart"/>
      <w:r>
        <w:rPr>
          <w:rFonts w:ascii="ArialMT" w:hAnsi="ArialMT" w:cs="ArialMT"/>
          <w:kern w:val="0"/>
          <w:sz w:val="24"/>
          <w:szCs w:val="24"/>
          <w:lang w:val="es-CO"/>
        </w:rPr>
        <w:t>N°</w:t>
      </w:r>
      <w:proofErr w:type="spellEnd"/>
      <w:r>
        <w:rPr>
          <w:rFonts w:ascii="ArialMT" w:hAnsi="ArialMT" w:cs="ArialMT"/>
          <w:kern w:val="0"/>
          <w:sz w:val="24"/>
          <w:szCs w:val="24"/>
          <w:lang w:val="es-CO"/>
        </w:rPr>
        <w:t xml:space="preserve"> 56174 de 2019, que reitera ente otras la SL</w:t>
      </w:r>
      <w:r w:rsidR="000B04D1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17595 de 2017 y la SL 4989 de 2018. Agrega que el seguro previsional fue adquirido</w:t>
      </w:r>
      <w:r w:rsidR="000B04D1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para un eventual reconocimiento de pensión y no para el rubro gastos de</w:t>
      </w:r>
      <w:r w:rsidR="000B04D1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administración, que según lo expuesto por la CSJ debe ser asumido por la</w:t>
      </w:r>
      <w:r w:rsidR="000B04D1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administradora a cargo de su patrimonio. Concluye en consecuencia que no se dan los</w:t>
      </w:r>
      <w:r w:rsidR="000B04D1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requisitos contemplados en el artículo 64 del CGP.</w:t>
      </w:r>
    </w:p>
    <w:p w14:paraId="782A2CA3" w14:textId="77777777" w:rsidR="000B04D1" w:rsidRDefault="000B04D1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0EBFC1A7" w14:textId="7408296D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Inconforme con esta decisión el apoderado de SKANDIA interpone recurso</w:t>
      </w:r>
    </w:p>
    <w:p w14:paraId="274BEE2E" w14:textId="5D66C03B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afirmando en síntesis que: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  <w:lang w:val="es-CO"/>
        </w:rPr>
        <w:t>“…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El llamamiento en garantía cumple con los</w:t>
      </w:r>
      <w:r w:rsidR="000B04D1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requisitos legales y se presentó en términos, de acuerdo con el artículo 64 del</w:t>
      </w:r>
      <w:r w:rsidR="000B04D1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Código General del Proceso. Entre la entidad llamada en garantía y mi</w:t>
      </w:r>
      <w:r w:rsidR="000B04D1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representada se suscribieron sendos contratos de seguros previsionales, dirigidos a</w:t>
      </w:r>
      <w:r w:rsidR="000B04D1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la garantía de los riesgos de vejez, invalidez y muerte. La jurisprudencia actual de la</w:t>
      </w:r>
      <w:r w:rsidR="000B04D1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Corte Suprema de Justicia, en tratándose de procesos de ineficacia de la afiliación</w:t>
      </w:r>
      <w:r w:rsidR="000B04D1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ha dispuesto que, en caso de conceder la ineficacia tos es pertinente que la AFP</w:t>
      </w:r>
      <w:r w:rsidR="000B04D1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traslade, entre otros rubros, los montos correspondientes a las sumas canceladas</w:t>
      </w:r>
    </w:p>
    <w:p w14:paraId="26FD2830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por los seguros previsionales. Las cuotas de seguro previsional, por disposición</w:t>
      </w:r>
    </w:p>
    <w:p w14:paraId="58FB8C3B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legal, deben ser deducidas del monto del aporte y trasladarse a una aseguradora</w:t>
      </w:r>
    </w:p>
    <w:p w14:paraId="3634B8E6" w14:textId="1D1B4B8D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previsional, como lo es, para el caso en concreto, MAPFRE COLOMBIA VIDA</w:t>
      </w:r>
      <w:r w:rsidR="000B04D1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SEGUROS SA, acorde a lo dispuesto en el artículo 20 de la Ley 100 de 1993. En</w:t>
      </w:r>
    </w:p>
    <w:p w14:paraId="1FA620EE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ese orden de ideas y tal como se expuso al momento de hacer el llamamiento en</w:t>
      </w:r>
    </w:p>
    <w:p w14:paraId="434A07FA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garantía, si el despacho profiere una condena en este sentido, la misma debe ir</w:t>
      </w:r>
    </w:p>
    <w:p w14:paraId="0A20E089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dirigida a MAPFRE COLOMBIA VIDA SEGUROS SA si ordena la devolución de la</w:t>
      </w:r>
    </w:p>
    <w:p w14:paraId="2A528BA9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prima de seguro previsional, en vista del llamamiento en garantía y de la relación</w:t>
      </w:r>
    </w:p>
    <w:p w14:paraId="6DFF51A7" w14:textId="305EAEE9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contractual existente entre SKANDIA ADMINISTRADORA DE FONDOS DE</w:t>
      </w:r>
      <w:r w:rsidR="000B04D1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PENSIONES Y CESANTÍAS S.A y la mentada aseguradora, en razón de la</w:t>
      </w:r>
      <w:r w:rsidR="000B04D1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celebración de los contratos de seguro previsional que ya obran en el expediente y</w:t>
      </w:r>
    </w:p>
    <w:p w14:paraId="76EC6961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cuyas primas fueron oportunamente pagadas por mi representada, en favor de la</w:t>
      </w:r>
    </w:p>
    <w:p w14:paraId="48D6B6DF" w14:textId="3D654814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aseguradora. Así las cosas, acorde a lo dispuesto en el artículo 64 del Código</w:t>
      </w:r>
      <w:r w:rsidR="000B04D1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General del Proceso, es procedente el llamamiento en garantía de MAPFRE</w:t>
      </w:r>
      <w:r w:rsidR="000B04D1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COLOMBIA VIDA SEGUROS SA, en virtud del vínculo contractual celebrado y la</w:t>
      </w:r>
    </w:p>
    <w:p w14:paraId="7032713C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eventual condena frente al reembolso de los valores pagados por las primas de los</w:t>
      </w:r>
    </w:p>
    <w:p w14:paraId="5A2EFE09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seguros previsionales adquiridos.</w:t>
      </w:r>
    </w:p>
    <w:p w14:paraId="7B184D1A" w14:textId="77777777" w:rsidR="000B04D1" w:rsidRDefault="000B04D1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</w:p>
    <w:p w14:paraId="57D48732" w14:textId="718AF650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Con relación a las sentencias citadas por el despacho dice que, es dable indicar que</w:t>
      </w:r>
    </w:p>
    <w:p w14:paraId="0F536089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el llamamiento en garantía, que solicitó, obedece a una relación contractual que une</w:t>
      </w:r>
    </w:p>
    <w:p w14:paraId="4E21C656" w14:textId="405D6BF8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a la llamada en garantía con SKANDIA ADMINISTRADORA DE FONDOS DE</w:t>
      </w:r>
      <w:r w:rsidR="000B04D1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PENSIONES Y CESANTÍAS S.A y que se acredita con las pólizas allegadas al</w:t>
      </w:r>
      <w:r w:rsidR="000B04D1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despacho en su debida oportunidad, situación que el despacho no discute y que</w:t>
      </w:r>
      <w:r w:rsidR="000B04D1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permiten acreditar el pago de unas primas por concepto de seguros previsionales</w:t>
      </w:r>
    </w:p>
    <w:p w14:paraId="00C2B906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que se adquirieron con dicha aseguradora en las vigencias comprendidas entre el</w:t>
      </w:r>
    </w:p>
    <w:p w14:paraId="4940C9B6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01/01/2008 al 31/12/2018, con lo cual, es acertado el manifestar que en el presente</w:t>
      </w:r>
    </w:p>
    <w:p w14:paraId="3B799576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caso se está cumpliendo los elementos que enuncia la misma sentencia al solicitar</w:t>
      </w:r>
    </w:p>
    <w:p w14:paraId="4267A3B6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la vinculación de un tercero para que, responda por las eventuales condenas debido</w:t>
      </w:r>
    </w:p>
    <w:p w14:paraId="26061522" w14:textId="48D82C1C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a una relación contractual que une a las partes. Cita además decisión de otro</w:t>
      </w:r>
      <w:r w:rsidR="000B04D1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tribunal, así como doctrina sobre la figura en cuanto se debe estudiar solo los</w:t>
      </w:r>
      <w:r w:rsidR="000B04D1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lastRenderedPageBreak/>
        <w:t>requisitos y no de fondo para acceder al llamamiento. Acorde a lo previamente</w:t>
      </w:r>
      <w:r w:rsidR="000B04D1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enunciado, es dable indicar que el amparo producto del contrato de previsión</w:t>
      </w:r>
      <w:r w:rsidR="000B04D1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permitió que el extremo activo de la litis contara con una protección derivada de los</w:t>
      </w:r>
    </w:p>
    <w:p w14:paraId="52657E70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riesgos de invalidez y de muerte, durante la vinculación con mi representada, con lo</w:t>
      </w:r>
    </w:p>
    <w:p w14:paraId="7D112FED" w14:textId="185F5431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cual, ante una eventual sentencia que accediera a las pretensiones esgrimidas en el</w:t>
      </w:r>
      <w:r w:rsidR="000B04D1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líbelo introductorio, resultaría imperioso que la llamada a responder por dichas</w:t>
      </w:r>
    </w:p>
    <w:p w14:paraId="229555E4" w14:textId="1E314230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sumas sea MAPFRE COLOMBIA VIDA SEGUROS S.A, dado que cualquier</w:t>
      </w:r>
      <w:r w:rsidR="000B04D1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interpretación en contrario se erigiría como una violación al artículo 1137 del Código</w:t>
      </w:r>
    </w:p>
    <w:p w14:paraId="560CD64E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de Comercio que dispone lo relativo a la ineficacia parcial del contrato de seguro</w:t>
      </w:r>
    </w:p>
    <w:p w14:paraId="45865D4E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previsional, en concordancia con el artículo 1045 del Código de Comercio, ya que,</w:t>
      </w:r>
    </w:p>
    <w:p w14:paraId="43B0165F" w14:textId="36C23C02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en caso de suprimir un elemento esencial del contrato de seguro como lo es el</w:t>
      </w:r>
      <w:r w:rsidR="000B04D1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interés asegurable, entendido como la relación de índole económica que une a un</w:t>
      </w:r>
    </w:p>
    <w:p w14:paraId="555725A8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sujeto con otro, con un bien o con un derecho especifico que eventualmente pueda</w:t>
      </w:r>
    </w:p>
    <w:p w14:paraId="0B4C947F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ser afectado por un riesgo y como aquello que legitimó originalmente a </w:t>
      </w:r>
      <w:proofErr w:type="spellStart"/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Skandia</w:t>
      </w:r>
      <w:proofErr w:type="spellEnd"/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para</w:t>
      </w:r>
    </w:p>
    <w:p w14:paraId="13E98649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contratar con la mentada aseguradora, carecería de fundamento jurídico que no se</w:t>
      </w:r>
    </w:p>
    <w:p w14:paraId="00D15034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ordene restituir las sumas que en su momento fueron pagadas por mi representada,</w:t>
      </w:r>
    </w:p>
    <w:p w14:paraId="1C589455" w14:textId="0583C879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so pena de afectar las restituciones reciprocas propias de una declaratoria de</w:t>
      </w:r>
      <w:r w:rsidR="000B04D1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ineficacia, el principio de buena y el de legalidad. Acorde a lo previamente</w:t>
      </w:r>
      <w:r w:rsidR="000B04D1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enunciado, es dable indicar que la falladora, al negar el llamamiento en garantía, no</w:t>
      </w:r>
    </w:p>
    <w:p w14:paraId="0D3F33FC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solo se pronunció sobre la procedencia de este, sino que a su vez resolvió de fondo</w:t>
      </w:r>
    </w:p>
    <w:p w14:paraId="4CB9F960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si la llamada en garantía debía o no responder ante una eventual condena, situación</w:t>
      </w:r>
    </w:p>
    <w:p w14:paraId="15A0C5DF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que debió ser reservada a la sentencia que pone fin al proceso en primera instancia,</w:t>
      </w:r>
    </w:p>
    <w:p w14:paraId="7EBA7524" w14:textId="5C116A43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con lo cual, la Juez de instancia, en criterio del suscrito, está pretermitiendo la</w:t>
      </w:r>
      <w:r w:rsidR="000B04D1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oportunidad procesal pertinente y, en consecuencia, está vulnerando derechos…”</w:t>
      </w:r>
    </w:p>
    <w:p w14:paraId="5FE0DF10" w14:textId="77777777" w:rsidR="000B04D1" w:rsidRDefault="000B04D1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522CF2B8" w14:textId="2BAE7C3C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CONSIDERACIONES</w:t>
      </w:r>
    </w:p>
    <w:p w14:paraId="644C6386" w14:textId="77777777" w:rsidR="000B04D1" w:rsidRDefault="000B04D1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4410668E" w14:textId="0D13B446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La Sala resolverá el recurso de acuerdo con lo establecido en el art 66 A del C P del T</w:t>
      </w:r>
      <w:r w:rsidR="000B04D1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 xml:space="preserve">y de la S </w:t>
      </w:r>
      <w:proofErr w:type="spellStart"/>
      <w:r>
        <w:rPr>
          <w:rFonts w:ascii="ArialMT" w:hAnsi="ArialMT" w:cs="ArialMT"/>
          <w:kern w:val="0"/>
          <w:sz w:val="24"/>
          <w:szCs w:val="24"/>
          <w:lang w:val="es-CO"/>
        </w:rPr>
        <w:t>S</w:t>
      </w:r>
      <w:proofErr w:type="spellEnd"/>
      <w:r>
        <w:rPr>
          <w:rFonts w:ascii="ArialMT" w:hAnsi="ArialMT" w:cs="ArialMT"/>
          <w:kern w:val="0"/>
          <w:sz w:val="24"/>
          <w:szCs w:val="24"/>
          <w:lang w:val="es-CO"/>
        </w:rPr>
        <w:t xml:space="preserve">., advirtiendo desde ya que CONFIRMARÁ la decisión,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siendo varias las</w:t>
      </w:r>
      <w:r w:rsidR="000B04D1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veces en que en casos idénticos se han expresado las razones. </w:t>
      </w:r>
      <w:r>
        <w:rPr>
          <w:rFonts w:ascii="ArialMT" w:hAnsi="ArialMT" w:cs="ArialMT"/>
          <w:kern w:val="0"/>
          <w:sz w:val="24"/>
          <w:szCs w:val="24"/>
          <w:lang w:val="es-CO"/>
        </w:rPr>
        <w:t>Veamos.</w:t>
      </w:r>
    </w:p>
    <w:p w14:paraId="7E802C50" w14:textId="77777777" w:rsidR="000B04D1" w:rsidRDefault="000B04D1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443B3EEF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El llamamiento en garantía se encuentra contemplado en el artículo 64 del Código</w:t>
      </w:r>
    </w:p>
    <w:p w14:paraId="2FEA3F80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kern w:val="0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 xml:space="preserve">General del Proceso, norma que lo define como una facultad que le asiste a </w:t>
      </w:r>
      <w:r>
        <w:rPr>
          <w:rFonts w:ascii="Arial-ItalicMT" w:hAnsi="Arial-ItalicMT" w:cs="Arial-ItalicMT"/>
          <w:i/>
          <w:iCs/>
          <w:kern w:val="0"/>
          <w:lang w:val="es-CO"/>
        </w:rPr>
        <w:t>“</w:t>
      </w:r>
      <w:r>
        <w:rPr>
          <w:rFonts w:ascii="Arial-BoldItalicMT" w:hAnsi="Arial-BoldItalicMT" w:cs="Arial-BoldItalicMT"/>
          <w:b/>
          <w:bCs/>
          <w:i/>
          <w:iCs/>
          <w:kern w:val="0"/>
          <w:lang w:val="es-CO"/>
        </w:rPr>
        <w:t>quien</w:t>
      </w:r>
    </w:p>
    <w:p w14:paraId="4892E1D3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kern w:val="0"/>
          <w:lang w:val="es-CO"/>
        </w:rPr>
      </w:pPr>
      <w:r>
        <w:rPr>
          <w:rFonts w:ascii="Arial-BoldItalicMT" w:hAnsi="Arial-BoldItalicMT" w:cs="Arial-BoldItalicMT"/>
          <w:b/>
          <w:bCs/>
          <w:i/>
          <w:iCs/>
          <w:kern w:val="0"/>
          <w:lang w:val="es-CO"/>
        </w:rPr>
        <w:t>tenga derecho legal o contractual de exigir de otro la indemnización del perjuicio que</w:t>
      </w:r>
    </w:p>
    <w:p w14:paraId="45EE2AB4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kern w:val="0"/>
          <w:lang w:val="es-CO"/>
        </w:rPr>
      </w:pPr>
      <w:r>
        <w:rPr>
          <w:rFonts w:ascii="Arial-BoldItalicMT" w:hAnsi="Arial-BoldItalicMT" w:cs="Arial-BoldItalicMT"/>
          <w:b/>
          <w:bCs/>
          <w:i/>
          <w:iCs/>
          <w:kern w:val="0"/>
          <w:lang w:val="es-CO"/>
        </w:rPr>
        <w:t>llegare a sufrir, o el reembolso total o parcial del pago que tuviere que hacer como</w:t>
      </w:r>
    </w:p>
    <w:p w14:paraId="5CE90711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kern w:val="0"/>
          <w:lang w:val="es-CO"/>
        </w:rPr>
      </w:pPr>
      <w:r>
        <w:rPr>
          <w:rFonts w:ascii="Arial-BoldItalicMT" w:hAnsi="Arial-BoldItalicMT" w:cs="Arial-BoldItalicMT"/>
          <w:b/>
          <w:bCs/>
          <w:i/>
          <w:iCs/>
          <w:kern w:val="0"/>
          <w:lang w:val="es-CO"/>
        </w:rPr>
        <w:t>resultado de la sentencia”.</w:t>
      </w:r>
    </w:p>
    <w:p w14:paraId="713BE769" w14:textId="77777777" w:rsidR="000B04D1" w:rsidRDefault="000B04D1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72C1028C" w14:textId="1631028F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Esta disposición aplicable en materia laboral en virtud del artículo 145 del Código</w:t>
      </w:r>
    </w:p>
    <w:p w14:paraId="718B99DC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Procesal del Trabajo y de la Seguridad Social, al igual que las previstas para su</w:t>
      </w:r>
    </w:p>
    <w:p w14:paraId="139A876F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trámite, de acuerdo a la jurisprudencia de la Corte Constitucional “</w:t>
      </w:r>
      <w:r>
        <w:rPr>
          <w:rFonts w:ascii="Arial-ItalicMT" w:hAnsi="Arial-ItalicMT" w:cs="Arial-ItalicMT"/>
          <w:i/>
          <w:iCs/>
          <w:kern w:val="0"/>
          <w:lang w:val="es-CO"/>
        </w:rPr>
        <w:t>debe concebirse</w:t>
      </w:r>
    </w:p>
    <w:p w14:paraId="2A4A6034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lang w:val="es-CO"/>
        </w:rPr>
      </w:pPr>
      <w:r>
        <w:rPr>
          <w:rFonts w:ascii="Arial-ItalicMT" w:hAnsi="Arial-ItalicMT" w:cs="Arial-ItalicMT"/>
          <w:i/>
          <w:iCs/>
          <w:kern w:val="0"/>
          <w:lang w:val="es-CO"/>
        </w:rPr>
        <w:t>como un instrumento procesal creado por el legislador con la finalidad de concretar el</w:t>
      </w:r>
    </w:p>
    <w:p w14:paraId="17192D1D" w14:textId="78CB45C9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lang w:val="es-CO"/>
        </w:rPr>
      </w:pPr>
      <w:r>
        <w:rPr>
          <w:rFonts w:ascii="Arial-ItalicMT" w:hAnsi="Arial-ItalicMT" w:cs="Arial-ItalicMT"/>
          <w:i/>
          <w:iCs/>
          <w:kern w:val="0"/>
          <w:lang w:val="es-CO"/>
        </w:rPr>
        <w:t>principio de la economía procesal, para vincular al proceso como parte a un tercero</w:t>
      </w:r>
      <w:r w:rsidR="000B04D1">
        <w:rPr>
          <w:rFonts w:ascii="Arial-ItalicMT" w:hAnsi="Arial-ItalicMT" w:cs="Arial-ItalicMT"/>
          <w:i/>
          <w:iCs/>
          <w:kern w:val="0"/>
          <w:lang w:val="es-CO"/>
        </w:rPr>
        <w:t xml:space="preserve"> i</w:t>
      </w:r>
      <w:r>
        <w:rPr>
          <w:rFonts w:ascii="Arial-ItalicMT" w:hAnsi="Arial-ItalicMT" w:cs="Arial-ItalicMT"/>
          <w:i/>
          <w:iCs/>
          <w:kern w:val="0"/>
          <w:lang w:val="es-CO"/>
        </w:rPr>
        <w:t>nterviniente que, desde cuando se admite la solicitud por parte del juez, queda vinculado de</w:t>
      </w:r>
      <w:r w:rsidR="000B04D1">
        <w:rPr>
          <w:rFonts w:ascii="Arial-ItalicMT" w:hAnsi="Arial-ItalicMT" w:cs="Arial-ItalicMT"/>
          <w:i/>
          <w:iCs/>
          <w:kern w:val="0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lang w:val="es-CO"/>
        </w:rPr>
        <w:t>manera forzosa a lo que se resuelva en la sentencia”.</w:t>
      </w:r>
    </w:p>
    <w:p w14:paraId="420F6D0B" w14:textId="77777777" w:rsidR="000B04D1" w:rsidRDefault="000B04D1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3BE47FD6" w14:textId="29411D5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El tema del llamamiento en garantía en materia laboral ha sido tratado por la H Corte</w:t>
      </w:r>
    </w:p>
    <w:p w14:paraId="1D702817" w14:textId="6FD470B8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lastRenderedPageBreak/>
        <w:t>Suprema de Justicia, aceptando la procedencia de esta intervención- antes de la</w:t>
      </w:r>
      <w:r w:rsidR="000B04D1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expedición del CGP, denominados terceros, ahora otras partes-; cuando se trata de</w:t>
      </w:r>
    </w:p>
    <w:p w14:paraId="72BEB53F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situaciones en que se aseguran riesgos derivados de normas del CST.</w:t>
      </w:r>
    </w:p>
    <w:p w14:paraId="2C422B82" w14:textId="77777777" w:rsidR="000B04D1" w:rsidRDefault="000B04D1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193C2940" w14:textId="64D7220D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 xml:space="preserve">Ahora bien, aunque procedente- se itera-. en materia laboral;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solo lo es cuando se</w:t>
      </w:r>
    </w:p>
    <w:p w14:paraId="34073D5D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cumplen los requisitos de la norma, esto es el artículo 64 del CGP; requisitos,</w:t>
      </w:r>
    </w:p>
    <w:p w14:paraId="14C9ECB5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que no se dan en este caso específico.</w:t>
      </w:r>
    </w:p>
    <w:p w14:paraId="2F514C28" w14:textId="77777777" w:rsidR="000B04D1" w:rsidRDefault="000B04D1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5E297F23" w14:textId="182309AB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Por el contrario, se itera, claro resulta la norma cuando expresa: “</w:t>
      </w:r>
      <w:r>
        <w:rPr>
          <w:rFonts w:ascii="Arial-BoldItalicMT" w:hAnsi="Arial-BoldItalicMT" w:cs="Arial-BoldItalicMT"/>
          <w:b/>
          <w:bCs/>
          <w:i/>
          <w:iCs/>
          <w:kern w:val="0"/>
          <w:lang w:val="es-CO"/>
        </w:rPr>
        <w:t>quien tenga</w:t>
      </w:r>
      <w:r w:rsidR="000B04D1">
        <w:rPr>
          <w:rFonts w:ascii="Arial-BoldItalicMT" w:hAnsi="Arial-BoldItalicMT" w:cs="Arial-BoldItalicMT"/>
          <w:b/>
          <w:bCs/>
          <w:i/>
          <w:iCs/>
          <w:kern w:val="0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kern w:val="0"/>
          <w:lang w:val="es-CO"/>
        </w:rPr>
        <w:t xml:space="preserve">derecho legal o contractual </w:t>
      </w:r>
      <w:r>
        <w:rPr>
          <w:rFonts w:ascii="Arial-ItalicMT" w:hAnsi="Arial-ItalicMT" w:cs="Arial-ItalicMT"/>
          <w:i/>
          <w:iCs/>
          <w:kern w:val="0"/>
          <w:lang w:val="es-CO"/>
        </w:rPr>
        <w:t>de exigir de otro la indemnización del perjuicio que llegare a</w:t>
      </w:r>
    </w:p>
    <w:p w14:paraId="78FF38B4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lang w:val="es-CO"/>
        </w:rPr>
        <w:t xml:space="preserve">sufrir”, </w:t>
      </w:r>
      <w:r>
        <w:rPr>
          <w:rFonts w:ascii="ArialMT" w:hAnsi="ArialMT" w:cs="ArialMT"/>
          <w:kern w:val="0"/>
          <w:sz w:val="24"/>
          <w:szCs w:val="24"/>
          <w:lang w:val="es-CO"/>
        </w:rPr>
        <w:t xml:space="preserve">lo que no es claro en este caso toda vez que entre </w:t>
      </w:r>
      <w:proofErr w:type="spellStart"/>
      <w:r>
        <w:rPr>
          <w:rFonts w:ascii="ArialMT" w:hAnsi="ArialMT" w:cs="ArialMT"/>
          <w:kern w:val="0"/>
          <w:sz w:val="24"/>
          <w:szCs w:val="24"/>
          <w:lang w:val="es-CO"/>
        </w:rPr>
        <w:t>Skandia</w:t>
      </w:r>
      <w:proofErr w:type="spellEnd"/>
      <w:r>
        <w:rPr>
          <w:rFonts w:ascii="ArialMT" w:hAnsi="ArialMT" w:cs="ArialMT"/>
          <w:kern w:val="0"/>
          <w:sz w:val="24"/>
          <w:szCs w:val="24"/>
          <w:lang w:val="es-CO"/>
        </w:rPr>
        <w:t xml:space="preserve"> y Mapfre, si bien</w:t>
      </w:r>
    </w:p>
    <w:p w14:paraId="722F4D2B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se suscribieron unas pólizas de seguro previsional; de esta relación comercial, no</w:t>
      </w:r>
    </w:p>
    <w:p w14:paraId="1BB06D86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surge el posible derecho relacionado con las pretensiones de nulidad y/o ineficacia</w:t>
      </w:r>
    </w:p>
    <w:p w14:paraId="268CF77A" w14:textId="30F35278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 xml:space="preserve">de la afiliación </w:t>
      </w:r>
      <w:proofErr w:type="gramStart"/>
      <w:r>
        <w:rPr>
          <w:rFonts w:ascii="ArialMT" w:hAnsi="ArialMT" w:cs="ArialMT"/>
          <w:kern w:val="0"/>
          <w:sz w:val="24"/>
          <w:szCs w:val="24"/>
          <w:lang w:val="es-CO"/>
        </w:rPr>
        <w:t>y</w:t>
      </w:r>
      <w:proofErr w:type="gramEnd"/>
      <w:r>
        <w:rPr>
          <w:rFonts w:ascii="ArialMT" w:hAnsi="ArialMT" w:cs="ArialMT"/>
          <w:kern w:val="0"/>
          <w:sz w:val="24"/>
          <w:szCs w:val="24"/>
          <w:lang w:val="es-CO"/>
        </w:rPr>
        <w:t xml:space="preserve"> por el contrario, se trata de un tomador de un seguro cuyos</w:t>
      </w:r>
      <w:r w:rsidR="000B04D1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 xml:space="preserve">beneficiarios son todos los afiliados a </w:t>
      </w:r>
      <w:proofErr w:type="spellStart"/>
      <w:r>
        <w:rPr>
          <w:rFonts w:ascii="ArialMT" w:hAnsi="ArialMT" w:cs="ArialMT"/>
          <w:kern w:val="0"/>
          <w:sz w:val="24"/>
          <w:szCs w:val="24"/>
          <w:lang w:val="es-CO"/>
        </w:rPr>
        <w:t>Skandia</w:t>
      </w:r>
      <w:proofErr w:type="spellEnd"/>
      <w:r>
        <w:rPr>
          <w:rFonts w:ascii="ArialMT" w:hAnsi="ArialMT" w:cs="ArialMT"/>
          <w:kern w:val="0"/>
          <w:sz w:val="24"/>
          <w:szCs w:val="24"/>
          <w:lang w:val="es-CO"/>
        </w:rPr>
        <w:t>, en cuyo caso si se da una condena,</w:t>
      </w:r>
    </w:p>
    <w:p w14:paraId="08FEDAEA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 xml:space="preserve">se afectarían derechos de terceros,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asunto además que no corresponde al Juez</w:t>
      </w:r>
    </w:p>
    <w:p w14:paraId="34210372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Laboral definir; argumento que ignora el recurrente.</w:t>
      </w:r>
    </w:p>
    <w:p w14:paraId="49985617" w14:textId="77777777" w:rsidR="000B04D1" w:rsidRDefault="000B04D1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4E291F40" w14:textId="2BBCA34A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Ahora la relación contractual a la que se refiere la norma, debe ser del</w:t>
      </w:r>
      <w:r w:rsidR="000B04D1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conocimiento del Juez Laboral, para que en el mismo proceso resuelva el</w:t>
      </w:r>
      <w:r w:rsidR="000B04D1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posible derecho de pago o indemnización del perjuicio, siendo claro que las</w:t>
      </w:r>
    </w:p>
    <w:p w14:paraId="0BA0BF60" w14:textId="113FA270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primas pagadas y su posible a pago a otra entidad o reembolso escapa a la</w:t>
      </w:r>
      <w:r w:rsidR="000B04D1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jurisdicción del Trabajo y la Seguridad </w:t>
      </w:r>
      <w:proofErr w:type="gramStart"/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Social,;</w:t>
      </w:r>
      <w:proofErr w:type="gramEnd"/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luego esta relación no es de las</w:t>
      </w:r>
      <w:r w:rsidR="000B04D1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que la norma contenida en el art 64 del CGP indica, esto es que otorgue a</w:t>
      </w:r>
    </w:p>
    <w:p w14:paraId="4A0F109D" w14:textId="397F1265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quien llama a exigir indemnización de perjuicios o reembolso de posibles</w:t>
      </w:r>
      <w:r w:rsidR="000B04D1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condenas, </w:t>
      </w:r>
      <w:r>
        <w:rPr>
          <w:rFonts w:ascii="ArialMT" w:hAnsi="ArialMT" w:cs="ArialMT"/>
          <w:kern w:val="0"/>
          <w:sz w:val="24"/>
          <w:szCs w:val="24"/>
          <w:lang w:val="es-CO"/>
        </w:rPr>
        <w:t>pues estas estarán a cargo de la demandada y los posibles, se itera,</w:t>
      </w:r>
    </w:p>
    <w:p w14:paraId="3EFD40AF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conflictos que pudiera tener con quienes contrató y suscribió pólizas, no son del</w:t>
      </w:r>
    </w:p>
    <w:p w14:paraId="14A757C3" w14:textId="7777777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conocimiento del Juez Laboral.</w:t>
      </w:r>
    </w:p>
    <w:p w14:paraId="7E2D67CD" w14:textId="77777777" w:rsidR="000B04D1" w:rsidRDefault="000B04D1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6232B982" w14:textId="2BB5E5EE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Finalmente vale decir que la Juez no decidió de fondo como asegura el recurrente y</w:t>
      </w:r>
      <w:r w:rsidR="000B04D1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 xml:space="preserve">que sus consideraciones solo se dirigen a apoyar la razón de la negativa;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que es la</w:t>
      </w:r>
      <w:r w:rsidR="000B04D1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falta de los requisitos contemplados en el artículo 64 del CGP, lo que se itera</w:t>
      </w:r>
      <w:r w:rsidR="000B04D1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como sostuvo la providencia atacada no se cumplen en este caso</w:t>
      </w:r>
      <w:r>
        <w:rPr>
          <w:rFonts w:ascii="ArialMT" w:hAnsi="ArialMT" w:cs="ArialMT"/>
          <w:kern w:val="0"/>
          <w:sz w:val="24"/>
          <w:szCs w:val="24"/>
          <w:lang w:val="es-CO"/>
        </w:rPr>
        <w:t>.</w:t>
      </w:r>
    </w:p>
    <w:p w14:paraId="4F0398C0" w14:textId="0D7AD183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0"/>
          <w:szCs w:val="20"/>
          <w:lang w:val="es-CO"/>
        </w:rPr>
      </w:pPr>
    </w:p>
    <w:p w14:paraId="438C9DAD" w14:textId="7A1513B8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En consecuencia, se CONFIRMARÁ la decisión de la juez de primera instancia pues</w:t>
      </w:r>
      <w:r w:rsidR="000B04D1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no se dan los requisitos contemplados en el art 64 del C G P, para acceder al</w:t>
      </w:r>
      <w:r w:rsidR="000B04D1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llamamiento en garantía.</w:t>
      </w:r>
    </w:p>
    <w:p w14:paraId="13B2A162" w14:textId="77777777" w:rsidR="000B04D1" w:rsidRDefault="000B04D1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0489C1E7" w14:textId="15A27015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Sin costas en esta instancia.</w:t>
      </w:r>
    </w:p>
    <w:p w14:paraId="7F7E26A5" w14:textId="77777777" w:rsidR="000B04D1" w:rsidRDefault="000B04D1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4611722E" w14:textId="26B0AE4C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En mérito de lo expuesto por el Tribunal Superior de Bogotá, por conducto de la Sala</w:t>
      </w:r>
      <w:r w:rsidR="000B04D1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Laboral,</w:t>
      </w:r>
    </w:p>
    <w:p w14:paraId="2CF28DEE" w14:textId="77777777" w:rsidR="000B04D1" w:rsidRDefault="000B04D1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265624BB" w14:textId="631B64B0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RESUELVE</w:t>
      </w:r>
    </w:p>
    <w:p w14:paraId="39F79CE7" w14:textId="77777777" w:rsidR="000B04D1" w:rsidRDefault="000B04D1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51CBE17D" w14:textId="703B9CB4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PRIMERO: CONFIRMAR el auto apelado.</w:t>
      </w:r>
    </w:p>
    <w:p w14:paraId="3B09ADC6" w14:textId="77777777" w:rsidR="000B04D1" w:rsidRDefault="000B04D1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15966429" w14:textId="6B4B18F7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lastRenderedPageBreak/>
        <w:t>SEGUNDO: Sin COSTAS en la instancia.</w:t>
      </w:r>
    </w:p>
    <w:p w14:paraId="589320EE" w14:textId="77777777" w:rsidR="000B04D1" w:rsidRDefault="000B04D1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2CDB7980" w14:textId="77777777" w:rsidR="000B04D1" w:rsidRDefault="000B04D1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458D3403" w14:textId="3497566E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NOTIFIQUESE Y CUMPLASE</w:t>
      </w:r>
    </w:p>
    <w:p w14:paraId="3D23453A" w14:textId="77777777" w:rsidR="000B04D1" w:rsidRDefault="000B04D1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55113CFE" w14:textId="1F633CE1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MARLENY RUEDA OLARTE</w:t>
      </w:r>
    </w:p>
    <w:p w14:paraId="28B6DB9D" w14:textId="77777777" w:rsidR="000B04D1" w:rsidRDefault="000B04D1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115DB751" w14:textId="0D239279" w:rsidR="00D336FF" w:rsidRDefault="00D336FF" w:rsidP="000319B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MANUEL EDUARDO SERRANO BAQUERO</w:t>
      </w:r>
    </w:p>
    <w:p w14:paraId="3728D59A" w14:textId="77777777" w:rsidR="000B04D1" w:rsidRDefault="000B04D1" w:rsidP="000319B1">
      <w:pPr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0D316009" w14:textId="0A13DD98" w:rsidR="00B9243D" w:rsidRDefault="00D336FF" w:rsidP="000319B1">
      <w:pPr>
        <w:jc w:val="both"/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LORENZO TORRES RUSSY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FF"/>
    <w:rsid w:val="000319B1"/>
    <w:rsid w:val="000B04D1"/>
    <w:rsid w:val="004D3A86"/>
    <w:rsid w:val="00737460"/>
    <w:rsid w:val="00B9243D"/>
    <w:rsid w:val="00D336FF"/>
    <w:rsid w:val="00DA03DC"/>
    <w:rsid w:val="00F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FFCE"/>
  <w15:chartTrackingRefBased/>
  <w15:docId w15:val="{5143C0A5-4CFB-4163-B9CE-61DB5934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1710</Words>
  <Characters>9407</Characters>
  <Application>Microsoft Office Word</Application>
  <DocSecurity>0</DocSecurity>
  <Lines>78</Lines>
  <Paragraphs>22</Paragraphs>
  <ScaleCrop>false</ScaleCrop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5</cp:revision>
  <dcterms:created xsi:type="dcterms:W3CDTF">2023-12-01T22:47:00Z</dcterms:created>
  <dcterms:modified xsi:type="dcterms:W3CDTF">2023-12-01T22:54:00Z</dcterms:modified>
</cp:coreProperties>
</file>