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0DB3" w14:textId="4CFBEB46" w:rsidR="0041368A" w:rsidRPr="00CA2CAD" w:rsidRDefault="0041368A" w:rsidP="0041368A">
      <w:pPr>
        <w:pStyle w:val="NormalWeb"/>
        <w:jc w:val="both"/>
        <w:rPr>
          <w:rFonts w:ascii="Arial" w:hAnsi="Arial" w:cs="Arial"/>
          <w:color w:val="000000"/>
          <w:sz w:val="22"/>
          <w:szCs w:val="22"/>
        </w:rPr>
      </w:pPr>
      <w:r w:rsidRPr="00CA2CAD">
        <w:rPr>
          <w:rFonts w:ascii="Arial" w:hAnsi="Arial" w:cs="Arial"/>
          <w:color w:val="000000"/>
          <w:sz w:val="22"/>
          <w:szCs w:val="22"/>
        </w:rPr>
        <w:t>La contingencia se califica como REMOTA considerando que ha operado la prescripción de la acci</w:t>
      </w:r>
      <w:r w:rsidRPr="00CA2CAD">
        <w:rPr>
          <w:rFonts w:ascii="Arial" w:hAnsi="Arial" w:cs="Arial"/>
          <w:color w:val="000000"/>
          <w:sz w:val="22"/>
          <w:szCs w:val="22"/>
        </w:rPr>
        <w:t>ones derivadas del contrato de seguro</w:t>
      </w:r>
      <w:r w:rsidRPr="00CA2CAD">
        <w:rPr>
          <w:rFonts w:ascii="Arial" w:hAnsi="Arial" w:cs="Arial"/>
          <w:color w:val="000000"/>
          <w:sz w:val="22"/>
          <w:szCs w:val="22"/>
        </w:rPr>
        <w:t xml:space="preserve">.  </w:t>
      </w:r>
    </w:p>
    <w:p w14:paraId="1AF3602D" w14:textId="5989B442" w:rsidR="0041368A" w:rsidRPr="00CA2CAD" w:rsidRDefault="0041368A" w:rsidP="0041368A">
      <w:pPr>
        <w:pStyle w:val="NormalWeb"/>
        <w:jc w:val="both"/>
        <w:rPr>
          <w:rFonts w:ascii="Arial" w:hAnsi="Arial" w:cs="Arial"/>
          <w:color w:val="000000"/>
          <w:sz w:val="22"/>
          <w:szCs w:val="22"/>
        </w:rPr>
      </w:pPr>
      <w:r w:rsidRPr="00CA2CAD">
        <w:rPr>
          <w:rFonts w:ascii="Arial" w:hAnsi="Arial" w:cs="Arial"/>
          <w:color w:val="000000"/>
          <w:sz w:val="22"/>
          <w:szCs w:val="22"/>
        </w:rPr>
        <w:t xml:space="preserve">Lo primero que debe tomarse en consideración es que la Póliza de Seguro Grupo Vida Deudores que fue Garantía de la Obligación hipotecaria No. *** </w:t>
      </w:r>
      <w:r w:rsidR="009F51E0" w:rsidRPr="00CA2CAD">
        <w:rPr>
          <w:rFonts w:ascii="Arial" w:hAnsi="Arial" w:cs="Arial"/>
          <w:color w:val="000000"/>
          <w:sz w:val="22"/>
          <w:szCs w:val="22"/>
        </w:rPr>
        <w:t xml:space="preserve">6020 </w:t>
      </w:r>
      <w:r w:rsidRPr="00CA2CAD">
        <w:rPr>
          <w:rFonts w:ascii="Arial" w:hAnsi="Arial" w:cs="Arial"/>
          <w:color w:val="000000"/>
          <w:sz w:val="22"/>
          <w:szCs w:val="22"/>
        </w:rPr>
        <w:t xml:space="preserve">cuyo asegurado era el señor </w:t>
      </w:r>
      <w:r w:rsidRPr="00CA2CAD">
        <w:rPr>
          <w:rFonts w:ascii="Arial" w:hAnsi="Arial" w:cs="Arial"/>
          <w:color w:val="000000"/>
          <w:sz w:val="22"/>
          <w:szCs w:val="22"/>
        </w:rPr>
        <w:t xml:space="preserve">Luis Hernando Medina </w:t>
      </w:r>
      <w:proofErr w:type="spellStart"/>
      <w:r w:rsidRPr="00CA2CAD">
        <w:rPr>
          <w:rFonts w:ascii="Arial" w:hAnsi="Arial" w:cs="Arial"/>
          <w:color w:val="000000"/>
          <w:sz w:val="22"/>
          <w:szCs w:val="22"/>
        </w:rPr>
        <w:t>Alvarez</w:t>
      </w:r>
      <w:proofErr w:type="spellEnd"/>
      <w:r w:rsidRPr="00CA2CAD">
        <w:rPr>
          <w:rFonts w:ascii="Arial" w:hAnsi="Arial" w:cs="Arial"/>
          <w:color w:val="000000"/>
          <w:sz w:val="22"/>
          <w:szCs w:val="22"/>
        </w:rPr>
        <w:t xml:space="preserve">; presta cobertura material y temporal, de conformidad con los hechos y pretensiones expuestas en el líbelo de la demanda. Frente a la cobertura temporal, debe señalarse que los hechos que dan base a la acción, es decir, la muerte del asegurado ocurrió el </w:t>
      </w:r>
      <w:r w:rsidRPr="00CA2CAD">
        <w:rPr>
          <w:rFonts w:ascii="Arial" w:hAnsi="Arial" w:cs="Arial"/>
          <w:color w:val="000000"/>
          <w:sz w:val="22"/>
          <w:szCs w:val="22"/>
        </w:rPr>
        <w:t>31 de marzo de 2020</w:t>
      </w:r>
      <w:r w:rsidRPr="00CA2CAD">
        <w:rPr>
          <w:rFonts w:ascii="Arial" w:hAnsi="Arial" w:cs="Arial"/>
          <w:color w:val="000000"/>
          <w:sz w:val="22"/>
          <w:szCs w:val="22"/>
        </w:rPr>
        <w:t xml:space="preserve">, dentro de la vigencia del seguro que estaría comprendida desde el </w:t>
      </w:r>
      <w:r w:rsidRPr="00CA2CAD">
        <w:rPr>
          <w:rFonts w:ascii="Arial" w:hAnsi="Arial" w:cs="Arial"/>
          <w:color w:val="000000"/>
          <w:sz w:val="22"/>
          <w:szCs w:val="22"/>
        </w:rPr>
        <w:t>22 de octubre de 2019</w:t>
      </w:r>
      <w:r w:rsidRPr="00CA2CAD">
        <w:rPr>
          <w:rFonts w:ascii="Arial" w:hAnsi="Arial" w:cs="Arial"/>
          <w:color w:val="000000"/>
          <w:sz w:val="22"/>
          <w:szCs w:val="22"/>
        </w:rPr>
        <w:t>. Aunado a ello, presta cobertura material en cuanto contempla la muerte como amparo que se pretende afectar.</w:t>
      </w:r>
    </w:p>
    <w:p w14:paraId="20E83F70" w14:textId="25ABE766" w:rsidR="0041368A" w:rsidRPr="00CA2CAD" w:rsidRDefault="0041368A" w:rsidP="0041368A">
      <w:pPr>
        <w:contextualSpacing/>
        <w:jc w:val="both"/>
        <w:rPr>
          <w:rFonts w:ascii="Arial" w:hAnsi="Arial" w:cs="Arial"/>
          <w:sz w:val="22"/>
          <w:szCs w:val="22"/>
        </w:rPr>
      </w:pPr>
      <w:r w:rsidRPr="00CA2CAD">
        <w:rPr>
          <w:rFonts w:ascii="Arial" w:hAnsi="Arial" w:cs="Arial"/>
          <w:color w:val="000000"/>
          <w:sz w:val="22"/>
          <w:szCs w:val="22"/>
        </w:rPr>
        <w:t xml:space="preserve">Por otro lado, frente a la obligación indemnizatoria de BBVA SEGUROS DE VIDA COLOMBIA S.A. debe decirse que se encuentra acreditada la prescripción de </w:t>
      </w:r>
      <w:r w:rsidRPr="00CA2CAD">
        <w:rPr>
          <w:rFonts w:ascii="Arial" w:hAnsi="Arial" w:cs="Arial"/>
          <w:color w:val="000000"/>
          <w:sz w:val="22"/>
          <w:szCs w:val="22"/>
        </w:rPr>
        <w:t>las acciones derivadas del contrato de seguro.</w:t>
      </w:r>
      <w:r w:rsidRPr="00CA2CAD">
        <w:rPr>
          <w:rFonts w:ascii="Arial" w:hAnsi="Arial" w:cs="Arial"/>
          <w:color w:val="000000"/>
          <w:sz w:val="22"/>
          <w:szCs w:val="22"/>
        </w:rPr>
        <w:t xml:space="preserve"> Lo anterior, considerando que </w:t>
      </w:r>
      <w:r w:rsidRPr="00CA2CAD">
        <w:rPr>
          <w:rFonts w:ascii="Arial" w:hAnsi="Arial" w:cs="Arial"/>
          <w:sz w:val="22"/>
          <w:szCs w:val="22"/>
        </w:rPr>
        <w:t xml:space="preserve">el </w:t>
      </w:r>
      <w:r w:rsidR="009F51E0" w:rsidRPr="00CA2CAD">
        <w:rPr>
          <w:rFonts w:ascii="Arial" w:hAnsi="Arial" w:cs="Arial"/>
          <w:sz w:val="22"/>
          <w:szCs w:val="22"/>
        </w:rPr>
        <w:t xml:space="preserve">hecho que da base a la acción, es decir, el </w:t>
      </w:r>
      <w:r w:rsidRPr="00CA2CAD">
        <w:rPr>
          <w:rFonts w:ascii="Arial" w:hAnsi="Arial" w:cs="Arial"/>
          <w:sz w:val="22"/>
          <w:szCs w:val="22"/>
        </w:rPr>
        <w:t xml:space="preserve">fallecimiento del asegurado, ocurrió el día </w:t>
      </w:r>
      <w:r w:rsidRPr="009E2078">
        <w:rPr>
          <w:rFonts w:ascii="Arial" w:hAnsi="Arial" w:cs="Arial"/>
          <w:bCs/>
          <w:sz w:val="22"/>
          <w:szCs w:val="22"/>
        </w:rPr>
        <w:t>31 de marzo de 2020</w:t>
      </w:r>
      <w:r w:rsidRPr="00CA2CAD">
        <w:rPr>
          <w:rFonts w:ascii="Arial" w:hAnsi="Arial" w:cs="Arial"/>
          <w:sz w:val="22"/>
          <w:szCs w:val="22"/>
        </w:rPr>
        <w:t xml:space="preserve">, </w:t>
      </w:r>
      <w:r w:rsidR="009F51E0" w:rsidRPr="00CA2CAD">
        <w:rPr>
          <w:rFonts w:ascii="Arial" w:hAnsi="Arial" w:cs="Arial"/>
          <w:sz w:val="22"/>
          <w:szCs w:val="22"/>
        </w:rPr>
        <w:t>desde aquella calenda la parte demandante contaba con dos años para interponer la demanda, pese a ello en esa época</w:t>
      </w:r>
      <w:r w:rsidRPr="00CA2CAD">
        <w:rPr>
          <w:rFonts w:ascii="Arial" w:hAnsi="Arial" w:cs="Arial"/>
          <w:sz w:val="22"/>
          <w:szCs w:val="22"/>
        </w:rPr>
        <w:t xml:space="preserve"> los términos se encontraban suspendidos por la emergencia sanitaria producida por el Covid-19, </w:t>
      </w:r>
      <w:r w:rsidR="009F51E0" w:rsidRPr="00CA2CAD">
        <w:rPr>
          <w:rFonts w:ascii="Arial" w:hAnsi="Arial" w:cs="Arial"/>
          <w:sz w:val="22"/>
          <w:szCs w:val="22"/>
        </w:rPr>
        <w:t xml:space="preserve">por lo que </w:t>
      </w:r>
      <w:r w:rsidRPr="00CA2CAD">
        <w:rPr>
          <w:rFonts w:ascii="Arial" w:hAnsi="Arial" w:cs="Arial"/>
          <w:sz w:val="22"/>
          <w:szCs w:val="22"/>
        </w:rPr>
        <w:t xml:space="preserve">el término empezó a correr desde el 1 de julio de 2020 y se consolidó el 1 de julio de 2022, </w:t>
      </w:r>
      <w:r w:rsidR="009F51E0" w:rsidRPr="00CA2CAD">
        <w:rPr>
          <w:rFonts w:ascii="Arial" w:hAnsi="Arial" w:cs="Arial"/>
          <w:sz w:val="22"/>
          <w:szCs w:val="22"/>
        </w:rPr>
        <w:t>y</w:t>
      </w:r>
      <w:r w:rsidRPr="00CA2CAD">
        <w:rPr>
          <w:rFonts w:ascii="Arial" w:hAnsi="Arial" w:cs="Arial"/>
          <w:sz w:val="22"/>
          <w:szCs w:val="22"/>
        </w:rPr>
        <w:t xml:space="preserve"> como la demanda tan solo se radicó hasta el 14 de agosto de 2023, lo cierto es que la prescripción ya se había consolidado con creces. Incluso si se considerara que la primera solicitud de indemnización que efectuó la señora María Teresa Quintana el día </w:t>
      </w:r>
      <w:r w:rsidRPr="009E2078">
        <w:rPr>
          <w:rFonts w:ascii="Arial" w:hAnsi="Arial" w:cs="Arial"/>
          <w:bCs/>
          <w:sz w:val="22"/>
          <w:szCs w:val="22"/>
        </w:rPr>
        <w:t>28 de mayo de 2020</w:t>
      </w:r>
      <w:r w:rsidRPr="00CA2CAD">
        <w:rPr>
          <w:rFonts w:ascii="Arial" w:hAnsi="Arial" w:cs="Arial"/>
          <w:sz w:val="22"/>
          <w:szCs w:val="22"/>
        </w:rPr>
        <w:t>, interrumpió el termino prescriptivo, lo cierto es que igualmente la prescripción inici</w:t>
      </w:r>
      <w:r w:rsidR="009F51E0" w:rsidRPr="00CA2CAD">
        <w:rPr>
          <w:rFonts w:ascii="Arial" w:hAnsi="Arial" w:cs="Arial"/>
          <w:sz w:val="22"/>
          <w:szCs w:val="22"/>
        </w:rPr>
        <w:t>ó</w:t>
      </w:r>
      <w:r w:rsidRPr="00CA2CAD">
        <w:rPr>
          <w:rFonts w:ascii="Arial" w:hAnsi="Arial" w:cs="Arial"/>
          <w:sz w:val="22"/>
          <w:szCs w:val="22"/>
        </w:rPr>
        <w:t xml:space="preserve"> su conteo desde el 1 de julio de 2020, día </w:t>
      </w:r>
      <w:r w:rsidR="009F51E0" w:rsidRPr="00CA2CAD">
        <w:rPr>
          <w:rFonts w:ascii="Arial" w:hAnsi="Arial" w:cs="Arial"/>
          <w:sz w:val="22"/>
          <w:szCs w:val="22"/>
        </w:rPr>
        <w:t>en que se reanudaron</w:t>
      </w:r>
      <w:r w:rsidRPr="00CA2CAD">
        <w:rPr>
          <w:rFonts w:ascii="Arial" w:hAnsi="Arial" w:cs="Arial"/>
          <w:sz w:val="22"/>
          <w:szCs w:val="22"/>
        </w:rPr>
        <w:t xml:space="preserve"> </w:t>
      </w:r>
      <w:r w:rsidR="009F51E0" w:rsidRPr="00CA2CAD">
        <w:rPr>
          <w:rFonts w:ascii="Arial" w:hAnsi="Arial" w:cs="Arial"/>
          <w:sz w:val="22"/>
          <w:szCs w:val="22"/>
        </w:rPr>
        <w:t>los</w:t>
      </w:r>
      <w:r w:rsidRPr="00CA2CAD">
        <w:rPr>
          <w:rFonts w:ascii="Arial" w:hAnsi="Arial" w:cs="Arial"/>
          <w:sz w:val="22"/>
          <w:szCs w:val="22"/>
        </w:rPr>
        <w:t xml:space="preserve"> términos </w:t>
      </w:r>
      <w:r w:rsidR="009F51E0" w:rsidRPr="00CA2CAD">
        <w:rPr>
          <w:rFonts w:ascii="Arial" w:hAnsi="Arial" w:cs="Arial"/>
          <w:sz w:val="22"/>
          <w:szCs w:val="22"/>
        </w:rPr>
        <w:t xml:space="preserve">después de la suspensión </w:t>
      </w:r>
      <w:r w:rsidRPr="00CA2CAD">
        <w:rPr>
          <w:rFonts w:ascii="Arial" w:hAnsi="Arial" w:cs="Arial"/>
          <w:sz w:val="22"/>
          <w:szCs w:val="22"/>
        </w:rPr>
        <w:t xml:space="preserve">por pandemia y por ende el conteo del término bienal de prescripción se consolidó </w:t>
      </w:r>
      <w:r w:rsidR="009F51E0" w:rsidRPr="00CA2CAD">
        <w:rPr>
          <w:rFonts w:ascii="Arial" w:hAnsi="Arial" w:cs="Arial"/>
          <w:sz w:val="22"/>
          <w:szCs w:val="22"/>
        </w:rPr>
        <w:t xml:space="preserve">igualmente </w:t>
      </w:r>
      <w:r w:rsidRPr="00CA2CAD">
        <w:rPr>
          <w:rFonts w:ascii="Arial" w:hAnsi="Arial" w:cs="Arial"/>
          <w:sz w:val="22"/>
          <w:szCs w:val="22"/>
        </w:rPr>
        <w:t xml:space="preserve">el </w:t>
      </w:r>
      <w:r w:rsidRPr="009E2078">
        <w:rPr>
          <w:rFonts w:ascii="Arial" w:hAnsi="Arial" w:cs="Arial"/>
          <w:b/>
          <w:bCs/>
          <w:sz w:val="22"/>
          <w:szCs w:val="22"/>
        </w:rPr>
        <w:t>1 de julio de 2022</w:t>
      </w:r>
      <w:r w:rsidRPr="00CA2CAD">
        <w:rPr>
          <w:rFonts w:ascii="Arial" w:hAnsi="Arial" w:cs="Arial"/>
          <w:sz w:val="22"/>
          <w:szCs w:val="22"/>
        </w:rPr>
        <w:t xml:space="preserve">. Por lo tanto, ni la solicitud de conciliación del 4 de octubre de 2022 logró suspender los términos prescriptivos y mucho menos la presentación de la demanda del 14 de agosto de 2023 interrumpió el término, pues </w:t>
      </w:r>
      <w:r w:rsidR="009F51E0" w:rsidRPr="00CA2CAD">
        <w:rPr>
          <w:rFonts w:ascii="Arial" w:hAnsi="Arial" w:cs="Arial"/>
          <w:sz w:val="22"/>
          <w:szCs w:val="22"/>
        </w:rPr>
        <w:t xml:space="preserve">aquel ya se había consolidado. </w:t>
      </w:r>
      <w:r w:rsidRPr="00CA2CAD">
        <w:rPr>
          <w:rFonts w:ascii="Arial" w:hAnsi="Arial" w:cs="Arial"/>
          <w:sz w:val="22"/>
          <w:szCs w:val="22"/>
        </w:rPr>
        <w:t xml:space="preserve">  </w:t>
      </w:r>
    </w:p>
    <w:p w14:paraId="67D5D986" w14:textId="7694472D" w:rsidR="0041368A" w:rsidRPr="00CA2CAD" w:rsidRDefault="0041368A" w:rsidP="00CA2CAD">
      <w:pPr>
        <w:pStyle w:val="NormalWeb"/>
        <w:jc w:val="both"/>
        <w:rPr>
          <w:rFonts w:ascii="Arial" w:hAnsi="Arial" w:cs="Arial"/>
          <w:color w:val="000000"/>
          <w:sz w:val="22"/>
          <w:szCs w:val="22"/>
        </w:rPr>
      </w:pPr>
      <w:r w:rsidRPr="00CA2CAD">
        <w:rPr>
          <w:rFonts w:ascii="Arial" w:hAnsi="Arial" w:cs="Arial"/>
          <w:color w:val="000000"/>
          <w:sz w:val="22"/>
          <w:szCs w:val="22"/>
        </w:rPr>
        <w:t xml:space="preserve">Todo lo anterior sin perjuicio del carácter contingente del proceso. </w:t>
      </w:r>
    </w:p>
    <w:p w14:paraId="1206DAE6" w14:textId="77777777" w:rsidR="0041368A" w:rsidRPr="00CA2CAD" w:rsidRDefault="0041368A" w:rsidP="0041368A">
      <w:pPr>
        <w:pStyle w:val="NormalWeb"/>
        <w:rPr>
          <w:rFonts w:ascii="Arial" w:hAnsi="Arial" w:cs="Arial"/>
          <w:b/>
          <w:bCs/>
          <w:color w:val="000000"/>
          <w:sz w:val="22"/>
          <w:szCs w:val="22"/>
        </w:rPr>
      </w:pPr>
      <w:r w:rsidRPr="00CA2CAD">
        <w:rPr>
          <w:rFonts w:ascii="Arial" w:hAnsi="Arial" w:cs="Arial"/>
          <w:b/>
          <w:bCs/>
          <w:color w:val="000000"/>
          <w:sz w:val="22"/>
          <w:szCs w:val="22"/>
        </w:rPr>
        <w:t>LIQUIDACIÓN OBJETIVADA DE LAS PRETENSIONES</w:t>
      </w:r>
    </w:p>
    <w:p w14:paraId="2C086EA4" w14:textId="77777777" w:rsidR="0041368A" w:rsidRPr="00CA2CAD" w:rsidRDefault="0041368A" w:rsidP="0041368A">
      <w:pPr>
        <w:pStyle w:val="NormalWeb"/>
        <w:rPr>
          <w:rFonts w:ascii="Arial" w:hAnsi="Arial" w:cs="Arial"/>
          <w:color w:val="000000"/>
          <w:sz w:val="22"/>
          <w:szCs w:val="22"/>
        </w:rPr>
      </w:pPr>
      <w:r w:rsidRPr="00CA2CAD">
        <w:rPr>
          <w:rFonts w:ascii="Arial" w:hAnsi="Arial" w:cs="Arial"/>
          <w:color w:val="000000"/>
          <w:sz w:val="22"/>
          <w:szCs w:val="22"/>
        </w:rPr>
        <w:t>A continuación, me permito precisar la liquidación objetiva de las pretensiones.</w:t>
      </w:r>
    </w:p>
    <w:p w14:paraId="5A894F2F" w14:textId="01295E02" w:rsidR="0041368A" w:rsidRPr="00CA2CAD" w:rsidRDefault="0041368A" w:rsidP="0041368A">
      <w:pPr>
        <w:pStyle w:val="NormalWeb"/>
        <w:rPr>
          <w:rFonts w:ascii="Arial" w:hAnsi="Arial" w:cs="Arial"/>
          <w:color w:val="000000"/>
          <w:sz w:val="22"/>
          <w:szCs w:val="22"/>
        </w:rPr>
      </w:pPr>
      <w:r w:rsidRPr="00CA2CAD">
        <w:rPr>
          <w:rFonts w:ascii="Arial" w:hAnsi="Arial" w:cs="Arial"/>
          <w:color w:val="000000"/>
          <w:sz w:val="22"/>
          <w:szCs w:val="22"/>
        </w:rPr>
        <w:t xml:space="preserve">Para este caso contemplamos el valor de </w:t>
      </w:r>
      <w:r w:rsidR="009F51E0" w:rsidRPr="00CA2CAD">
        <w:rPr>
          <w:rFonts w:ascii="Arial" w:hAnsi="Arial" w:cs="Arial"/>
          <w:color w:val="000000"/>
          <w:sz w:val="22"/>
          <w:szCs w:val="22"/>
        </w:rPr>
        <w:t xml:space="preserve"> </w:t>
      </w:r>
      <w:r w:rsidR="00CA2CAD" w:rsidRPr="00CA2CAD">
        <w:rPr>
          <w:rFonts w:ascii="Arial" w:hAnsi="Arial" w:cs="Arial"/>
          <w:color w:val="000000"/>
          <w:sz w:val="22"/>
          <w:szCs w:val="22"/>
        </w:rPr>
        <w:t xml:space="preserve">$177.365.697 </w:t>
      </w:r>
      <w:r w:rsidRPr="00CA2CAD">
        <w:rPr>
          <w:rFonts w:ascii="Arial" w:hAnsi="Arial" w:cs="Arial"/>
          <w:color w:val="000000"/>
          <w:sz w:val="22"/>
          <w:szCs w:val="22"/>
        </w:rPr>
        <w:t>como se procede a explicar:</w:t>
      </w:r>
    </w:p>
    <w:p w14:paraId="60AFB476" w14:textId="67BA4A25" w:rsidR="0041368A" w:rsidRPr="00CA2CAD" w:rsidRDefault="0041368A" w:rsidP="0041368A">
      <w:pPr>
        <w:pStyle w:val="NormalWeb"/>
        <w:rPr>
          <w:rFonts w:ascii="Arial" w:hAnsi="Arial" w:cs="Arial"/>
          <w:color w:val="000000"/>
          <w:sz w:val="22"/>
          <w:szCs w:val="22"/>
        </w:rPr>
      </w:pPr>
      <w:r w:rsidRPr="00CA2CAD">
        <w:rPr>
          <w:rFonts w:ascii="Arial" w:hAnsi="Arial" w:cs="Arial"/>
          <w:color w:val="000000"/>
          <w:sz w:val="22"/>
          <w:szCs w:val="22"/>
        </w:rPr>
        <w:t>● OBLIGACIÓN No. ***</w:t>
      </w:r>
      <w:r w:rsidR="009F51E0" w:rsidRPr="00CA2CAD">
        <w:rPr>
          <w:rFonts w:ascii="Arial" w:hAnsi="Arial" w:cs="Arial"/>
          <w:color w:val="000000"/>
          <w:sz w:val="22"/>
          <w:szCs w:val="22"/>
        </w:rPr>
        <w:t>6020</w:t>
      </w:r>
    </w:p>
    <w:p w14:paraId="4FAAEC68" w14:textId="19C6B180" w:rsidR="0041368A" w:rsidRPr="00CA2CAD" w:rsidRDefault="0041368A" w:rsidP="0041368A">
      <w:pPr>
        <w:pStyle w:val="NormalWeb"/>
        <w:rPr>
          <w:rFonts w:ascii="Arial" w:hAnsi="Arial" w:cs="Arial"/>
          <w:color w:val="000000"/>
          <w:sz w:val="22"/>
          <w:szCs w:val="22"/>
        </w:rPr>
      </w:pPr>
      <w:r w:rsidRPr="00CA2CAD">
        <w:rPr>
          <w:rFonts w:ascii="Arial" w:hAnsi="Arial" w:cs="Arial"/>
          <w:color w:val="000000"/>
          <w:sz w:val="22"/>
          <w:szCs w:val="22"/>
        </w:rPr>
        <w:t>-Valor asegurado: $</w:t>
      </w:r>
      <w:r w:rsidR="009F51E0" w:rsidRPr="00CA2CAD">
        <w:rPr>
          <w:rFonts w:ascii="Arial" w:hAnsi="Arial" w:cs="Arial"/>
          <w:color w:val="000000"/>
          <w:sz w:val="22"/>
          <w:szCs w:val="22"/>
        </w:rPr>
        <w:t>85.000.000</w:t>
      </w:r>
      <w:r w:rsidR="00CA2CAD" w:rsidRPr="00CA2CAD">
        <w:rPr>
          <w:rFonts w:ascii="Arial" w:hAnsi="Arial" w:cs="Arial"/>
          <w:color w:val="000000"/>
          <w:sz w:val="22"/>
          <w:szCs w:val="22"/>
        </w:rPr>
        <w:t xml:space="preserve"> (de acuerdo a la certificación emitida por la compañía, saldo insoluto a diciembre de 2020 y no a la fecha de muerte)</w:t>
      </w:r>
    </w:p>
    <w:p w14:paraId="6B3C2DF1" w14:textId="318D5E84" w:rsidR="0041368A" w:rsidRPr="00CA2CAD" w:rsidRDefault="0041368A" w:rsidP="0041368A">
      <w:pPr>
        <w:pStyle w:val="NormalWeb"/>
        <w:rPr>
          <w:rFonts w:ascii="Arial" w:hAnsi="Arial" w:cs="Arial"/>
          <w:color w:val="000000"/>
          <w:sz w:val="22"/>
          <w:szCs w:val="22"/>
        </w:rPr>
      </w:pPr>
      <w:r w:rsidRPr="00CA2CAD">
        <w:rPr>
          <w:rFonts w:ascii="Arial" w:hAnsi="Arial" w:cs="Arial"/>
          <w:color w:val="000000"/>
          <w:sz w:val="22"/>
          <w:szCs w:val="22"/>
        </w:rPr>
        <w:t xml:space="preserve">-Fecha inicial intereses: </w:t>
      </w:r>
      <w:r w:rsidR="009F51E0" w:rsidRPr="00CA2CAD">
        <w:rPr>
          <w:rFonts w:ascii="Arial" w:hAnsi="Arial" w:cs="Arial"/>
          <w:color w:val="000000"/>
          <w:sz w:val="22"/>
          <w:szCs w:val="22"/>
        </w:rPr>
        <w:t xml:space="preserve">28 de </w:t>
      </w:r>
      <w:r w:rsidR="00CA2CAD" w:rsidRPr="00CA2CAD">
        <w:rPr>
          <w:rFonts w:ascii="Arial" w:hAnsi="Arial" w:cs="Arial"/>
          <w:color w:val="000000"/>
          <w:sz w:val="22"/>
          <w:szCs w:val="22"/>
        </w:rPr>
        <w:t>junio</w:t>
      </w:r>
      <w:r w:rsidR="009F51E0" w:rsidRPr="00CA2CAD">
        <w:rPr>
          <w:rFonts w:ascii="Arial" w:hAnsi="Arial" w:cs="Arial"/>
          <w:color w:val="000000"/>
          <w:sz w:val="22"/>
          <w:szCs w:val="22"/>
        </w:rPr>
        <w:t xml:space="preserve"> de 2020</w:t>
      </w:r>
      <w:r w:rsidRPr="00CA2CAD">
        <w:rPr>
          <w:rFonts w:ascii="Arial" w:hAnsi="Arial" w:cs="Arial"/>
          <w:color w:val="000000"/>
          <w:sz w:val="22"/>
          <w:szCs w:val="22"/>
        </w:rPr>
        <w:t xml:space="preserve"> (tomamos </w:t>
      </w:r>
      <w:r w:rsidR="009F51E0" w:rsidRPr="00CA2CAD">
        <w:rPr>
          <w:rFonts w:ascii="Arial" w:hAnsi="Arial" w:cs="Arial"/>
          <w:color w:val="000000"/>
          <w:sz w:val="22"/>
          <w:szCs w:val="22"/>
        </w:rPr>
        <w:t xml:space="preserve">el mes siguiente a </w:t>
      </w:r>
      <w:r w:rsidRPr="00CA2CAD">
        <w:rPr>
          <w:rFonts w:ascii="Arial" w:hAnsi="Arial" w:cs="Arial"/>
          <w:color w:val="000000"/>
          <w:sz w:val="22"/>
          <w:szCs w:val="22"/>
        </w:rPr>
        <w:t xml:space="preserve">la </w:t>
      </w:r>
      <w:r w:rsidR="009F51E0" w:rsidRPr="00CA2CAD">
        <w:rPr>
          <w:rFonts w:ascii="Arial" w:hAnsi="Arial" w:cs="Arial"/>
          <w:color w:val="000000"/>
          <w:sz w:val="22"/>
          <w:szCs w:val="22"/>
        </w:rPr>
        <w:t>solicitud de indemnización)</w:t>
      </w:r>
    </w:p>
    <w:p w14:paraId="7EBB606C" w14:textId="103728BC" w:rsidR="0041368A" w:rsidRPr="00CA2CAD" w:rsidRDefault="0041368A" w:rsidP="0041368A">
      <w:pPr>
        <w:pStyle w:val="NormalWeb"/>
        <w:rPr>
          <w:rFonts w:ascii="Arial" w:hAnsi="Arial" w:cs="Arial"/>
          <w:color w:val="000000"/>
          <w:sz w:val="22"/>
          <w:szCs w:val="22"/>
        </w:rPr>
      </w:pPr>
      <w:r w:rsidRPr="00CA2CAD">
        <w:rPr>
          <w:rFonts w:ascii="Arial" w:hAnsi="Arial" w:cs="Arial"/>
          <w:color w:val="000000"/>
          <w:sz w:val="22"/>
          <w:szCs w:val="22"/>
        </w:rPr>
        <w:t xml:space="preserve">-Fecha final intereses: </w:t>
      </w:r>
      <w:r w:rsidR="009F51E0" w:rsidRPr="00CA2CAD">
        <w:rPr>
          <w:rFonts w:ascii="Arial" w:hAnsi="Arial" w:cs="Arial"/>
          <w:color w:val="000000"/>
          <w:sz w:val="22"/>
          <w:szCs w:val="22"/>
        </w:rPr>
        <w:t>31 de octubre de 2023</w:t>
      </w:r>
    </w:p>
    <w:p w14:paraId="21F6BD0C" w14:textId="317B74B9" w:rsidR="00A545E8" w:rsidRPr="00CA2CAD" w:rsidRDefault="0041368A" w:rsidP="00CA2CAD">
      <w:pPr>
        <w:pStyle w:val="NormalWeb"/>
        <w:rPr>
          <w:rFonts w:ascii="Arial" w:hAnsi="Arial" w:cs="Arial"/>
          <w:sz w:val="22"/>
          <w:szCs w:val="22"/>
        </w:rPr>
      </w:pPr>
      <w:r w:rsidRPr="00CA2CAD">
        <w:rPr>
          <w:rFonts w:ascii="Arial" w:hAnsi="Arial" w:cs="Arial"/>
          <w:color w:val="000000"/>
          <w:sz w:val="22"/>
          <w:szCs w:val="22"/>
        </w:rPr>
        <w:t xml:space="preserve">-Intereses moratorios: </w:t>
      </w:r>
      <w:r w:rsidR="00CA2CAD" w:rsidRPr="00CA2CAD">
        <w:rPr>
          <w:rFonts w:ascii="Arial" w:hAnsi="Arial" w:cs="Arial"/>
          <w:color w:val="000000"/>
          <w:sz w:val="22"/>
          <w:szCs w:val="22"/>
        </w:rPr>
        <w:t>$92.365.697</w:t>
      </w:r>
    </w:p>
    <w:sectPr w:rsidR="00A545E8" w:rsidRPr="00CA2C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5162348">
    <w:abstractNumId w:val="3"/>
  </w:num>
  <w:num w:numId="2" w16cid:durableId="2060400826">
    <w:abstractNumId w:val="1"/>
  </w:num>
  <w:num w:numId="3" w16cid:durableId="1173495706">
    <w:abstractNumId w:val="0"/>
  </w:num>
  <w:num w:numId="4" w16cid:durableId="1673604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8A"/>
    <w:rsid w:val="000522AB"/>
    <w:rsid w:val="00056EE0"/>
    <w:rsid w:val="000C1301"/>
    <w:rsid w:val="001A7FE8"/>
    <w:rsid w:val="001D5AA7"/>
    <w:rsid w:val="001E2CD5"/>
    <w:rsid w:val="001F1A2E"/>
    <w:rsid w:val="001F51AC"/>
    <w:rsid w:val="00281ABA"/>
    <w:rsid w:val="0035738E"/>
    <w:rsid w:val="00377046"/>
    <w:rsid w:val="00383A7C"/>
    <w:rsid w:val="003C132D"/>
    <w:rsid w:val="00400C68"/>
    <w:rsid w:val="0041368A"/>
    <w:rsid w:val="00483B31"/>
    <w:rsid w:val="004B16B1"/>
    <w:rsid w:val="004B3E21"/>
    <w:rsid w:val="004D010D"/>
    <w:rsid w:val="0057405B"/>
    <w:rsid w:val="00575AD9"/>
    <w:rsid w:val="005A11A4"/>
    <w:rsid w:val="007167F8"/>
    <w:rsid w:val="008B1DC8"/>
    <w:rsid w:val="00953437"/>
    <w:rsid w:val="00957714"/>
    <w:rsid w:val="009E2078"/>
    <w:rsid w:val="009F51E0"/>
    <w:rsid w:val="00A545E8"/>
    <w:rsid w:val="00CA2CAD"/>
    <w:rsid w:val="00D957AE"/>
    <w:rsid w:val="00DA2376"/>
    <w:rsid w:val="00DB20C5"/>
    <w:rsid w:val="00F250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F93D422"/>
  <w15:chartTrackingRefBased/>
  <w15:docId w15:val="{98E69A84-0DAA-E648-A600-E1F48CD9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383A7C"/>
    <w:pPr>
      <w:widowControl w:val="0"/>
      <w:autoSpaceDE w:val="0"/>
      <w:autoSpaceDN w:val="0"/>
      <w:ind w:left="821"/>
      <w:jc w:val="center"/>
      <w:outlineLvl w:val="0"/>
    </w:pPr>
    <w:rPr>
      <w:rFonts w:ascii="Arial" w:eastAsia="Calibri" w:hAnsi="Arial" w:cs="Calibri"/>
      <w:b/>
      <w:bCs/>
      <w:szCs w:val="21"/>
      <w:lang w:eastAsia="es-ES" w:bidi="es-ES"/>
    </w:rPr>
  </w:style>
  <w:style w:type="paragraph" w:styleId="Ttulo2">
    <w:name w:val="heading 2"/>
    <w:basedOn w:val="Normal"/>
    <w:link w:val="Ttulo2Car"/>
    <w:autoRedefine/>
    <w:uiPriority w:val="9"/>
    <w:qFormat/>
    <w:rsid w:val="00383A7C"/>
    <w:pPr>
      <w:spacing w:before="100" w:beforeAutospacing="1" w:after="100" w:afterAutospacing="1" w:line="360" w:lineRule="auto"/>
      <w:jc w:val="both"/>
      <w:outlineLvl w:val="1"/>
    </w:pPr>
    <w:rPr>
      <w:rFonts w:ascii="Arial" w:eastAsia="Times New Roman" w:hAnsi="Arial" w:cs="Times New Roman"/>
      <w:b/>
      <w:bCs/>
      <w:szCs w:val="36"/>
      <w:lang w:val="es-CO" w:eastAsia="es-MX"/>
    </w:rPr>
  </w:style>
  <w:style w:type="paragraph" w:styleId="Ttulo3">
    <w:name w:val="heading 3"/>
    <w:basedOn w:val="Normal"/>
    <w:link w:val="Ttulo3Car"/>
    <w:autoRedefine/>
    <w:uiPriority w:val="9"/>
    <w:unhideWhenUsed/>
    <w:qFormat/>
    <w:rsid w:val="007167F8"/>
    <w:pPr>
      <w:widowControl w:val="0"/>
      <w:autoSpaceDE w:val="0"/>
      <w:autoSpaceDN w:val="0"/>
      <w:spacing w:line="360" w:lineRule="auto"/>
      <w:jc w:val="both"/>
      <w:outlineLvl w:val="2"/>
    </w:pPr>
    <w:rPr>
      <w:rFonts w:ascii="Arial" w:eastAsia="Arial" w:hAnsi="Arial" w:cs="Arial"/>
      <w:b/>
      <w:bCs/>
      <w:kern w:val="0"/>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3A7C"/>
    <w:rPr>
      <w:rFonts w:ascii="Arial" w:eastAsia="Calibri" w:hAnsi="Arial" w:cs="Calibri"/>
      <w:b/>
      <w:bCs/>
      <w:szCs w:val="21"/>
      <w:lang w:val="es-ES" w:eastAsia="es-ES" w:bidi="es-ES"/>
    </w:rPr>
  </w:style>
  <w:style w:type="character" w:customStyle="1" w:styleId="Ttulo2Car">
    <w:name w:val="Título 2 Car"/>
    <w:basedOn w:val="Fuentedeprrafopredeter"/>
    <w:link w:val="Ttulo2"/>
    <w:uiPriority w:val="9"/>
    <w:rsid w:val="00383A7C"/>
    <w:rPr>
      <w:rFonts w:ascii="Arial" w:eastAsia="Times New Roman" w:hAnsi="Arial" w:cs="Times New Roman"/>
      <w:b/>
      <w:bCs/>
      <w:szCs w:val="36"/>
      <w:lang w:eastAsia="es-MX"/>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7167F8"/>
    <w:rPr>
      <w:rFonts w:ascii="Arial" w:eastAsia="Arial" w:hAnsi="Arial" w:cs="Arial"/>
      <w:b/>
      <w:bCs/>
      <w:kern w:val="0"/>
      <w:lang w:val="es-ES"/>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NormalWeb">
    <w:name w:val="Normal (Web)"/>
    <w:basedOn w:val="Normal"/>
    <w:uiPriority w:val="99"/>
    <w:unhideWhenUsed/>
    <w:rsid w:val="0041368A"/>
    <w:pPr>
      <w:spacing w:before="100" w:beforeAutospacing="1" w:after="100" w:afterAutospacing="1"/>
    </w:pPr>
    <w:rPr>
      <w:rFonts w:ascii="Times New Roman" w:eastAsia="Times New Roman" w:hAnsi="Times New Roman" w:cs="Times New Roman"/>
      <w:kern w:val="0"/>
      <w:lang w:val="es-CO"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2</cp:revision>
  <dcterms:created xsi:type="dcterms:W3CDTF">2023-10-30T23:03:00Z</dcterms:created>
  <dcterms:modified xsi:type="dcterms:W3CDTF">2023-10-30T23:28:00Z</dcterms:modified>
</cp:coreProperties>
</file>