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Spec="center" w:tblpY="-1422"/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317"/>
      </w:tblGrid>
      <w:tr w:rsidR="00AF3AD8" w:rsidRPr="00AF3AD8" w14:paraId="74DD5AF1" w14:textId="77777777" w:rsidTr="008B4C5D">
        <w:trPr>
          <w:trHeight w:val="547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8947" w14:textId="77777777" w:rsidR="00AF3AD8" w:rsidRPr="00AF3AD8" w:rsidRDefault="00AF3AD8" w:rsidP="00AF3AD8">
            <w:r w:rsidRPr="00AF3AD8">
              <w:rPr>
                <w:b/>
                <w:bCs/>
              </w:rPr>
              <w:t>AUTORIDAD </w:t>
            </w:r>
          </w:p>
        </w:tc>
        <w:tc>
          <w:tcPr>
            <w:tcW w:w="5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18AC" w14:textId="12B8027A" w:rsidR="00AF3AD8" w:rsidRPr="00AF3AD8" w:rsidRDefault="008543EC" w:rsidP="00AF3AD8">
            <w:r>
              <w:t xml:space="preserve">Juzgado </w:t>
            </w:r>
            <w:r w:rsidR="00C95DD2">
              <w:t>Cuarto Civil del Circuito de Popayán</w:t>
            </w:r>
          </w:p>
        </w:tc>
      </w:tr>
      <w:tr w:rsidR="00AF3AD8" w:rsidRPr="00AF3AD8" w14:paraId="2F5BA444" w14:textId="77777777" w:rsidTr="008B4C5D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D54C" w14:textId="77777777" w:rsidR="00AF3AD8" w:rsidRPr="00AF3AD8" w:rsidRDefault="00AF3AD8" w:rsidP="00AF3AD8">
            <w:r w:rsidRPr="00AF3AD8">
              <w:rPr>
                <w:b/>
                <w:bCs/>
              </w:rPr>
              <w:t>PROCESO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A74B" w14:textId="77973DB2" w:rsidR="00AF3AD8" w:rsidRPr="00AF3AD8" w:rsidRDefault="008543EC" w:rsidP="00AF3AD8">
            <w:r>
              <w:t>Verbal Responsabilidad Civil</w:t>
            </w:r>
            <w:r w:rsidR="00C95DD2">
              <w:t xml:space="preserve"> Extracontractual</w:t>
            </w:r>
          </w:p>
        </w:tc>
      </w:tr>
      <w:tr w:rsidR="00AF3AD8" w:rsidRPr="00AF3AD8" w14:paraId="52168554" w14:textId="77777777" w:rsidTr="008B4C5D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8B22" w14:textId="77777777" w:rsidR="00AF3AD8" w:rsidRPr="00AF3AD8" w:rsidRDefault="00AF3AD8" w:rsidP="00AF3AD8">
            <w:r w:rsidRPr="00AF3AD8">
              <w:rPr>
                <w:b/>
                <w:bCs/>
              </w:rPr>
              <w:t>DEMANDANTE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6F1D" w14:textId="77777777" w:rsidR="008543EC" w:rsidRDefault="00C95DD2" w:rsidP="003F7944">
            <w:pPr>
              <w:pStyle w:val="Prrafodelista"/>
              <w:numPr>
                <w:ilvl w:val="0"/>
                <w:numId w:val="7"/>
              </w:numPr>
            </w:pPr>
            <w:r>
              <w:t xml:space="preserve">Janeth Julissa Jaramillo Echeverry </w:t>
            </w:r>
          </w:p>
          <w:p w14:paraId="172ED774" w14:textId="19C01AD1" w:rsidR="00C95DD2" w:rsidRDefault="00C95DD2" w:rsidP="003F7944">
            <w:pPr>
              <w:pStyle w:val="Prrafodelista"/>
              <w:numPr>
                <w:ilvl w:val="0"/>
                <w:numId w:val="7"/>
              </w:numPr>
            </w:pPr>
            <w:proofErr w:type="spellStart"/>
            <w:r>
              <w:t>Sonny</w:t>
            </w:r>
            <w:proofErr w:type="spellEnd"/>
            <w:r>
              <w:t xml:space="preserve"> Lorena Jaramillo Echeverry</w:t>
            </w:r>
          </w:p>
          <w:p w14:paraId="73EFBB50" w14:textId="373780A9" w:rsidR="00C95DD2" w:rsidRDefault="00C95DD2" w:rsidP="003F7944">
            <w:pPr>
              <w:pStyle w:val="Prrafodelista"/>
              <w:numPr>
                <w:ilvl w:val="0"/>
                <w:numId w:val="7"/>
              </w:numPr>
            </w:pPr>
            <w:r>
              <w:t xml:space="preserve">Carlos Adolfo Jaramillo Echeverry </w:t>
            </w:r>
          </w:p>
          <w:p w14:paraId="752EBA0E" w14:textId="21A25CB5" w:rsidR="00C95DD2" w:rsidRDefault="00C95DD2" w:rsidP="003F7944">
            <w:pPr>
              <w:pStyle w:val="Prrafodelista"/>
              <w:numPr>
                <w:ilvl w:val="0"/>
                <w:numId w:val="7"/>
              </w:numPr>
            </w:pPr>
            <w:r>
              <w:t>Carlos Adán Jaramillo Mosquera</w:t>
            </w:r>
          </w:p>
          <w:p w14:paraId="0E1B8DAB" w14:textId="43FF0CC3" w:rsidR="00C95DD2" w:rsidRPr="00AF3AD8" w:rsidRDefault="00C95DD2" w:rsidP="00AF3AD8"/>
        </w:tc>
      </w:tr>
      <w:tr w:rsidR="00AF3AD8" w:rsidRPr="00AF3AD8" w14:paraId="6BFD0BD0" w14:textId="77777777" w:rsidTr="008B4C5D">
        <w:trPr>
          <w:trHeight w:val="87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C7CC" w14:textId="77777777" w:rsidR="00AF3AD8" w:rsidRPr="00AF3AD8" w:rsidRDefault="00AF3AD8" w:rsidP="00AF3AD8">
            <w:r w:rsidRPr="00AF3AD8">
              <w:rPr>
                <w:b/>
                <w:bCs/>
              </w:rPr>
              <w:t>DEMANDADO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9706" w14:textId="77777777" w:rsidR="008543EC" w:rsidRDefault="00C95DD2" w:rsidP="003F7944">
            <w:pPr>
              <w:pStyle w:val="Prrafodelista"/>
              <w:numPr>
                <w:ilvl w:val="0"/>
                <w:numId w:val="8"/>
              </w:numPr>
            </w:pPr>
            <w:r>
              <w:t>CARLOS FRANCO NARVÁEZ CHAVES</w:t>
            </w:r>
          </w:p>
          <w:p w14:paraId="5CDD145C" w14:textId="77777777" w:rsidR="00C95DD2" w:rsidRDefault="00C95DD2" w:rsidP="003F7944">
            <w:pPr>
              <w:pStyle w:val="Prrafodelista"/>
              <w:numPr>
                <w:ilvl w:val="0"/>
                <w:numId w:val="8"/>
              </w:numPr>
            </w:pPr>
            <w:r>
              <w:t>JANIER QUIÑONEZ RODRÍGUEZ</w:t>
            </w:r>
          </w:p>
          <w:p w14:paraId="31FD7914" w14:textId="77777777" w:rsidR="00C95DD2" w:rsidRDefault="00C95DD2" w:rsidP="003F7944">
            <w:pPr>
              <w:pStyle w:val="Prrafodelista"/>
              <w:numPr>
                <w:ilvl w:val="0"/>
                <w:numId w:val="8"/>
              </w:numPr>
            </w:pPr>
            <w:r>
              <w:t>LUZ LORENA GALLEGO YANZA</w:t>
            </w:r>
          </w:p>
          <w:p w14:paraId="3562E6D1" w14:textId="77777777" w:rsidR="00C95DD2" w:rsidRDefault="00C95DD2" w:rsidP="003F7944">
            <w:pPr>
              <w:pStyle w:val="Prrafodelista"/>
              <w:numPr>
                <w:ilvl w:val="0"/>
                <w:numId w:val="8"/>
              </w:numPr>
            </w:pPr>
            <w:r>
              <w:t xml:space="preserve">LIBERTY SEGUROS S.A. </w:t>
            </w:r>
          </w:p>
          <w:p w14:paraId="5CA61EEB" w14:textId="07E1940E" w:rsidR="00C95DD2" w:rsidRPr="00AF3AD8" w:rsidRDefault="00C95DD2" w:rsidP="003F7944">
            <w:pPr>
              <w:pStyle w:val="Prrafodelista"/>
              <w:numPr>
                <w:ilvl w:val="0"/>
                <w:numId w:val="8"/>
              </w:numPr>
            </w:pPr>
            <w:r>
              <w:t>AXA COLPATRIA SEGUROS S.A.</w:t>
            </w:r>
          </w:p>
        </w:tc>
      </w:tr>
      <w:tr w:rsidR="00AF3AD8" w:rsidRPr="00AF3AD8" w14:paraId="67BF4749" w14:textId="77777777" w:rsidTr="008B4C5D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20B9" w14:textId="77777777" w:rsidR="00AF3AD8" w:rsidRPr="00AF3AD8" w:rsidRDefault="00AF3AD8" w:rsidP="00AF3AD8">
            <w:r w:rsidRPr="00AF3AD8">
              <w:rPr>
                <w:b/>
                <w:bCs/>
              </w:rPr>
              <w:t>RADICADO 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4447" w14:textId="509D5423" w:rsidR="00AF3AD8" w:rsidRPr="00AF3AD8" w:rsidRDefault="00C95DD2" w:rsidP="00AF3AD8">
            <w:r>
              <w:t>19001-31-03-004-2023-00134-00</w:t>
            </w:r>
          </w:p>
        </w:tc>
      </w:tr>
      <w:tr w:rsidR="00AF3AD8" w:rsidRPr="00AF3AD8" w14:paraId="361F3023" w14:textId="77777777" w:rsidTr="00D33410">
        <w:trPr>
          <w:trHeight w:val="1398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A026" w14:textId="77777777" w:rsidR="00AF3AD8" w:rsidRPr="00AF3AD8" w:rsidRDefault="00AF3AD8" w:rsidP="00AF3AD8">
            <w:r w:rsidRPr="00AF3AD8">
              <w:rPr>
                <w:b/>
                <w:bCs/>
              </w:rPr>
              <w:t>SENTENCIA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EAB4" w14:textId="57381A62" w:rsidR="008543EC" w:rsidRDefault="008543EC" w:rsidP="00854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Sentencia de Primera instancia</w:t>
            </w:r>
            <w:r w:rsidR="00C95DD2">
              <w:rPr>
                <w:b/>
                <w:bCs/>
              </w:rPr>
              <w:t xml:space="preserve"> (anticipada)</w:t>
            </w:r>
          </w:p>
          <w:p w14:paraId="5212596A" w14:textId="69E4C08C" w:rsidR="00C95DD2" w:rsidRDefault="00C95DD2" w:rsidP="00C95DD2">
            <w:pPr>
              <w:jc w:val="both"/>
            </w:pPr>
            <w:r>
              <w:rPr>
                <w:b/>
                <w:bCs/>
              </w:rPr>
              <w:t xml:space="preserve">PRIMERO: </w:t>
            </w:r>
            <w:r>
              <w:t xml:space="preserve">declarar probadas las excepciones de mérito denominada “prescripción ordinaria y extraordinaria de las acciones derivadas del contrato de </w:t>
            </w:r>
            <w:r w:rsidR="00D118C1">
              <w:t>S</w:t>
            </w:r>
            <w:r>
              <w:t xml:space="preserve">eguro obligatorio (sic) de accidentes de tránsito- SOAT” y “prescripción de la acción derivada del contrato de seguro”, alegadas por Liberty Seguros S.A., hoy HDI Seguros Colombia </w:t>
            </w:r>
            <w:r>
              <w:lastRenderedPageBreak/>
              <w:t xml:space="preserve">S.A., y AXA COLPATRIA SEGUROS S.A., respectivamente. </w:t>
            </w:r>
          </w:p>
          <w:p w14:paraId="5CD7D15C" w14:textId="5AE35E78" w:rsidR="00DA091A" w:rsidRDefault="00DA091A" w:rsidP="00C95DD2">
            <w:pPr>
              <w:jc w:val="both"/>
            </w:pPr>
            <w:r>
              <w:rPr>
                <w:b/>
                <w:bCs/>
              </w:rPr>
              <w:t xml:space="preserve">SEGUNDO: </w:t>
            </w:r>
            <w:r>
              <w:t xml:space="preserve">DESESTIMAR en consecuencia las pretensiones de la demanda formulada por Janeth Julias Jaramillo Echeverry, Sony Lorena Jaramillo Echeverry, Carlos Adolfo Jaramillo Echeverry y Carlos Adán Jaramillo Mosquera, en contra de Liberty Seguros S.A. hoy HDI seguros Colombia S.A., y AXA Colpatria Seguros S.A. </w:t>
            </w:r>
          </w:p>
          <w:p w14:paraId="3295AFD9" w14:textId="4324C988" w:rsidR="00DA091A" w:rsidRDefault="00DA091A" w:rsidP="00C95DD2">
            <w:pPr>
              <w:jc w:val="both"/>
            </w:pPr>
            <w:r>
              <w:rPr>
                <w:b/>
                <w:bCs/>
              </w:rPr>
              <w:t xml:space="preserve">TERCERO: CONDENAR </w:t>
            </w:r>
            <w:r>
              <w:t xml:space="preserve">Janeth Julias Jaramillo Echeverry, Sony Lorena Jaramillo Echeverry, Carlos Adolfo Jaramillo Echeverry y Carlos Adán Jaramillo Mosquera, a pagar las costas de este proceso, a favor de HDI Seguros Colombia S.A., y AXA Colpatria Seguros S.A., en cuya liquidación se incluirá la suma de $17.250.000 por concepto de agencias en derecho. </w:t>
            </w:r>
          </w:p>
          <w:p w14:paraId="7DFC4B6F" w14:textId="77777777" w:rsidR="00DA091A" w:rsidRDefault="00DA091A" w:rsidP="00C95DD2">
            <w:pPr>
              <w:jc w:val="both"/>
            </w:pPr>
          </w:p>
          <w:p w14:paraId="66383EB6" w14:textId="3387DB7E" w:rsidR="00DA091A" w:rsidRPr="00DA091A" w:rsidRDefault="00DA091A" w:rsidP="00C95DD2">
            <w:pPr>
              <w:jc w:val="both"/>
            </w:pPr>
            <w:r>
              <w:t xml:space="preserve"> </w:t>
            </w:r>
          </w:p>
          <w:p w14:paraId="4DA460B7" w14:textId="0A776C98" w:rsidR="008543EC" w:rsidRPr="008543EC" w:rsidRDefault="008543EC" w:rsidP="00C95DD2">
            <w:pPr>
              <w:jc w:val="both"/>
            </w:pPr>
          </w:p>
        </w:tc>
      </w:tr>
      <w:tr w:rsidR="00AF3AD8" w:rsidRPr="00AF3AD8" w14:paraId="585C15C3" w14:textId="77777777" w:rsidTr="008B4C5D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7884" w14:textId="169A3751" w:rsidR="00AF3AD8" w:rsidRPr="00AF3AD8" w:rsidRDefault="00D33410" w:rsidP="00AF3AD8">
            <w:r w:rsidRPr="00AF3AD8">
              <w:rPr>
                <w:b/>
                <w:bCs/>
              </w:rPr>
              <w:lastRenderedPageBreak/>
              <w:t>TOTAL,</w:t>
            </w:r>
            <w:r w:rsidR="00AF3AD8" w:rsidRPr="00AF3AD8">
              <w:rPr>
                <w:b/>
                <w:bCs/>
              </w:rPr>
              <w:t xml:space="preserve"> COSTAS PROCESALES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5CEE" w14:textId="38A4C1B1" w:rsidR="00AF3AD8" w:rsidRPr="00AF3AD8" w:rsidRDefault="00DA091A" w:rsidP="00AF3AD8">
            <w:r>
              <w:t>$17.250.000</w:t>
            </w:r>
          </w:p>
        </w:tc>
      </w:tr>
      <w:tr w:rsidR="00AF3AD8" w:rsidRPr="00AF3AD8" w14:paraId="2412A11F" w14:textId="77777777" w:rsidTr="003F7944">
        <w:trPr>
          <w:trHeight w:val="6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CB0E" w14:textId="77777777" w:rsidR="00AF3AD8" w:rsidRPr="00AF3AD8" w:rsidRDefault="00AF3AD8" w:rsidP="00AF3AD8">
            <w:r w:rsidRPr="00AF3AD8">
              <w:rPr>
                <w:b/>
                <w:bCs/>
              </w:rPr>
              <w:t>ANÁLISIS VIABILIDAD COBRO DE COSTAS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96DE" w14:textId="4574EC96" w:rsidR="008543EC" w:rsidRDefault="008543EC" w:rsidP="008543EC">
            <w:pPr>
              <w:jc w:val="both"/>
            </w:pPr>
            <w:r>
              <w:t xml:space="preserve">El valor que corresponde a </w:t>
            </w:r>
            <w:r w:rsidR="00030CED">
              <w:t xml:space="preserve">HDI SEGUROS COLOMBIA </w:t>
            </w:r>
            <w:r>
              <w:t xml:space="preserve">S.A., frente a la condena en costas </w:t>
            </w:r>
            <w:r>
              <w:lastRenderedPageBreak/>
              <w:t>procesales es de $</w:t>
            </w:r>
            <w:r w:rsidR="00030CED">
              <w:t>8.625.000</w:t>
            </w:r>
            <w:r>
              <w:t xml:space="preserve">. A este valor se llegó tomando la </w:t>
            </w:r>
            <w:r w:rsidR="00030CED">
              <w:t xml:space="preserve">mitad </w:t>
            </w:r>
            <w:r>
              <w:t xml:space="preserve">del valor de la liquidación de las </w:t>
            </w:r>
            <w:r w:rsidR="00030CED">
              <w:t>agencias en derecho fijadas por el Despacho en la Sentencia anticipada</w:t>
            </w:r>
            <w:r>
              <w:t>, teniendo en cuenta que dicha condena es a favor de</w:t>
            </w:r>
            <w:r w:rsidR="00030CED">
              <w:t xml:space="preserve"> las dos compañías aseguradoras, es decir HDI SEGUROS COLOMBIA S.A. y AXA COLPATRIA SEGUROS S.A</w:t>
            </w:r>
            <w:r>
              <w:t xml:space="preserve">. </w:t>
            </w:r>
          </w:p>
          <w:p w14:paraId="4269C389" w14:textId="18CCB321" w:rsidR="00AF3AD8" w:rsidRDefault="008543EC" w:rsidP="008543EC">
            <w:pPr>
              <w:jc w:val="both"/>
            </w:pPr>
            <w:r>
              <w:t xml:space="preserve">Ahora bien, </w:t>
            </w:r>
            <w:r w:rsidR="00B76014">
              <w:t xml:space="preserve">debe </w:t>
            </w:r>
            <w:r>
              <w:t xml:space="preserve">tomarse </w:t>
            </w:r>
            <w:r w:rsidR="00B76014">
              <w:t xml:space="preserve">en cuenta que se trata de un grupo </w:t>
            </w:r>
            <w:r w:rsidR="00972D4E">
              <w:t xml:space="preserve">de 4 </w:t>
            </w:r>
            <w:r w:rsidR="00B76014">
              <w:t>demandante</w:t>
            </w:r>
            <w:r w:rsidR="00972D4E">
              <w:t>s</w:t>
            </w:r>
            <w:r w:rsidR="00B76014">
              <w:t xml:space="preserve"> los que fueron condenados en costas, </w:t>
            </w:r>
            <w:r w:rsidR="006B5416">
              <w:t xml:space="preserve">y quienes asumen de manera solidaria el valor de dicha condena, a saber: </w:t>
            </w:r>
          </w:p>
          <w:p w14:paraId="082A9BB2" w14:textId="44AD4582" w:rsidR="00B76014" w:rsidRDefault="00972D4E" w:rsidP="00B76014">
            <w:pPr>
              <w:pStyle w:val="Prrafodelista"/>
              <w:numPr>
                <w:ilvl w:val="0"/>
                <w:numId w:val="6"/>
              </w:numPr>
            </w:pPr>
            <w:r>
              <w:t>Janeth Julissa Jaramillo Echeverry</w:t>
            </w:r>
          </w:p>
          <w:p w14:paraId="157C8AF2" w14:textId="69F5EAB3" w:rsidR="00972D4E" w:rsidRDefault="00972D4E" w:rsidP="00B76014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t>Sonny</w:t>
            </w:r>
            <w:proofErr w:type="spellEnd"/>
            <w:r>
              <w:t xml:space="preserve"> Lorena Jaramillo Echeverry</w:t>
            </w:r>
          </w:p>
          <w:p w14:paraId="35A24208" w14:textId="7145CBB6" w:rsidR="00972D4E" w:rsidRDefault="00972D4E" w:rsidP="00B76014">
            <w:pPr>
              <w:pStyle w:val="Prrafodelista"/>
              <w:numPr>
                <w:ilvl w:val="0"/>
                <w:numId w:val="6"/>
              </w:numPr>
            </w:pPr>
            <w:r>
              <w:t>Carlos Adolfo Jaramillo Echeverry</w:t>
            </w:r>
          </w:p>
          <w:p w14:paraId="5BADB06F" w14:textId="1A039631" w:rsidR="00972D4E" w:rsidRDefault="00972D4E" w:rsidP="00B76014">
            <w:pPr>
              <w:pStyle w:val="Prrafodelista"/>
              <w:numPr>
                <w:ilvl w:val="0"/>
                <w:numId w:val="6"/>
              </w:numPr>
            </w:pPr>
            <w:r>
              <w:t>Carlos Adán Jaramillo Mosquera</w:t>
            </w:r>
          </w:p>
          <w:p w14:paraId="07FA3842" w14:textId="0B38CA66" w:rsidR="00B76014" w:rsidRDefault="006B5416" w:rsidP="006B5416">
            <w:pPr>
              <w:jc w:val="both"/>
            </w:pPr>
            <w:r>
              <w:t>Una vez revisada la plataforma ADRES y revisado el sistema de consulta de la Superintendencia de Notariado y Registro, encontramos la siguiente información:</w:t>
            </w:r>
          </w:p>
          <w:p w14:paraId="35A5BA3D" w14:textId="77777777" w:rsidR="00972D4E" w:rsidRDefault="00972D4E" w:rsidP="006B5416">
            <w:pPr>
              <w:jc w:val="both"/>
            </w:pPr>
          </w:p>
          <w:p w14:paraId="3D128275" w14:textId="77777777" w:rsidR="003F7944" w:rsidRDefault="003F7944" w:rsidP="006B5416">
            <w:pPr>
              <w:jc w:val="both"/>
            </w:pPr>
          </w:p>
          <w:p w14:paraId="14A75CD5" w14:textId="77777777" w:rsidR="003F7944" w:rsidRDefault="003F7944" w:rsidP="006B5416">
            <w:pPr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1434"/>
              <w:gridCol w:w="2306"/>
            </w:tblGrid>
            <w:tr w:rsidR="00B76014" w14:paraId="74C42C01" w14:textId="77777777" w:rsidTr="00972D4E">
              <w:tc>
                <w:tcPr>
                  <w:tcW w:w="1351" w:type="dxa"/>
                </w:tcPr>
                <w:p w14:paraId="3C53C16C" w14:textId="2E47D663" w:rsidR="00B76014" w:rsidRPr="00B76014" w:rsidRDefault="00B76014" w:rsidP="00030CED">
                  <w:pPr>
                    <w:framePr w:hSpace="141" w:wrap="around" w:hAnchor="page" w:xAlign="center" w:y="-142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Nombre</w:t>
                  </w:r>
                </w:p>
              </w:tc>
              <w:tc>
                <w:tcPr>
                  <w:tcW w:w="1434" w:type="dxa"/>
                </w:tcPr>
                <w:p w14:paraId="74302120" w14:textId="13B492D9" w:rsidR="00B76014" w:rsidRPr="00B76014" w:rsidRDefault="00B76014" w:rsidP="00030CED">
                  <w:pPr>
                    <w:framePr w:hSpace="141" w:wrap="around" w:hAnchor="page" w:xAlign="center" w:y="-142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</w:t>
                  </w:r>
                </w:p>
              </w:tc>
              <w:tc>
                <w:tcPr>
                  <w:tcW w:w="2306" w:type="dxa"/>
                </w:tcPr>
                <w:p w14:paraId="7573C11B" w14:textId="530F9745" w:rsidR="00B76014" w:rsidRPr="00B76014" w:rsidRDefault="004E5B23" w:rsidP="00030CED">
                  <w:pPr>
                    <w:framePr w:hSpace="141" w:wrap="around" w:hAnchor="page" w:xAlign="center" w:y="-142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SUPERNOTARIADO</w:t>
                  </w:r>
                </w:p>
              </w:tc>
            </w:tr>
            <w:tr w:rsidR="00B76014" w14:paraId="458E6000" w14:textId="77777777" w:rsidTr="00972D4E">
              <w:tc>
                <w:tcPr>
                  <w:tcW w:w="1351" w:type="dxa"/>
                </w:tcPr>
                <w:p w14:paraId="24D924AA" w14:textId="6795B21E" w:rsidR="00B76014" w:rsidRDefault="00A21004" w:rsidP="00030CED">
                  <w:pPr>
                    <w:framePr w:hSpace="141" w:wrap="around" w:hAnchor="page" w:xAlign="center" w:y="-1422"/>
                  </w:pPr>
                  <w:r>
                    <w:t>Janeth Julissa Jaramillo Echeverry</w:t>
                  </w:r>
                </w:p>
              </w:tc>
              <w:tc>
                <w:tcPr>
                  <w:tcW w:w="1434" w:type="dxa"/>
                </w:tcPr>
                <w:p w14:paraId="396062CD" w14:textId="106691DE" w:rsidR="00B76014" w:rsidRDefault="00A21004" w:rsidP="00030CED">
                  <w:pPr>
                    <w:framePr w:hSpace="141" w:wrap="around" w:hAnchor="page" w:xAlign="center" w:y="-1422"/>
                  </w:pPr>
                  <w:r>
                    <w:t>Cotizante</w:t>
                  </w:r>
                </w:p>
              </w:tc>
              <w:tc>
                <w:tcPr>
                  <w:tcW w:w="2306" w:type="dxa"/>
                </w:tcPr>
                <w:p w14:paraId="41BB3288" w14:textId="265AE155" w:rsidR="00B76014" w:rsidRDefault="00637FBC" w:rsidP="00030CED">
                  <w:pPr>
                    <w:framePr w:hSpace="141" w:wrap="around" w:hAnchor="page" w:xAlign="center" w:y="-1422"/>
                  </w:pPr>
                  <w:r>
                    <w:t>Sin resultados</w:t>
                  </w:r>
                </w:p>
              </w:tc>
            </w:tr>
            <w:tr w:rsidR="00B76014" w14:paraId="13B6834F" w14:textId="77777777" w:rsidTr="00972D4E">
              <w:tc>
                <w:tcPr>
                  <w:tcW w:w="1351" w:type="dxa"/>
                </w:tcPr>
                <w:p w14:paraId="0205BC9E" w14:textId="7E49030C" w:rsidR="00B76014" w:rsidRDefault="00A21004" w:rsidP="00030CED">
                  <w:pPr>
                    <w:framePr w:hSpace="141" w:wrap="around" w:hAnchor="page" w:xAlign="center" w:y="-1422"/>
                  </w:pPr>
                  <w:proofErr w:type="spellStart"/>
                  <w:r>
                    <w:t>Sonny</w:t>
                  </w:r>
                  <w:proofErr w:type="spellEnd"/>
                  <w:r>
                    <w:t xml:space="preserve"> Lorena Jaramillo Echeverry</w:t>
                  </w:r>
                </w:p>
              </w:tc>
              <w:tc>
                <w:tcPr>
                  <w:tcW w:w="1434" w:type="dxa"/>
                </w:tcPr>
                <w:p w14:paraId="312199FE" w14:textId="4F49B13B" w:rsidR="00B76014" w:rsidRDefault="006B5416" w:rsidP="00030CED">
                  <w:pPr>
                    <w:framePr w:hSpace="141" w:wrap="around" w:hAnchor="page" w:xAlign="center" w:y="-1422"/>
                  </w:pPr>
                  <w:r>
                    <w:t xml:space="preserve">Régimen </w:t>
                  </w:r>
                  <w:r w:rsidR="004E5B23">
                    <w:t>subsidiado</w:t>
                  </w:r>
                </w:p>
              </w:tc>
              <w:tc>
                <w:tcPr>
                  <w:tcW w:w="2306" w:type="dxa"/>
                </w:tcPr>
                <w:p w14:paraId="711D7FA3" w14:textId="5FBD7319" w:rsidR="00B76014" w:rsidRDefault="00637FBC" w:rsidP="00030CED">
                  <w:pPr>
                    <w:framePr w:hSpace="141" w:wrap="around" w:hAnchor="page" w:xAlign="center" w:y="-1422"/>
                  </w:pPr>
                  <w:r>
                    <w:t>Sin resultados</w:t>
                  </w:r>
                </w:p>
              </w:tc>
            </w:tr>
            <w:tr w:rsidR="00B76014" w14:paraId="6F68097A" w14:textId="77777777" w:rsidTr="00972D4E">
              <w:tc>
                <w:tcPr>
                  <w:tcW w:w="1351" w:type="dxa"/>
                </w:tcPr>
                <w:p w14:paraId="5BD8212C" w14:textId="2E9A82E9" w:rsidR="00B76014" w:rsidRDefault="00A21004" w:rsidP="00030CED">
                  <w:pPr>
                    <w:framePr w:hSpace="141" w:wrap="around" w:hAnchor="page" w:xAlign="center" w:y="-1422"/>
                  </w:pPr>
                  <w:r>
                    <w:t>Carlos Adolfo Jaramillo</w:t>
                  </w:r>
                </w:p>
              </w:tc>
              <w:tc>
                <w:tcPr>
                  <w:tcW w:w="1434" w:type="dxa"/>
                </w:tcPr>
                <w:p w14:paraId="0D7D8D06" w14:textId="100EECFD" w:rsidR="00B76014" w:rsidRDefault="00A21004" w:rsidP="00030CED">
                  <w:pPr>
                    <w:framePr w:hSpace="141" w:wrap="around" w:hAnchor="page" w:xAlign="center" w:y="-1422"/>
                  </w:pPr>
                  <w:r>
                    <w:t>Cotizante (retirado)</w:t>
                  </w:r>
                </w:p>
              </w:tc>
              <w:tc>
                <w:tcPr>
                  <w:tcW w:w="2306" w:type="dxa"/>
                </w:tcPr>
                <w:p w14:paraId="2497D235" w14:textId="6C50E187" w:rsidR="00B76014" w:rsidRDefault="00637FBC" w:rsidP="00030CED">
                  <w:pPr>
                    <w:framePr w:hSpace="141" w:wrap="around" w:hAnchor="page" w:xAlign="center" w:y="-1422"/>
                  </w:pPr>
                  <w:r>
                    <w:t>Sin resultados</w:t>
                  </w:r>
                </w:p>
              </w:tc>
            </w:tr>
            <w:tr w:rsidR="00B76014" w14:paraId="4EAE32FD" w14:textId="77777777" w:rsidTr="00972D4E">
              <w:tc>
                <w:tcPr>
                  <w:tcW w:w="1351" w:type="dxa"/>
                </w:tcPr>
                <w:p w14:paraId="05407F71" w14:textId="4EC395E9" w:rsidR="00B76014" w:rsidRDefault="00972D4E" w:rsidP="00030CED">
                  <w:pPr>
                    <w:framePr w:hSpace="141" w:wrap="around" w:hAnchor="page" w:xAlign="center" w:y="-1422"/>
                  </w:pPr>
                  <w:r>
                    <w:t xml:space="preserve">Carlos </w:t>
                  </w:r>
                  <w:r w:rsidR="00A21004">
                    <w:t>Adán Jaramillo Mosquera</w:t>
                  </w:r>
                </w:p>
              </w:tc>
              <w:tc>
                <w:tcPr>
                  <w:tcW w:w="1434" w:type="dxa"/>
                </w:tcPr>
                <w:p w14:paraId="1665B7BE" w14:textId="63DBB032" w:rsidR="00B76014" w:rsidRDefault="00A21004" w:rsidP="00030CED">
                  <w:pPr>
                    <w:framePr w:hSpace="141" w:wrap="around" w:hAnchor="page" w:xAlign="center" w:y="-1422"/>
                  </w:pPr>
                  <w:r>
                    <w:t xml:space="preserve">Magisterio </w:t>
                  </w:r>
                </w:p>
              </w:tc>
              <w:tc>
                <w:tcPr>
                  <w:tcW w:w="2306" w:type="dxa"/>
                </w:tcPr>
                <w:p w14:paraId="5746B582" w14:textId="7E0AEDF0" w:rsidR="00B76014" w:rsidRDefault="00A21004" w:rsidP="00030CED">
                  <w:pPr>
                    <w:framePr w:hSpace="141" w:wrap="around" w:hAnchor="page" w:xAlign="center" w:y="-1422"/>
                  </w:pPr>
                  <w:r>
                    <w:t>Si. Un inmueble</w:t>
                  </w:r>
                </w:p>
              </w:tc>
            </w:tr>
          </w:tbl>
          <w:p w14:paraId="78BCFCC9" w14:textId="335A2D63" w:rsidR="00B76014" w:rsidRDefault="00B76014" w:rsidP="00B76014"/>
          <w:p w14:paraId="755E5B9F" w14:textId="71EB2044" w:rsidR="00F80982" w:rsidRPr="00AF3AD8" w:rsidRDefault="002C7FF6" w:rsidP="002C7FF6">
            <w:pPr>
              <w:jc w:val="both"/>
            </w:pPr>
            <w:r>
              <w:t>En ese sentido y como quiera q</w:t>
            </w:r>
            <w:r w:rsidR="00E83F11">
              <w:t>ue hay</w:t>
            </w:r>
            <w:r w:rsidR="00AE0853">
              <w:t xml:space="preserve"> un bien inmueble que se puede perseguir como garantía del pago, y que al menos uno de los demandantes está afilado al régimen contributivo en salud</w:t>
            </w:r>
            <w:r>
              <w:t xml:space="preserve">, es decir, </w:t>
            </w:r>
            <w:r w:rsidR="00AE0853">
              <w:t xml:space="preserve">devenga </w:t>
            </w:r>
            <w:r>
              <w:t>un salario derivado de una relación de trabajo formal</w:t>
            </w:r>
            <w:r w:rsidR="00AE0853">
              <w:t xml:space="preserve"> o realiza aportes en salud</w:t>
            </w:r>
            <w:r>
              <w:t xml:space="preserve">, resulta </w:t>
            </w:r>
            <w:r w:rsidRPr="002C7FF6">
              <w:rPr>
                <w:b/>
                <w:bCs/>
                <w:u w:val="single"/>
              </w:rPr>
              <w:t>viable</w:t>
            </w:r>
            <w:r>
              <w:t xml:space="preserve"> el cobro de costas a favor de </w:t>
            </w:r>
            <w:r w:rsidR="00AE0853">
              <w:t xml:space="preserve">HDI SEGUROS COLOMBIA </w:t>
            </w:r>
            <w:r w:rsidR="00BB03BA">
              <w:t>S.A.</w:t>
            </w:r>
            <w:r>
              <w:t xml:space="preserve"> </w:t>
            </w:r>
          </w:p>
          <w:p w14:paraId="4C4F94F7" w14:textId="77777777" w:rsidR="00AF3AD8" w:rsidRPr="00AF3AD8" w:rsidRDefault="00AF3AD8" w:rsidP="00AF3AD8">
            <w:r w:rsidRPr="00AF3AD8">
              <w:lastRenderedPageBreak/>
              <w:t> </w:t>
            </w:r>
          </w:p>
        </w:tc>
      </w:tr>
    </w:tbl>
    <w:p w14:paraId="3A05B72A" w14:textId="0FFBB8AA" w:rsidR="00AF3AD8" w:rsidRPr="00AF3AD8" w:rsidRDefault="00AF3AD8" w:rsidP="00AF3AD8"/>
    <w:p w14:paraId="6D583C30" w14:textId="1586F95F" w:rsidR="00AF3AD8" w:rsidRDefault="00AF3AD8">
      <w:r w:rsidRPr="00AF3AD8">
        <w:t> </w:t>
      </w:r>
    </w:p>
    <w:sectPr w:rsidR="00AF3AD8" w:rsidSect="008B4C5D">
      <w:headerReference w:type="default" r:id="rId7"/>
      <w:pgSz w:w="15840" w:h="12240" w:orient="landscape"/>
      <w:pgMar w:top="1701" w:right="1417" w:bottom="1701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5D3F" w14:textId="77777777" w:rsidR="00AA1194" w:rsidRDefault="00AA1194" w:rsidP="008B4C5D">
      <w:pPr>
        <w:spacing w:after="0" w:line="240" w:lineRule="auto"/>
      </w:pPr>
      <w:r>
        <w:separator/>
      </w:r>
    </w:p>
  </w:endnote>
  <w:endnote w:type="continuationSeparator" w:id="0">
    <w:p w14:paraId="28048496" w14:textId="77777777" w:rsidR="00AA1194" w:rsidRDefault="00AA1194" w:rsidP="008B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C3BD" w14:textId="77777777" w:rsidR="00AA1194" w:rsidRDefault="00AA1194" w:rsidP="008B4C5D">
      <w:pPr>
        <w:spacing w:after="0" w:line="240" w:lineRule="auto"/>
      </w:pPr>
      <w:r>
        <w:separator/>
      </w:r>
    </w:p>
  </w:footnote>
  <w:footnote w:type="continuationSeparator" w:id="0">
    <w:p w14:paraId="67F5B5B1" w14:textId="77777777" w:rsidR="00AA1194" w:rsidRDefault="00AA1194" w:rsidP="008B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AD0B" w14:textId="77777777" w:rsidR="008B4C5D" w:rsidRDefault="008B4C5D">
    <w:pPr>
      <w:pStyle w:val="Encabezado"/>
      <w:rPr>
        <w:lang w:val="es-MX"/>
      </w:rPr>
    </w:pPr>
  </w:p>
  <w:p w14:paraId="4F2E5FBC" w14:textId="77777777" w:rsidR="008B4C5D" w:rsidRDefault="008B4C5D">
    <w:pPr>
      <w:pStyle w:val="Encabezado"/>
      <w:rPr>
        <w:lang w:val="es-MX"/>
      </w:rPr>
    </w:pPr>
  </w:p>
  <w:p w14:paraId="58FB6ECA" w14:textId="77777777" w:rsidR="008B4C5D" w:rsidRPr="008B4C5D" w:rsidRDefault="008B4C5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6B3"/>
    <w:multiLevelType w:val="hybridMultilevel"/>
    <w:tmpl w:val="52B8D638"/>
    <w:lvl w:ilvl="0" w:tplc="1B54B16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5B7F"/>
    <w:multiLevelType w:val="multilevel"/>
    <w:tmpl w:val="C832B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42956"/>
    <w:multiLevelType w:val="hybridMultilevel"/>
    <w:tmpl w:val="2976FF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5F01"/>
    <w:multiLevelType w:val="multilevel"/>
    <w:tmpl w:val="E85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56E36"/>
    <w:multiLevelType w:val="multilevel"/>
    <w:tmpl w:val="D6C0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C2A97"/>
    <w:multiLevelType w:val="multilevel"/>
    <w:tmpl w:val="3D264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9748A"/>
    <w:multiLevelType w:val="hybridMultilevel"/>
    <w:tmpl w:val="5BB0E2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4339F"/>
    <w:multiLevelType w:val="multilevel"/>
    <w:tmpl w:val="537A0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439932">
    <w:abstractNumId w:val="4"/>
  </w:num>
  <w:num w:numId="2" w16cid:durableId="1498181308">
    <w:abstractNumId w:val="3"/>
  </w:num>
  <w:num w:numId="3" w16cid:durableId="1731071123">
    <w:abstractNumId w:val="7"/>
  </w:num>
  <w:num w:numId="4" w16cid:durableId="2014608474">
    <w:abstractNumId w:val="1"/>
  </w:num>
  <w:num w:numId="5" w16cid:durableId="515000396">
    <w:abstractNumId w:val="5"/>
  </w:num>
  <w:num w:numId="6" w16cid:durableId="208538244">
    <w:abstractNumId w:val="0"/>
  </w:num>
  <w:num w:numId="7" w16cid:durableId="1275208902">
    <w:abstractNumId w:val="6"/>
  </w:num>
  <w:num w:numId="8" w16cid:durableId="181799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D8"/>
    <w:rsid w:val="00030CED"/>
    <w:rsid w:val="000D64B6"/>
    <w:rsid w:val="0014595E"/>
    <w:rsid w:val="00182C81"/>
    <w:rsid w:val="00182F50"/>
    <w:rsid w:val="002C7FF6"/>
    <w:rsid w:val="003B561E"/>
    <w:rsid w:val="003F7944"/>
    <w:rsid w:val="004E5B23"/>
    <w:rsid w:val="005470DC"/>
    <w:rsid w:val="005F2356"/>
    <w:rsid w:val="00637FBC"/>
    <w:rsid w:val="006B5416"/>
    <w:rsid w:val="008543EC"/>
    <w:rsid w:val="008B4C5D"/>
    <w:rsid w:val="00972D4E"/>
    <w:rsid w:val="009C3FA8"/>
    <w:rsid w:val="00A21004"/>
    <w:rsid w:val="00A80B5D"/>
    <w:rsid w:val="00AA1194"/>
    <w:rsid w:val="00AE0853"/>
    <w:rsid w:val="00AF3AD8"/>
    <w:rsid w:val="00B76014"/>
    <w:rsid w:val="00BB03BA"/>
    <w:rsid w:val="00C172D3"/>
    <w:rsid w:val="00C95DD2"/>
    <w:rsid w:val="00D118C1"/>
    <w:rsid w:val="00D131F4"/>
    <w:rsid w:val="00D33410"/>
    <w:rsid w:val="00DA091A"/>
    <w:rsid w:val="00E64CFF"/>
    <w:rsid w:val="00E83F11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5784"/>
  <w15:chartTrackingRefBased/>
  <w15:docId w15:val="{08B679FE-C089-AD4E-8B47-7CFC37EA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A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A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A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A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A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A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A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A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A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A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AD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7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4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C5D"/>
  </w:style>
  <w:style w:type="paragraph" w:styleId="Piedepgina">
    <w:name w:val="footer"/>
    <w:basedOn w:val="Normal"/>
    <w:link w:val="PiedepginaCar"/>
    <w:uiPriority w:val="99"/>
    <w:unhideWhenUsed/>
    <w:rsid w:val="008B4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C5D"/>
  </w:style>
  <w:style w:type="character" w:styleId="Refdecomentario">
    <w:name w:val="annotation reference"/>
    <w:basedOn w:val="Fuentedeprrafopredeter"/>
    <w:uiPriority w:val="99"/>
    <w:semiHidden/>
    <w:unhideWhenUsed/>
    <w:rsid w:val="00D118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8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8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8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Paola Burgos Castillo</dc:creator>
  <cp:keywords/>
  <dc:description/>
  <cp:lastModifiedBy>Juan Manuel Henao Gallego</cp:lastModifiedBy>
  <cp:revision>8</cp:revision>
  <dcterms:created xsi:type="dcterms:W3CDTF">2025-09-01T16:41:00Z</dcterms:created>
  <dcterms:modified xsi:type="dcterms:W3CDTF">2025-09-01T22:35:00Z</dcterms:modified>
</cp:coreProperties>
</file>