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B4F3" w14:textId="6C8CAE17" w:rsidR="00EB6E00" w:rsidRDefault="00EB6E00" w:rsidP="00EB6E00">
      <w:pPr>
        <w:jc w:val="both"/>
      </w:pPr>
      <w:r>
        <w:t xml:space="preserve">La contingencia se califica como </w:t>
      </w:r>
      <w:r>
        <w:rPr>
          <w:b/>
          <w:bCs/>
        </w:rPr>
        <w:t xml:space="preserve">REMOTA </w:t>
      </w:r>
      <w:r>
        <w:t>debido a que la vinculación de la compañía aseguradora se basa en un documento falso con apariencia de Póliza, razón por la cual, la compañía carece de legitimación en la causa por pasiva en el proceso.</w:t>
      </w:r>
    </w:p>
    <w:p w14:paraId="5C4D69DF" w14:textId="4DB59967" w:rsidR="00EB6E00" w:rsidRDefault="00EB6E00" w:rsidP="00EB6E00">
      <w:pPr>
        <w:jc w:val="both"/>
        <w:rPr>
          <w:bCs/>
          <w:iCs/>
          <w:lang w:val="es-ES"/>
        </w:rPr>
      </w:pPr>
      <w:r>
        <w:t xml:space="preserve">Se debe indicar, que la compañía aseguradora termina vinculada al proceso en virtud del llamamiento en garantía formulado por el HOSPITAL PILOTO DE JAMUNDÍ E.S.E, que presentó un documento falso con apariencia de Póliza, identificado con el No. </w:t>
      </w:r>
      <w:r w:rsidRPr="00EB6E00">
        <w:rPr>
          <w:bCs/>
          <w:iCs/>
          <w:lang w:val="es-ES"/>
        </w:rPr>
        <w:t>43-44-10108937 Anexo 0</w:t>
      </w:r>
      <w:r>
        <w:rPr>
          <w:bCs/>
          <w:iCs/>
          <w:lang w:val="es-ES"/>
        </w:rPr>
        <w:t xml:space="preserve">. Este documento, es desconocido por la compañía, pues una vez verificadas las bases de datos internas, se comprobó que aquel consecutivo no corresponde a una Póliza expedida por la Aseguradora Solidaria de Colombia Entidad Cooperativa. Incluso, esta situación ya fue puesta en conocimiento de la </w:t>
      </w:r>
      <w:proofErr w:type="gramStart"/>
      <w:r>
        <w:rPr>
          <w:bCs/>
          <w:iCs/>
          <w:lang w:val="es-ES"/>
        </w:rPr>
        <w:t>Fiscalía General</w:t>
      </w:r>
      <w:proofErr w:type="gramEnd"/>
      <w:r>
        <w:rPr>
          <w:bCs/>
          <w:iCs/>
          <w:lang w:val="es-ES"/>
        </w:rPr>
        <w:t xml:space="preserve"> de la Nación </w:t>
      </w:r>
      <w:r w:rsidRPr="00EB6E00">
        <w:rPr>
          <w:bCs/>
          <w:iCs/>
          <w:lang w:val="es-ES"/>
        </w:rPr>
        <w:t>a través de la radicación de denuncia con el Numero Único de Noticia Criminal 080016001257202316718 y que se encuentra asignada desde el 23 de agosto del 2023 a las Fiscalía 119 Seccional de Jamundí (Valle del Cauca)</w:t>
      </w:r>
      <w:r>
        <w:rPr>
          <w:bCs/>
          <w:iCs/>
          <w:lang w:val="es-ES"/>
        </w:rPr>
        <w:t xml:space="preserve">. Consecuentemente, se configura la falta de legitimación en la causa por pasiva en favor de la compañía, atendiendo a que </w:t>
      </w:r>
      <w:r w:rsidRPr="00EB6E00">
        <w:rPr>
          <w:bCs/>
          <w:iCs/>
          <w:lang w:val="es-ES"/>
        </w:rPr>
        <w:t>no existe ninguna relación legal o contractual de la compañía aseguradora con el HOSPITAL PILOTO DE JAMUNDÍ E.S.E.</w:t>
      </w:r>
      <w:r w:rsidR="007363E7">
        <w:rPr>
          <w:bCs/>
          <w:iCs/>
          <w:lang w:val="es-ES"/>
        </w:rPr>
        <w:t xml:space="preserve"> Adicionalmente, debe considerarse que, en todo caso, se configuró la prescripción de las acciones derivadas del contrato de seguro, pues, la fecha en la que el HOSPITAL PILOTO DE JAMUNDÍ E.S.E. tuvo conocimiento de los hechos fue el 17 de enero de 2020, con la reclamación administrativa laboral formulada por la demandante, por lo que tenía hasta el 17 de enero de 2022 para ejercer la acción derivada de un contrato de seguro, plazo que fue incumplido, al radicar el llamamiento en garantía el 22 de noviembre de 2022. En este sentido, de ninguna manera es viable una condena en contra de la compañía. </w:t>
      </w:r>
    </w:p>
    <w:p w14:paraId="6646FE6B" w14:textId="77777777" w:rsidR="007363E7" w:rsidRDefault="007363E7" w:rsidP="00EB6E00">
      <w:pPr>
        <w:jc w:val="both"/>
        <w:rPr>
          <w:bCs/>
          <w:iCs/>
          <w:lang w:val="es-ES"/>
        </w:rPr>
      </w:pPr>
    </w:p>
    <w:p w14:paraId="53874109" w14:textId="615A7F0F" w:rsidR="007363E7" w:rsidRDefault="007363E7" w:rsidP="00EB6E00">
      <w:pPr>
        <w:jc w:val="both"/>
        <w:rPr>
          <w:b/>
          <w:iCs/>
          <w:lang w:val="es-ES"/>
        </w:rPr>
      </w:pPr>
      <w:r>
        <w:rPr>
          <w:b/>
          <w:iCs/>
          <w:lang w:val="es-ES"/>
        </w:rPr>
        <w:t>LIQUIDACIÓN OBJETIVA.</w:t>
      </w:r>
    </w:p>
    <w:p w14:paraId="304E1B35" w14:textId="41F6E18D" w:rsidR="007363E7" w:rsidRDefault="007363E7" w:rsidP="00EB6E00">
      <w:pPr>
        <w:jc w:val="both"/>
        <w:rPr>
          <w:bCs/>
          <w:iCs/>
          <w:lang w:val="es-ES"/>
        </w:rPr>
      </w:pPr>
      <w:r>
        <w:rPr>
          <w:bCs/>
          <w:iCs/>
          <w:lang w:val="es-ES"/>
        </w:rPr>
        <w:t xml:space="preserve">En este caso, no es posible reconocer ningún valor para la liquidación objetiva, atendiendo, a lo indicado, respecto a la falsedad del documento con apariencia de Póliza que fundamenta la vinculación de la compañía. Es evidente que la aseguradora no tiene ninguna relación legal o contractual con el llamante, por lo que no es procedente el reconocimiento de ninguna eventual condena en contra de la aseguradora. </w:t>
      </w:r>
    </w:p>
    <w:p w14:paraId="607C8FE2" w14:textId="7B839797" w:rsidR="002C6A14" w:rsidRDefault="00C67C90" w:rsidP="00EB6E00">
      <w:pPr>
        <w:jc w:val="both"/>
        <w:rPr>
          <w:bCs/>
          <w:iCs/>
          <w:lang w:val="es-ES"/>
        </w:rPr>
      </w:pPr>
      <w:r>
        <w:rPr>
          <w:bCs/>
          <w:iCs/>
          <w:lang w:val="es-ES"/>
        </w:rPr>
        <w:t>No obstante</w:t>
      </w:r>
      <w:r w:rsidR="002C6A14">
        <w:rPr>
          <w:bCs/>
          <w:iCs/>
          <w:lang w:val="es-ES"/>
        </w:rPr>
        <w:t>, se presenta una liquidación objetiva de acuerdo a las pretensiones de la demanda.</w:t>
      </w:r>
    </w:p>
    <w:p w14:paraId="43569C14" w14:textId="77777777" w:rsidR="002C6A14" w:rsidRPr="008668AE" w:rsidRDefault="002C6A14" w:rsidP="002C6A14">
      <w:pPr>
        <w:tabs>
          <w:tab w:val="left" w:pos="6447"/>
        </w:tabs>
        <w:jc w:val="both"/>
        <w:rPr>
          <w:b/>
          <w:bCs/>
        </w:rPr>
      </w:pPr>
      <w:r w:rsidRPr="008668AE">
        <w:rPr>
          <w:b/>
          <w:bCs/>
        </w:rPr>
        <w:t>Valoración Objetiva de las pretensiones</w:t>
      </w:r>
      <w:r w:rsidRPr="008668AE">
        <w:rPr>
          <w:b/>
          <w:bCs/>
        </w:rPr>
        <w:tab/>
      </w:r>
    </w:p>
    <w:p w14:paraId="6CAE778A" w14:textId="4065979A" w:rsidR="002C6A14" w:rsidRPr="008668AE" w:rsidRDefault="002C6A14" w:rsidP="002C6A14">
      <w:pPr>
        <w:spacing w:line="264" w:lineRule="exact"/>
        <w:ind w:left="59" w:right="-20"/>
        <w:jc w:val="both"/>
        <w:rPr>
          <w:rFonts w:eastAsia="Calibri"/>
        </w:rPr>
      </w:pPr>
      <w:r w:rsidRPr="008668AE">
        <w:rPr>
          <w:rFonts w:eastAsia="Calibri"/>
        </w:rPr>
        <w:t xml:space="preserve">Valor 100% </w:t>
      </w:r>
      <w:r w:rsidR="00235567" w:rsidRPr="00235567">
        <w:rPr>
          <w:rFonts w:ascii="Calibri" w:eastAsia="Calibri" w:hAnsi="Calibri" w:cs="Calibri"/>
          <w:b/>
          <w:bCs/>
        </w:rPr>
        <w:t>$ 10.220.252</w:t>
      </w:r>
    </w:p>
    <w:p w14:paraId="09CDDAB8" w14:textId="77777777" w:rsidR="002C6A14" w:rsidRPr="008668AE" w:rsidRDefault="002C6A14" w:rsidP="002C6A14">
      <w:pPr>
        <w:spacing w:line="264" w:lineRule="exact"/>
        <w:ind w:left="59" w:right="-20"/>
        <w:jc w:val="both"/>
        <w:rPr>
          <w:rFonts w:eastAsia="Calibri"/>
        </w:rPr>
      </w:pPr>
      <w:r w:rsidRPr="008668AE">
        <w:rPr>
          <w:rFonts w:eastAsia="Calibri"/>
        </w:rPr>
        <w:t>Se llega a esta valoración de la siguiente forma:</w:t>
      </w:r>
    </w:p>
    <w:p w14:paraId="394C6F07" w14:textId="1D882957" w:rsidR="002C6A14" w:rsidRPr="008668AE" w:rsidRDefault="002C6A14" w:rsidP="002C6A14">
      <w:pPr>
        <w:spacing w:line="264" w:lineRule="exact"/>
        <w:ind w:right="-20"/>
        <w:jc w:val="both"/>
        <w:rPr>
          <w:rFonts w:eastAsia="Calibri"/>
        </w:rPr>
      </w:pPr>
      <w:r w:rsidRPr="008668AE">
        <w:rPr>
          <w:rFonts w:eastAsia="Calibri"/>
        </w:rPr>
        <w:t xml:space="preserve">Al buscar las pretensiones la declaración de una relación laboral, se tomarán como días extremos el </w:t>
      </w:r>
      <w:r>
        <w:rPr>
          <w:rFonts w:eastAsia="Calibri"/>
        </w:rPr>
        <w:t xml:space="preserve">1 de marzo de 2016 hasta </w:t>
      </w:r>
      <w:proofErr w:type="spellStart"/>
      <w:r>
        <w:rPr>
          <w:rFonts w:eastAsia="Calibri"/>
        </w:rPr>
        <w:t>el</w:t>
      </w:r>
      <w:proofErr w:type="spellEnd"/>
      <w:r>
        <w:rPr>
          <w:rFonts w:eastAsia="Calibri"/>
        </w:rPr>
        <w:t xml:space="preserve"> día 31 de agosto de 2018</w:t>
      </w:r>
      <w:r w:rsidRPr="008668AE">
        <w:rPr>
          <w:rFonts w:eastAsia="Calibri"/>
        </w:rPr>
        <w:t xml:space="preserve"> y como asignación salarial la suma de $</w:t>
      </w:r>
      <w:r>
        <w:rPr>
          <w:rFonts w:eastAsia="Calibri"/>
        </w:rPr>
        <w:t>1.939.776</w:t>
      </w:r>
      <w:r w:rsidRPr="008668AE">
        <w:rPr>
          <w:rFonts w:eastAsia="Calibri"/>
        </w:rPr>
        <w:t xml:space="preserve">, </w:t>
      </w:r>
      <w:r>
        <w:rPr>
          <w:rFonts w:eastAsia="Calibri"/>
        </w:rPr>
        <w:t xml:space="preserve">debido a que </w:t>
      </w:r>
      <w:r w:rsidRPr="008668AE">
        <w:rPr>
          <w:rFonts w:eastAsia="Calibri"/>
        </w:rPr>
        <w:t xml:space="preserve">la solicitud de la demanda fue encaminada en ese sentido. </w:t>
      </w:r>
    </w:p>
    <w:p w14:paraId="444C437F" w14:textId="5838B1E0" w:rsidR="002C6A14" w:rsidRPr="008668AE" w:rsidRDefault="002C6A14" w:rsidP="002C6A14">
      <w:pPr>
        <w:pStyle w:val="Prrafodelista"/>
        <w:numPr>
          <w:ilvl w:val="0"/>
          <w:numId w:val="1"/>
        </w:numPr>
        <w:spacing w:after="0" w:line="264" w:lineRule="exact"/>
        <w:ind w:right="-20"/>
        <w:jc w:val="both"/>
        <w:rPr>
          <w:rFonts w:ascii="Calibri" w:eastAsia="Calibri" w:hAnsi="Calibri" w:cs="Calibri"/>
        </w:rPr>
      </w:pPr>
      <w:r w:rsidRPr="008668AE">
        <w:rPr>
          <w:rFonts w:ascii="Calibri" w:eastAsia="Calibri" w:hAnsi="Calibri" w:cs="Calibri"/>
          <w:b/>
          <w:bCs/>
        </w:rPr>
        <w:t xml:space="preserve">Auxilio de Cesantía: </w:t>
      </w:r>
      <w:r w:rsidRPr="008668AE">
        <w:rPr>
          <w:rFonts w:ascii="Calibri" w:eastAsia="Calibri" w:hAnsi="Calibri" w:cs="Calibri"/>
        </w:rPr>
        <w:t xml:space="preserve">Del </w:t>
      </w:r>
      <w:r w:rsidR="005721E2">
        <w:rPr>
          <w:rFonts w:eastAsia="Calibri"/>
        </w:rPr>
        <w:t>1 de marzo de 2016 hasta el día 31 de agosto de 2018</w:t>
      </w:r>
    </w:p>
    <w:p w14:paraId="3CC644D1" w14:textId="77777777" w:rsidR="002C6A14" w:rsidRPr="008668AE" w:rsidRDefault="002C6A14" w:rsidP="002C6A14">
      <w:pPr>
        <w:pStyle w:val="Prrafodelista"/>
        <w:spacing w:line="264" w:lineRule="exact"/>
        <w:ind w:right="-20"/>
        <w:jc w:val="both"/>
        <w:rPr>
          <w:rFonts w:ascii="Calibri" w:eastAsia="Calibri" w:hAnsi="Calibri" w:cs="Calibri"/>
          <w:b/>
          <w:bCs/>
        </w:rPr>
      </w:pPr>
    </w:p>
    <w:p w14:paraId="42536F9B" w14:textId="3146A9E6" w:rsidR="00235567" w:rsidRPr="00235567" w:rsidRDefault="002C6A14" w:rsidP="00235567">
      <w:pPr>
        <w:pStyle w:val="Prrafodelista"/>
        <w:numPr>
          <w:ilvl w:val="0"/>
          <w:numId w:val="2"/>
        </w:numPr>
        <w:spacing w:after="0" w:line="264" w:lineRule="exact"/>
        <w:ind w:right="-20"/>
        <w:rPr>
          <w:rFonts w:ascii="Calibri" w:eastAsia="Calibri" w:hAnsi="Calibri" w:cs="Calibri"/>
        </w:rPr>
      </w:pPr>
      <w:bookmarkStart w:id="0" w:name="_Hlk200386726"/>
      <w:r w:rsidRPr="008668AE">
        <w:rPr>
          <w:rFonts w:ascii="Calibri" w:eastAsia="Calibri" w:hAnsi="Calibri" w:cs="Calibri"/>
        </w:rPr>
        <w:t>201</w:t>
      </w:r>
      <w:r w:rsidR="00235567">
        <w:rPr>
          <w:rFonts w:ascii="Calibri" w:eastAsia="Calibri" w:hAnsi="Calibri" w:cs="Calibri"/>
        </w:rPr>
        <w:t>6</w:t>
      </w:r>
      <w:r w:rsidRPr="008668AE">
        <w:rPr>
          <w:rFonts w:ascii="Calibri" w:eastAsia="Calibri" w:hAnsi="Calibri" w:cs="Calibri"/>
        </w:rPr>
        <w:t>: $</w:t>
      </w:r>
      <w:r w:rsidR="00235567" w:rsidRPr="00235567">
        <w:rPr>
          <w:rFonts w:ascii="Calibri" w:eastAsia="Calibri" w:hAnsi="Calibri" w:cs="Calibri"/>
        </w:rPr>
        <w:t xml:space="preserve">1.621.868 </w:t>
      </w:r>
    </w:p>
    <w:p w14:paraId="1D4ACC10" w14:textId="36EEF8BE" w:rsidR="002C6A14" w:rsidRPr="008668AE" w:rsidRDefault="00235567" w:rsidP="002C6A14">
      <w:pPr>
        <w:pStyle w:val="Prrafodelista"/>
        <w:numPr>
          <w:ilvl w:val="0"/>
          <w:numId w:val="2"/>
        </w:numPr>
        <w:spacing w:after="0" w:line="264" w:lineRule="exact"/>
        <w:ind w:right="-20"/>
        <w:jc w:val="both"/>
        <w:rPr>
          <w:rFonts w:ascii="Calibri" w:eastAsia="Calibri" w:hAnsi="Calibri" w:cs="Calibri"/>
        </w:rPr>
      </w:pPr>
      <w:r>
        <w:rPr>
          <w:rFonts w:ascii="Calibri" w:eastAsia="Calibri" w:hAnsi="Calibri" w:cs="Calibri"/>
        </w:rPr>
        <w:t>2017: $1.939.776</w:t>
      </w:r>
    </w:p>
    <w:p w14:paraId="598335E3" w14:textId="4A815177" w:rsidR="002C6A14" w:rsidRPr="008668AE" w:rsidRDefault="002C6A14" w:rsidP="002C6A14">
      <w:pPr>
        <w:pStyle w:val="Prrafodelista"/>
        <w:numPr>
          <w:ilvl w:val="0"/>
          <w:numId w:val="2"/>
        </w:numPr>
        <w:spacing w:after="0" w:line="264" w:lineRule="exact"/>
        <w:ind w:right="-20"/>
        <w:jc w:val="both"/>
        <w:rPr>
          <w:rFonts w:ascii="Calibri" w:eastAsia="Calibri" w:hAnsi="Calibri" w:cs="Calibri"/>
        </w:rPr>
      </w:pPr>
      <w:r w:rsidRPr="008668AE">
        <w:rPr>
          <w:rFonts w:ascii="Calibri" w:eastAsia="Calibri" w:hAnsi="Calibri" w:cs="Calibri"/>
        </w:rPr>
        <w:t>201</w:t>
      </w:r>
      <w:r w:rsidR="00235567">
        <w:rPr>
          <w:rFonts w:ascii="Calibri" w:eastAsia="Calibri" w:hAnsi="Calibri" w:cs="Calibri"/>
        </w:rPr>
        <w:t>8</w:t>
      </w:r>
      <w:r w:rsidRPr="008668AE">
        <w:rPr>
          <w:rFonts w:ascii="Calibri" w:eastAsia="Calibri" w:hAnsi="Calibri" w:cs="Calibri"/>
        </w:rPr>
        <w:t xml:space="preserve">: </w:t>
      </w:r>
      <w:r w:rsidR="00235567" w:rsidRPr="00235567">
        <w:rPr>
          <w:rFonts w:ascii="Calibri" w:eastAsia="Calibri" w:hAnsi="Calibri" w:cs="Calibri"/>
        </w:rPr>
        <w:t>$1.298.572</w:t>
      </w:r>
    </w:p>
    <w:p w14:paraId="229A551A" w14:textId="6B417DBB" w:rsidR="002C6A14" w:rsidRPr="008668AE" w:rsidRDefault="002C6A14" w:rsidP="002C6A14">
      <w:pPr>
        <w:pStyle w:val="Prrafodelista"/>
        <w:numPr>
          <w:ilvl w:val="0"/>
          <w:numId w:val="2"/>
        </w:numPr>
        <w:spacing w:after="0" w:line="264" w:lineRule="exact"/>
        <w:ind w:right="-20"/>
        <w:jc w:val="both"/>
        <w:rPr>
          <w:rFonts w:ascii="Calibri" w:eastAsia="Calibri" w:hAnsi="Calibri" w:cs="Calibri"/>
        </w:rPr>
      </w:pPr>
      <w:r w:rsidRPr="008668AE">
        <w:rPr>
          <w:rFonts w:ascii="Calibri" w:eastAsia="Calibri" w:hAnsi="Calibri" w:cs="Calibri"/>
          <w:b/>
          <w:bCs/>
        </w:rPr>
        <w:lastRenderedPageBreak/>
        <w:t xml:space="preserve">Total: </w:t>
      </w:r>
      <w:r w:rsidRPr="00235567">
        <w:rPr>
          <w:rFonts w:ascii="Calibri" w:eastAsia="Calibri" w:hAnsi="Calibri" w:cs="Calibri"/>
          <w:b/>
          <w:bCs/>
        </w:rPr>
        <w:t>$</w:t>
      </w:r>
      <w:r w:rsidR="00235567" w:rsidRPr="00235567">
        <w:rPr>
          <w:rFonts w:ascii="Calibri" w:eastAsia="Calibri" w:hAnsi="Calibri" w:cs="Calibri"/>
          <w:b/>
          <w:bCs/>
        </w:rPr>
        <w:t>4.860.217</w:t>
      </w:r>
    </w:p>
    <w:bookmarkEnd w:id="0"/>
    <w:p w14:paraId="15BF97AC" w14:textId="77777777" w:rsidR="002C6A14" w:rsidRPr="008668AE" w:rsidRDefault="002C6A14" w:rsidP="002C6A14">
      <w:pPr>
        <w:pStyle w:val="Prrafodelista"/>
        <w:spacing w:line="264" w:lineRule="exact"/>
        <w:ind w:left="1080" w:right="-20"/>
        <w:jc w:val="both"/>
        <w:rPr>
          <w:rFonts w:ascii="Calibri" w:eastAsia="Calibri" w:hAnsi="Calibri" w:cs="Calibri"/>
        </w:rPr>
      </w:pPr>
    </w:p>
    <w:p w14:paraId="722A5110" w14:textId="78FCE237" w:rsidR="002C6A14" w:rsidRPr="00235567" w:rsidRDefault="002C6A14" w:rsidP="00235567">
      <w:pPr>
        <w:pStyle w:val="Prrafodelista"/>
        <w:numPr>
          <w:ilvl w:val="0"/>
          <w:numId w:val="1"/>
        </w:numPr>
        <w:spacing w:after="0" w:line="264" w:lineRule="exact"/>
        <w:ind w:right="-20"/>
        <w:jc w:val="both"/>
        <w:rPr>
          <w:rFonts w:ascii="Calibri" w:eastAsia="Calibri" w:hAnsi="Calibri" w:cs="Calibri"/>
        </w:rPr>
      </w:pPr>
      <w:r w:rsidRPr="008668AE">
        <w:rPr>
          <w:rFonts w:ascii="Calibri" w:eastAsia="Calibri" w:hAnsi="Calibri" w:cs="Calibri"/>
          <w:b/>
          <w:bCs/>
        </w:rPr>
        <w:t xml:space="preserve">Intereses de cesantías: </w:t>
      </w:r>
      <w:r w:rsidRPr="008668AE">
        <w:rPr>
          <w:rFonts w:ascii="Calibri" w:eastAsia="Calibri" w:hAnsi="Calibri" w:cs="Calibri"/>
        </w:rPr>
        <w:t xml:space="preserve">Del </w:t>
      </w:r>
      <w:r w:rsidR="00235567">
        <w:rPr>
          <w:rFonts w:eastAsia="Calibri"/>
        </w:rPr>
        <w:t>1 de marzo de 2016 hasta el día 31 de agosto de 2018</w:t>
      </w:r>
    </w:p>
    <w:p w14:paraId="5C74B9C3" w14:textId="77777777" w:rsidR="002C6A14" w:rsidRPr="008668AE" w:rsidRDefault="002C6A14" w:rsidP="002C6A14">
      <w:pPr>
        <w:pStyle w:val="Prrafodelista"/>
        <w:spacing w:line="264" w:lineRule="exact"/>
        <w:ind w:right="-20"/>
        <w:jc w:val="both"/>
        <w:rPr>
          <w:rFonts w:ascii="Calibri" w:eastAsia="Calibri" w:hAnsi="Calibri" w:cs="Calibri"/>
          <w:b/>
          <w:bCs/>
        </w:rPr>
      </w:pPr>
    </w:p>
    <w:p w14:paraId="030F3D2A" w14:textId="77777777" w:rsidR="00235567" w:rsidRDefault="00235567" w:rsidP="004F524F">
      <w:pPr>
        <w:pStyle w:val="Prrafodelista"/>
        <w:numPr>
          <w:ilvl w:val="0"/>
          <w:numId w:val="2"/>
        </w:numPr>
        <w:spacing w:after="0" w:line="264" w:lineRule="exact"/>
        <w:ind w:right="-20"/>
        <w:jc w:val="both"/>
        <w:rPr>
          <w:rFonts w:ascii="Calibri" w:eastAsia="Calibri" w:hAnsi="Calibri" w:cs="Calibri"/>
        </w:rPr>
      </w:pPr>
      <w:r w:rsidRPr="00235567">
        <w:rPr>
          <w:rFonts w:ascii="Calibri" w:eastAsia="Calibri" w:hAnsi="Calibri" w:cs="Calibri"/>
        </w:rPr>
        <w:t xml:space="preserve">2016: $ 162.727 </w:t>
      </w:r>
    </w:p>
    <w:p w14:paraId="3B546EC6" w14:textId="3676C947" w:rsidR="00235567" w:rsidRPr="00235567" w:rsidRDefault="00235567" w:rsidP="004F524F">
      <w:pPr>
        <w:pStyle w:val="Prrafodelista"/>
        <w:numPr>
          <w:ilvl w:val="0"/>
          <w:numId w:val="2"/>
        </w:numPr>
        <w:spacing w:after="0" w:line="264" w:lineRule="exact"/>
        <w:ind w:right="-20"/>
        <w:jc w:val="both"/>
        <w:rPr>
          <w:rFonts w:ascii="Calibri" w:eastAsia="Calibri" w:hAnsi="Calibri" w:cs="Calibri"/>
        </w:rPr>
      </w:pPr>
      <w:r w:rsidRPr="00235567">
        <w:rPr>
          <w:rFonts w:ascii="Calibri" w:eastAsia="Calibri" w:hAnsi="Calibri" w:cs="Calibri"/>
        </w:rPr>
        <w:t>2017: $ 232.773</w:t>
      </w:r>
    </w:p>
    <w:p w14:paraId="312A6EA9" w14:textId="0367AAC6" w:rsidR="00235567" w:rsidRPr="008668AE" w:rsidRDefault="00235567" w:rsidP="00235567">
      <w:pPr>
        <w:pStyle w:val="Prrafodelista"/>
        <w:numPr>
          <w:ilvl w:val="0"/>
          <w:numId w:val="2"/>
        </w:numPr>
        <w:spacing w:after="0" w:line="264" w:lineRule="exact"/>
        <w:ind w:right="-20"/>
        <w:jc w:val="both"/>
        <w:rPr>
          <w:rFonts w:ascii="Calibri" w:eastAsia="Calibri" w:hAnsi="Calibri" w:cs="Calibri"/>
        </w:rPr>
      </w:pPr>
      <w:r w:rsidRPr="008668AE">
        <w:rPr>
          <w:rFonts w:ascii="Calibri" w:eastAsia="Calibri" w:hAnsi="Calibri" w:cs="Calibri"/>
        </w:rPr>
        <w:t>201</w:t>
      </w:r>
      <w:r>
        <w:rPr>
          <w:rFonts w:ascii="Calibri" w:eastAsia="Calibri" w:hAnsi="Calibri" w:cs="Calibri"/>
        </w:rPr>
        <w:t>8</w:t>
      </w:r>
      <w:r w:rsidRPr="008668AE">
        <w:rPr>
          <w:rFonts w:ascii="Calibri" w:eastAsia="Calibri" w:hAnsi="Calibri" w:cs="Calibri"/>
        </w:rPr>
        <w:t xml:space="preserve">: </w:t>
      </w:r>
      <w:r w:rsidRPr="00235567">
        <w:rPr>
          <w:rFonts w:ascii="Calibri" w:eastAsia="Calibri" w:hAnsi="Calibri" w:cs="Calibri"/>
        </w:rPr>
        <w:t>$ 104.319</w:t>
      </w:r>
    </w:p>
    <w:p w14:paraId="43E413E0" w14:textId="17142465" w:rsidR="00235567" w:rsidRPr="008668AE" w:rsidRDefault="00235567" w:rsidP="00235567">
      <w:pPr>
        <w:pStyle w:val="Prrafodelista"/>
        <w:numPr>
          <w:ilvl w:val="0"/>
          <w:numId w:val="2"/>
        </w:numPr>
        <w:spacing w:after="0" w:line="264" w:lineRule="exact"/>
        <w:ind w:right="-20"/>
        <w:jc w:val="both"/>
        <w:rPr>
          <w:rFonts w:ascii="Calibri" w:eastAsia="Calibri" w:hAnsi="Calibri" w:cs="Calibri"/>
        </w:rPr>
      </w:pPr>
      <w:r w:rsidRPr="008668AE">
        <w:rPr>
          <w:rFonts w:ascii="Calibri" w:eastAsia="Calibri" w:hAnsi="Calibri" w:cs="Calibri"/>
          <w:b/>
          <w:bCs/>
        </w:rPr>
        <w:t xml:space="preserve">Total: </w:t>
      </w:r>
      <w:r w:rsidRPr="00235567">
        <w:rPr>
          <w:rFonts w:ascii="Calibri" w:eastAsia="Calibri" w:hAnsi="Calibri" w:cs="Calibri"/>
          <w:b/>
          <w:bCs/>
        </w:rPr>
        <w:t>$ 499.819</w:t>
      </w:r>
    </w:p>
    <w:p w14:paraId="6FD5DAF9" w14:textId="77777777" w:rsidR="002C6A14" w:rsidRPr="008668AE" w:rsidRDefault="002C6A14" w:rsidP="002C6A14">
      <w:pPr>
        <w:pStyle w:val="Prrafodelista"/>
        <w:spacing w:line="264" w:lineRule="exact"/>
        <w:ind w:right="-20"/>
        <w:jc w:val="both"/>
        <w:rPr>
          <w:rFonts w:ascii="Calibri" w:eastAsia="Calibri" w:hAnsi="Calibri" w:cs="Calibri"/>
          <w:b/>
          <w:bCs/>
        </w:rPr>
      </w:pPr>
    </w:p>
    <w:p w14:paraId="7A3E7565" w14:textId="77777777" w:rsidR="002C6A14" w:rsidRPr="008668AE" w:rsidRDefault="002C6A14" w:rsidP="002C6A14">
      <w:pPr>
        <w:pStyle w:val="Prrafodelista"/>
        <w:numPr>
          <w:ilvl w:val="0"/>
          <w:numId w:val="1"/>
        </w:numPr>
        <w:spacing w:after="0" w:line="264" w:lineRule="exact"/>
        <w:ind w:right="-20"/>
        <w:jc w:val="both"/>
        <w:rPr>
          <w:rFonts w:ascii="Calibri" w:eastAsia="Calibri" w:hAnsi="Calibri" w:cs="Calibri"/>
        </w:rPr>
      </w:pPr>
      <w:r w:rsidRPr="008668AE">
        <w:rPr>
          <w:rFonts w:ascii="Calibri" w:eastAsia="Calibri" w:hAnsi="Calibri" w:cs="Calibri"/>
          <w:b/>
          <w:bCs/>
        </w:rPr>
        <w:t xml:space="preserve">Prima de servicios: </w:t>
      </w:r>
      <w:r w:rsidRPr="008668AE">
        <w:rPr>
          <w:rFonts w:ascii="Calibri" w:eastAsia="Calibri" w:hAnsi="Calibri" w:cs="Calibri"/>
        </w:rPr>
        <w:t>Del 1 de octubre de 2018 al 31 de octubre de 2020</w:t>
      </w:r>
    </w:p>
    <w:p w14:paraId="492A961B" w14:textId="77777777" w:rsidR="002C6A14" w:rsidRPr="008668AE" w:rsidRDefault="002C6A14" w:rsidP="002C6A14">
      <w:pPr>
        <w:pStyle w:val="Prrafodelista"/>
        <w:spacing w:line="264" w:lineRule="exact"/>
        <w:ind w:right="-20"/>
        <w:jc w:val="both"/>
        <w:rPr>
          <w:rFonts w:ascii="Calibri" w:eastAsia="Calibri" w:hAnsi="Calibri" w:cs="Calibri"/>
          <w:b/>
          <w:bCs/>
        </w:rPr>
      </w:pPr>
    </w:p>
    <w:p w14:paraId="2F0B769C" w14:textId="77777777" w:rsidR="00235567" w:rsidRPr="00235567" w:rsidRDefault="00235567" w:rsidP="00235567">
      <w:pPr>
        <w:pStyle w:val="Prrafodelista"/>
        <w:numPr>
          <w:ilvl w:val="0"/>
          <w:numId w:val="2"/>
        </w:numPr>
        <w:spacing w:after="0" w:line="264" w:lineRule="exact"/>
        <w:ind w:right="-20"/>
        <w:rPr>
          <w:rFonts w:ascii="Calibri" w:eastAsia="Calibri" w:hAnsi="Calibri" w:cs="Calibri"/>
        </w:rPr>
      </w:pPr>
      <w:r w:rsidRPr="008668AE">
        <w:rPr>
          <w:rFonts w:ascii="Calibri" w:eastAsia="Calibri" w:hAnsi="Calibri" w:cs="Calibri"/>
        </w:rPr>
        <w:t>201</w:t>
      </w:r>
      <w:r>
        <w:rPr>
          <w:rFonts w:ascii="Calibri" w:eastAsia="Calibri" w:hAnsi="Calibri" w:cs="Calibri"/>
        </w:rPr>
        <w:t>6</w:t>
      </w:r>
      <w:r w:rsidRPr="008668AE">
        <w:rPr>
          <w:rFonts w:ascii="Calibri" w:eastAsia="Calibri" w:hAnsi="Calibri" w:cs="Calibri"/>
        </w:rPr>
        <w:t>: $</w:t>
      </w:r>
      <w:r w:rsidRPr="00235567">
        <w:rPr>
          <w:rFonts w:ascii="Calibri" w:eastAsia="Calibri" w:hAnsi="Calibri" w:cs="Calibri"/>
        </w:rPr>
        <w:t xml:space="preserve">1.621.868 </w:t>
      </w:r>
    </w:p>
    <w:p w14:paraId="65D21CB4" w14:textId="77777777" w:rsidR="00235567" w:rsidRPr="008668AE" w:rsidRDefault="00235567" w:rsidP="00235567">
      <w:pPr>
        <w:pStyle w:val="Prrafodelista"/>
        <w:numPr>
          <w:ilvl w:val="0"/>
          <w:numId w:val="2"/>
        </w:numPr>
        <w:spacing w:after="0" w:line="264" w:lineRule="exact"/>
        <w:ind w:right="-20"/>
        <w:jc w:val="both"/>
        <w:rPr>
          <w:rFonts w:ascii="Calibri" w:eastAsia="Calibri" w:hAnsi="Calibri" w:cs="Calibri"/>
        </w:rPr>
      </w:pPr>
      <w:r>
        <w:rPr>
          <w:rFonts w:ascii="Calibri" w:eastAsia="Calibri" w:hAnsi="Calibri" w:cs="Calibri"/>
        </w:rPr>
        <w:t>2017: $1.939.776</w:t>
      </w:r>
    </w:p>
    <w:p w14:paraId="48A42405" w14:textId="77777777" w:rsidR="00235567" w:rsidRPr="008668AE" w:rsidRDefault="00235567" w:rsidP="00235567">
      <w:pPr>
        <w:pStyle w:val="Prrafodelista"/>
        <w:numPr>
          <w:ilvl w:val="0"/>
          <w:numId w:val="2"/>
        </w:numPr>
        <w:spacing w:after="0" w:line="264" w:lineRule="exact"/>
        <w:ind w:right="-20"/>
        <w:jc w:val="both"/>
        <w:rPr>
          <w:rFonts w:ascii="Calibri" w:eastAsia="Calibri" w:hAnsi="Calibri" w:cs="Calibri"/>
        </w:rPr>
      </w:pPr>
      <w:r w:rsidRPr="008668AE">
        <w:rPr>
          <w:rFonts w:ascii="Calibri" w:eastAsia="Calibri" w:hAnsi="Calibri" w:cs="Calibri"/>
        </w:rPr>
        <w:t>201</w:t>
      </w:r>
      <w:r>
        <w:rPr>
          <w:rFonts w:ascii="Calibri" w:eastAsia="Calibri" w:hAnsi="Calibri" w:cs="Calibri"/>
        </w:rPr>
        <w:t>8</w:t>
      </w:r>
      <w:r w:rsidRPr="008668AE">
        <w:rPr>
          <w:rFonts w:ascii="Calibri" w:eastAsia="Calibri" w:hAnsi="Calibri" w:cs="Calibri"/>
        </w:rPr>
        <w:t xml:space="preserve">: </w:t>
      </w:r>
      <w:r w:rsidRPr="00235567">
        <w:rPr>
          <w:rFonts w:ascii="Calibri" w:eastAsia="Calibri" w:hAnsi="Calibri" w:cs="Calibri"/>
        </w:rPr>
        <w:t>$1.298.572</w:t>
      </w:r>
    </w:p>
    <w:p w14:paraId="5C06AC9B" w14:textId="77777777" w:rsidR="00235567" w:rsidRPr="008668AE" w:rsidRDefault="00235567" w:rsidP="00235567">
      <w:pPr>
        <w:pStyle w:val="Prrafodelista"/>
        <w:numPr>
          <w:ilvl w:val="0"/>
          <w:numId w:val="2"/>
        </w:numPr>
        <w:spacing w:after="0" w:line="264" w:lineRule="exact"/>
        <w:ind w:right="-20"/>
        <w:jc w:val="both"/>
        <w:rPr>
          <w:rFonts w:ascii="Calibri" w:eastAsia="Calibri" w:hAnsi="Calibri" w:cs="Calibri"/>
        </w:rPr>
      </w:pPr>
      <w:r w:rsidRPr="008668AE">
        <w:rPr>
          <w:rFonts w:ascii="Calibri" w:eastAsia="Calibri" w:hAnsi="Calibri" w:cs="Calibri"/>
          <w:b/>
          <w:bCs/>
        </w:rPr>
        <w:t xml:space="preserve">Total: </w:t>
      </w:r>
      <w:r w:rsidRPr="00235567">
        <w:rPr>
          <w:rFonts w:ascii="Calibri" w:eastAsia="Calibri" w:hAnsi="Calibri" w:cs="Calibri"/>
          <w:b/>
          <w:bCs/>
        </w:rPr>
        <w:t>$4.860.217</w:t>
      </w:r>
    </w:p>
    <w:p w14:paraId="756B14F6" w14:textId="77777777" w:rsidR="002C6A14" w:rsidRPr="008668AE" w:rsidRDefault="002C6A14" w:rsidP="002C6A14">
      <w:pPr>
        <w:spacing w:line="264" w:lineRule="exact"/>
        <w:ind w:right="-20"/>
        <w:jc w:val="both"/>
        <w:rPr>
          <w:rFonts w:ascii="Calibri" w:eastAsia="Calibri" w:hAnsi="Calibri" w:cs="Calibri"/>
        </w:rPr>
      </w:pPr>
    </w:p>
    <w:p w14:paraId="28101C67" w14:textId="77777777" w:rsidR="002C6A14" w:rsidRPr="00B82B09" w:rsidRDefault="002C6A14" w:rsidP="002C6A14">
      <w:pPr>
        <w:pStyle w:val="Prrafodelista"/>
        <w:numPr>
          <w:ilvl w:val="0"/>
          <w:numId w:val="1"/>
        </w:numPr>
        <w:spacing w:after="0" w:line="264" w:lineRule="exact"/>
        <w:ind w:right="-20"/>
        <w:jc w:val="both"/>
        <w:rPr>
          <w:rFonts w:ascii="Calibri" w:eastAsia="Calibri" w:hAnsi="Calibri" w:cs="Calibri"/>
        </w:rPr>
      </w:pPr>
      <w:r w:rsidRPr="008668AE">
        <w:rPr>
          <w:rFonts w:ascii="Calibri" w:eastAsia="Calibri" w:hAnsi="Calibri" w:cs="Calibri"/>
          <w:b/>
          <w:bCs/>
        </w:rPr>
        <w:t xml:space="preserve">Indemnización artículo 65: </w:t>
      </w:r>
      <w:r w:rsidRPr="008668AE">
        <w:rPr>
          <w:rFonts w:ascii="Calibri" w:eastAsia="Calibri" w:hAnsi="Calibri" w:cs="Calibri"/>
        </w:rPr>
        <w:t xml:space="preserve">No se No se reconoce, teniendo en cuenta que existen pronunciamientos del Consejo de Estado que indican que es improcedente, </w:t>
      </w:r>
      <w:r>
        <w:rPr>
          <w:rFonts w:ascii="Calibri" w:eastAsia="Calibri" w:hAnsi="Calibri" w:cs="Calibri"/>
        </w:rPr>
        <w:t>debido a</w:t>
      </w:r>
      <w:r w:rsidRPr="008668AE">
        <w:rPr>
          <w:rFonts w:ascii="Calibri" w:eastAsia="Calibri" w:hAnsi="Calibri" w:cs="Calibri"/>
        </w:rPr>
        <w:t xml:space="preserve"> que la decisión que declara la relación laboral </w:t>
      </w:r>
      <w:r>
        <w:rPr>
          <w:rFonts w:ascii="Calibri" w:eastAsia="Calibri" w:hAnsi="Calibri" w:cs="Calibri"/>
        </w:rPr>
        <w:t>de una eventual sentencia condenatoria</w:t>
      </w:r>
      <w:r w:rsidRPr="008668AE">
        <w:rPr>
          <w:rFonts w:ascii="Calibri" w:eastAsia="Calibri" w:hAnsi="Calibri" w:cs="Calibri"/>
        </w:rPr>
        <w:t xml:space="preserve"> es constitutiva de derechos, y a partir de esta nacen los derechos laborales exigidos en la demanda, por ello, no es procedente en la medida en que la obligación de pagar las prestaciones sociales, incluido el auxilio de cesantías, surge a partir de la expedición de la sentencia que reconoce la relación laboral. </w:t>
      </w:r>
      <w:r>
        <w:rPr>
          <w:rFonts w:ascii="Calibri" w:eastAsia="Calibri" w:hAnsi="Calibri" w:cs="Calibri"/>
        </w:rPr>
        <w:t xml:space="preserve">Ver sentencia: </w:t>
      </w:r>
      <w:r w:rsidRPr="00B82B09">
        <w:rPr>
          <w:rFonts w:ascii="Calibri" w:eastAsia="Calibri" w:hAnsi="Calibri" w:cs="Calibri"/>
        </w:rPr>
        <w:t xml:space="preserve">Radicado: 05001-23-33-000-2015-00589-02 </w:t>
      </w:r>
      <w:proofErr w:type="spellStart"/>
      <w:r w:rsidRPr="00B82B09">
        <w:rPr>
          <w:rFonts w:ascii="Calibri" w:eastAsia="Calibri" w:hAnsi="Calibri" w:cs="Calibri"/>
        </w:rPr>
        <w:t>Nº</w:t>
      </w:r>
      <w:proofErr w:type="spellEnd"/>
      <w:r w:rsidRPr="00B82B09">
        <w:rPr>
          <w:rFonts w:ascii="Calibri" w:eastAsia="Calibri" w:hAnsi="Calibri" w:cs="Calibri"/>
        </w:rPr>
        <w:t xml:space="preserve"> Interno: 1241-2023 Medio de control: Nulidad y restablecimiento del derecho – Ley 1437 de 2011 Tema: Contrato realidad</w:t>
      </w:r>
      <w:r>
        <w:rPr>
          <w:rFonts w:ascii="Calibri" w:eastAsia="Calibri" w:hAnsi="Calibri" w:cs="Calibri"/>
        </w:rPr>
        <w:t xml:space="preserve"> </w:t>
      </w:r>
    </w:p>
    <w:p w14:paraId="0D1E58CA" w14:textId="77777777" w:rsidR="002C6A14" w:rsidRPr="008668AE" w:rsidRDefault="002C6A14" w:rsidP="002C6A14">
      <w:pPr>
        <w:pStyle w:val="Prrafodelista"/>
        <w:spacing w:line="264" w:lineRule="exact"/>
        <w:ind w:right="-20"/>
        <w:jc w:val="both"/>
        <w:rPr>
          <w:rFonts w:ascii="Calibri" w:eastAsia="Calibri" w:hAnsi="Calibri" w:cs="Calibri"/>
          <w:b/>
          <w:bCs/>
        </w:rPr>
      </w:pPr>
    </w:p>
    <w:p w14:paraId="6040E7CA" w14:textId="77777777" w:rsidR="002C6A14" w:rsidRPr="008668AE" w:rsidRDefault="002C6A14" w:rsidP="002C6A14">
      <w:pPr>
        <w:pStyle w:val="Prrafodelista"/>
        <w:numPr>
          <w:ilvl w:val="0"/>
          <w:numId w:val="1"/>
        </w:numPr>
        <w:spacing w:after="0" w:line="264" w:lineRule="exact"/>
        <w:ind w:right="-20"/>
        <w:jc w:val="both"/>
        <w:rPr>
          <w:rFonts w:ascii="Calibri" w:eastAsia="Calibri" w:hAnsi="Calibri" w:cs="Calibri"/>
          <w:b/>
          <w:bCs/>
        </w:rPr>
      </w:pPr>
      <w:r w:rsidRPr="008668AE">
        <w:rPr>
          <w:rFonts w:ascii="Calibri" w:eastAsia="Calibri" w:hAnsi="Calibri" w:cs="Calibri"/>
          <w:b/>
          <w:bCs/>
        </w:rPr>
        <w:t xml:space="preserve">Indemnización despido sin justa causa: </w:t>
      </w:r>
      <w:r w:rsidRPr="008668AE">
        <w:rPr>
          <w:rFonts w:ascii="Calibri" w:eastAsia="Calibri" w:hAnsi="Calibri" w:cs="Calibri"/>
        </w:rPr>
        <w:t xml:space="preserve">No se reconoce, teniendo en cuenta que existen pronunciamientos del Consejo de Estado que indican que es improcedente comoquiera que la demandante no se vinculó a través de un contrato de trabajo. </w:t>
      </w:r>
      <w:r>
        <w:rPr>
          <w:rFonts w:ascii="Calibri" w:eastAsia="Calibri" w:hAnsi="Calibri" w:cs="Calibri"/>
        </w:rPr>
        <w:t xml:space="preserve">Ver sentencia: </w:t>
      </w:r>
      <w:r w:rsidRPr="00B82B09">
        <w:rPr>
          <w:rFonts w:ascii="Calibri" w:eastAsia="Calibri" w:hAnsi="Calibri" w:cs="Calibri"/>
        </w:rPr>
        <w:t>CONSEJO DE ESTADO SALA DE LO CONTENCIOSO ADMINISTRATIVO SECCIÓN SEGUNDA - SUBSECCIÓN A MAGISTRADO PONENTE: LUIS EDUARDO MESA NIEVES Bogotá D.C., veinte (20) de noviembre de dos mil veinticuatro (2024) Referencia: Nulidad y restablecimiento del derecho Radicación: 63001233300020190017401 (1533-2021)</w:t>
      </w:r>
    </w:p>
    <w:p w14:paraId="39DFE75D" w14:textId="77777777" w:rsidR="002C6A14" w:rsidRPr="00235567" w:rsidRDefault="002C6A14" w:rsidP="00235567">
      <w:pPr>
        <w:rPr>
          <w:rFonts w:ascii="Calibri" w:eastAsia="Calibri" w:hAnsi="Calibri" w:cs="Calibri"/>
        </w:rPr>
      </w:pPr>
    </w:p>
    <w:p w14:paraId="5DBBAAA8" w14:textId="69B23DB2" w:rsidR="002C6A14" w:rsidRPr="008668AE" w:rsidRDefault="002C6A14" w:rsidP="002C6A14">
      <w:pPr>
        <w:pStyle w:val="Prrafodelista"/>
        <w:numPr>
          <w:ilvl w:val="0"/>
          <w:numId w:val="1"/>
        </w:numPr>
        <w:spacing w:after="0" w:line="264" w:lineRule="exact"/>
        <w:ind w:right="-20"/>
        <w:jc w:val="both"/>
        <w:rPr>
          <w:rFonts w:ascii="Calibri" w:eastAsia="Calibri" w:hAnsi="Calibri" w:cs="Calibri"/>
        </w:rPr>
      </w:pPr>
      <w:r w:rsidRPr="008668AE">
        <w:rPr>
          <w:rFonts w:ascii="Calibri" w:eastAsia="Calibri" w:hAnsi="Calibri" w:cs="Calibri"/>
          <w:b/>
          <w:bCs/>
        </w:rPr>
        <w:t>TOTAL:</w:t>
      </w:r>
      <w:r w:rsidR="00235567" w:rsidRPr="00235567">
        <w:rPr>
          <w:rFonts w:ascii="Calibri" w:eastAsia="Calibri" w:hAnsi="Calibri" w:cs="Calibri"/>
          <w:b/>
          <w:bCs/>
        </w:rPr>
        <w:t xml:space="preserve"> $ 10.220.252</w:t>
      </w:r>
    </w:p>
    <w:p w14:paraId="038EE100" w14:textId="77777777" w:rsidR="002C6A14" w:rsidRPr="008668AE" w:rsidRDefault="002C6A14" w:rsidP="002C6A14">
      <w:pPr>
        <w:jc w:val="both"/>
        <w:rPr>
          <w:b/>
          <w:bCs/>
        </w:rPr>
      </w:pPr>
    </w:p>
    <w:p w14:paraId="5616CA2A" w14:textId="77777777" w:rsidR="002C6A14" w:rsidRPr="007363E7" w:rsidRDefault="002C6A14" w:rsidP="00EB6E00">
      <w:pPr>
        <w:jc w:val="both"/>
        <w:rPr>
          <w:bCs/>
          <w:iCs/>
          <w:lang w:val="es-ES"/>
        </w:rPr>
      </w:pPr>
    </w:p>
    <w:sectPr w:rsidR="002C6A14" w:rsidRPr="007363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D13AD"/>
    <w:multiLevelType w:val="hybridMultilevel"/>
    <w:tmpl w:val="FBB29E0A"/>
    <w:lvl w:ilvl="0" w:tplc="96B0769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597EEF"/>
    <w:multiLevelType w:val="hybridMultilevel"/>
    <w:tmpl w:val="AD9239E2"/>
    <w:lvl w:ilvl="0" w:tplc="D9BCAF04">
      <w:numFmt w:val="bullet"/>
      <w:lvlText w:val="-"/>
      <w:lvlJc w:val="left"/>
      <w:pPr>
        <w:ind w:left="1080" w:hanging="360"/>
      </w:pPr>
      <w:rPr>
        <w:rFonts w:ascii="Calibri" w:eastAsia="Calibri" w:hAnsi="Calibri" w:cs="Calibri"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1183588719">
    <w:abstractNumId w:val="0"/>
  </w:num>
  <w:num w:numId="2" w16cid:durableId="203623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62"/>
    <w:rsid w:val="00053969"/>
    <w:rsid w:val="00104A52"/>
    <w:rsid w:val="00235567"/>
    <w:rsid w:val="002C6A14"/>
    <w:rsid w:val="0049408C"/>
    <w:rsid w:val="004A53D4"/>
    <w:rsid w:val="004E60ED"/>
    <w:rsid w:val="00555313"/>
    <w:rsid w:val="005721E2"/>
    <w:rsid w:val="007363E7"/>
    <w:rsid w:val="007A13DE"/>
    <w:rsid w:val="007F2C93"/>
    <w:rsid w:val="00AF2B41"/>
    <w:rsid w:val="00C67C90"/>
    <w:rsid w:val="00CB5A05"/>
    <w:rsid w:val="00D655C5"/>
    <w:rsid w:val="00E40014"/>
    <w:rsid w:val="00E85FE8"/>
    <w:rsid w:val="00EB3462"/>
    <w:rsid w:val="00EB6E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DA9C"/>
  <w15:chartTrackingRefBased/>
  <w15:docId w15:val="{24C2BAF6-69B6-4915-8A90-F27721B6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B34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B34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B346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B346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B346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B346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B346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B346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B346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46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B346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B346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B346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B346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B34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B34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B34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B3462"/>
    <w:rPr>
      <w:rFonts w:eastAsiaTheme="majorEastAsia" w:cstheme="majorBidi"/>
      <w:color w:val="272727" w:themeColor="text1" w:themeTint="D8"/>
    </w:rPr>
  </w:style>
  <w:style w:type="paragraph" w:styleId="Ttulo">
    <w:name w:val="Title"/>
    <w:basedOn w:val="Normal"/>
    <w:next w:val="Normal"/>
    <w:link w:val="TtuloCar"/>
    <w:uiPriority w:val="10"/>
    <w:qFormat/>
    <w:rsid w:val="00EB3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B34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B34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B34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B3462"/>
    <w:pPr>
      <w:spacing w:before="160"/>
      <w:jc w:val="center"/>
    </w:pPr>
    <w:rPr>
      <w:i/>
      <w:iCs/>
      <w:color w:val="404040" w:themeColor="text1" w:themeTint="BF"/>
    </w:rPr>
  </w:style>
  <w:style w:type="character" w:customStyle="1" w:styleId="CitaCar">
    <w:name w:val="Cita Car"/>
    <w:basedOn w:val="Fuentedeprrafopredeter"/>
    <w:link w:val="Cita"/>
    <w:uiPriority w:val="29"/>
    <w:rsid w:val="00EB3462"/>
    <w:rPr>
      <w:i/>
      <w:iCs/>
      <w:color w:val="404040" w:themeColor="text1" w:themeTint="BF"/>
    </w:rPr>
  </w:style>
  <w:style w:type="paragraph" w:styleId="Prrafodelista">
    <w:name w:val="List Paragraph"/>
    <w:basedOn w:val="Normal"/>
    <w:uiPriority w:val="34"/>
    <w:qFormat/>
    <w:rsid w:val="00EB3462"/>
    <w:pPr>
      <w:ind w:left="720"/>
      <w:contextualSpacing/>
    </w:pPr>
  </w:style>
  <w:style w:type="character" w:styleId="nfasisintenso">
    <w:name w:val="Intense Emphasis"/>
    <w:basedOn w:val="Fuentedeprrafopredeter"/>
    <w:uiPriority w:val="21"/>
    <w:qFormat/>
    <w:rsid w:val="00EB3462"/>
    <w:rPr>
      <w:i/>
      <w:iCs/>
      <w:color w:val="2F5496" w:themeColor="accent1" w:themeShade="BF"/>
    </w:rPr>
  </w:style>
  <w:style w:type="paragraph" w:styleId="Citadestacada">
    <w:name w:val="Intense Quote"/>
    <w:basedOn w:val="Normal"/>
    <w:next w:val="Normal"/>
    <w:link w:val="CitadestacadaCar"/>
    <w:uiPriority w:val="30"/>
    <w:qFormat/>
    <w:rsid w:val="00EB3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B3462"/>
    <w:rPr>
      <w:i/>
      <w:iCs/>
      <w:color w:val="2F5496" w:themeColor="accent1" w:themeShade="BF"/>
    </w:rPr>
  </w:style>
  <w:style w:type="character" w:styleId="Referenciaintensa">
    <w:name w:val="Intense Reference"/>
    <w:basedOn w:val="Fuentedeprrafopredeter"/>
    <w:uiPriority w:val="32"/>
    <w:qFormat/>
    <w:rsid w:val="00EB3462"/>
    <w:rPr>
      <w:b/>
      <w:bCs/>
      <w:smallCaps/>
      <w:color w:val="2F5496" w:themeColor="accent1" w:themeShade="BF"/>
      <w:spacing w:val="5"/>
    </w:rPr>
  </w:style>
  <w:style w:type="character" w:styleId="Refdecomentario">
    <w:name w:val="annotation reference"/>
    <w:basedOn w:val="Fuentedeprrafopredeter"/>
    <w:uiPriority w:val="99"/>
    <w:semiHidden/>
    <w:unhideWhenUsed/>
    <w:rsid w:val="00053969"/>
    <w:rPr>
      <w:sz w:val="16"/>
      <w:szCs w:val="16"/>
    </w:rPr>
  </w:style>
  <w:style w:type="paragraph" w:styleId="Textocomentario">
    <w:name w:val="annotation text"/>
    <w:basedOn w:val="Normal"/>
    <w:link w:val="TextocomentarioCar"/>
    <w:uiPriority w:val="99"/>
    <w:unhideWhenUsed/>
    <w:rsid w:val="00053969"/>
    <w:pPr>
      <w:spacing w:line="240" w:lineRule="auto"/>
    </w:pPr>
    <w:rPr>
      <w:sz w:val="20"/>
      <w:szCs w:val="20"/>
    </w:rPr>
  </w:style>
  <w:style w:type="character" w:customStyle="1" w:styleId="TextocomentarioCar">
    <w:name w:val="Texto comentario Car"/>
    <w:basedOn w:val="Fuentedeprrafopredeter"/>
    <w:link w:val="Textocomentario"/>
    <w:uiPriority w:val="99"/>
    <w:rsid w:val="00053969"/>
    <w:rPr>
      <w:sz w:val="20"/>
      <w:szCs w:val="20"/>
    </w:rPr>
  </w:style>
  <w:style w:type="paragraph" w:styleId="Asuntodelcomentario">
    <w:name w:val="annotation subject"/>
    <w:basedOn w:val="Textocomentario"/>
    <w:next w:val="Textocomentario"/>
    <w:link w:val="AsuntodelcomentarioCar"/>
    <w:uiPriority w:val="99"/>
    <w:semiHidden/>
    <w:unhideWhenUsed/>
    <w:rsid w:val="00053969"/>
    <w:rPr>
      <w:b/>
      <w:bCs/>
    </w:rPr>
  </w:style>
  <w:style w:type="character" w:customStyle="1" w:styleId="AsuntodelcomentarioCar">
    <w:name w:val="Asunto del comentario Car"/>
    <w:basedOn w:val="TextocomentarioCar"/>
    <w:link w:val="Asuntodelcomentario"/>
    <w:uiPriority w:val="99"/>
    <w:semiHidden/>
    <w:rsid w:val="00053969"/>
    <w:rPr>
      <w:b/>
      <w:bCs/>
      <w:sz w:val="20"/>
      <w:szCs w:val="20"/>
    </w:rPr>
  </w:style>
  <w:style w:type="table" w:styleId="Tablaconcuadrcula">
    <w:name w:val="Table Grid"/>
    <w:basedOn w:val="Tablanormal"/>
    <w:uiPriority w:val="39"/>
    <w:rsid w:val="00235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6079">
      <w:bodyDiv w:val="1"/>
      <w:marLeft w:val="0"/>
      <w:marRight w:val="0"/>
      <w:marTop w:val="0"/>
      <w:marBottom w:val="0"/>
      <w:divBdr>
        <w:top w:val="none" w:sz="0" w:space="0" w:color="auto"/>
        <w:left w:val="none" w:sz="0" w:space="0" w:color="auto"/>
        <w:bottom w:val="none" w:sz="0" w:space="0" w:color="auto"/>
        <w:right w:val="none" w:sz="0" w:space="0" w:color="auto"/>
      </w:divBdr>
    </w:div>
    <w:div w:id="352341089">
      <w:bodyDiv w:val="1"/>
      <w:marLeft w:val="0"/>
      <w:marRight w:val="0"/>
      <w:marTop w:val="0"/>
      <w:marBottom w:val="0"/>
      <w:divBdr>
        <w:top w:val="none" w:sz="0" w:space="0" w:color="auto"/>
        <w:left w:val="none" w:sz="0" w:space="0" w:color="auto"/>
        <w:bottom w:val="none" w:sz="0" w:space="0" w:color="auto"/>
        <w:right w:val="none" w:sz="0" w:space="0" w:color="auto"/>
      </w:divBdr>
    </w:div>
    <w:div w:id="354967097">
      <w:bodyDiv w:val="1"/>
      <w:marLeft w:val="0"/>
      <w:marRight w:val="0"/>
      <w:marTop w:val="0"/>
      <w:marBottom w:val="0"/>
      <w:divBdr>
        <w:top w:val="none" w:sz="0" w:space="0" w:color="auto"/>
        <w:left w:val="none" w:sz="0" w:space="0" w:color="auto"/>
        <w:bottom w:val="none" w:sz="0" w:space="0" w:color="auto"/>
        <w:right w:val="none" w:sz="0" w:space="0" w:color="auto"/>
      </w:divBdr>
    </w:div>
    <w:div w:id="639268276">
      <w:bodyDiv w:val="1"/>
      <w:marLeft w:val="0"/>
      <w:marRight w:val="0"/>
      <w:marTop w:val="0"/>
      <w:marBottom w:val="0"/>
      <w:divBdr>
        <w:top w:val="none" w:sz="0" w:space="0" w:color="auto"/>
        <w:left w:val="none" w:sz="0" w:space="0" w:color="auto"/>
        <w:bottom w:val="none" w:sz="0" w:space="0" w:color="auto"/>
        <w:right w:val="none" w:sz="0" w:space="0" w:color="auto"/>
      </w:divBdr>
    </w:div>
    <w:div w:id="1352099973">
      <w:bodyDiv w:val="1"/>
      <w:marLeft w:val="0"/>
      <w:marRight w:val="0"/>
      <w:marTop w:val="0"/>
      <w:marBottom w:val="0"/>
      <w:divBdr>
        <w:top w:val="none" w:sz="0" w:space="0" w:color="auto"/>
        <w:left w:val="none" w:sz="0" w:space="0" w:color="auto"/>
        <w:bottom w:val="none" w:sz="0" w:space="0" w:color="auto"/>
        <w:right w:val="none" w:sz="0" w:space="0" w:color="auto"/>
      </w:divBdr>
    </w:div>
    <w:div w:id="1412696091">
      <w:bodyDiv w:val="1"/>
      <w:marLeft w:val="0"/>
      <w:marRight w:val="0"/>
      <w:marTop w:val="0"/>
      <w:marBottom w:val="0"/>
      <w:divBdr>
        <w:top w:val="none" w:sz="0" w:space="0" w:color="auto"/>
        <w:left w:val="none" w:sz="0" w:space="0" w:color="auto"/>
        <w:bottom w:val="none" w:sz="0" w:space="0" w:color="auto"/>
        <w:right w:val="none" w:sz="0" w:space="0" w:color="auto"/>
      </w:divBdr>
    </w:div>
    <w:div w:id="1541628443">
      <w:bodyDiv w:val="1"/>
      <w:marLeft w:val="0"/>
      <w:marRight w:val="0"/>
      <w:marTop w:val="0"/>
      <w:marBottom w:val="0"/>
      <w:divBdr>
        <w:top w:val="none" w:sz="0" w:space="0" w:color="auto"/>
        <w:left w:val="none" w:sz="0" w:space="0" w:color="auto"/>
        <w:bottom w:val="none" w:sz="0" w:space="0" w:color="auto"/>
        <w:right w:val="none" w:sz="0" w:space="0" w:color="auto"/>
      </w:divBdr>
    </w:div>
    <w:div w:id="1572078022">
      <w:bodyDiv w:val="1"/>
      <w:marLeft w:val="0"/>
      <w:marRight w:val="0"/>
      <w:marTop w:val="0"/>
      <w:marBottom w:val="0"/>
      <w:divBdr>
        <w:top w:val="none" w:sz="0" w:space="0" w:color="auto"/>
        <w:left w:val="none" w:sz="0" w:space="0" w:color="auto"/>
        <w:bottom w:val="none" w:sz="0" w:space="0" w:color="auto"/>
        <w:right w:val="none" w:sz="0" w:space="0" w:color="auto"/>
      </w:divBdr>
    </w:div>
    <w:div w:id="2080135397">
      <w:bodyDiv w:val="1"/>
      <w:marLeft w:val="0"/>
      <w:marRight w:val="0"/>
      <w:marTop w:val="0"/>
      <w:marBottom w:val="0"/>
      <w:divBdr>
        <w:top w:val="none" w:sz="0" w:space="0" w:color="auto"/>
        <w:left w:val="none" w:sz="0" w:space="0" w:color="auto"/>
        <w:bottom w:val="none" w:sz="0" w:space="0" w:color="auto"/>
        <w:right w:val="none" w:sz="0" w:space="0" w:color="auto"/>
      </w:divBdr>
    </w:div>
    <w:div w:id="20809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2025-06-09T23:41:00Z</dcterms:created>
  <dcterms:modified xsi:type="dcterms:W3CDTF">2025-06-09T23:41:00Z</dcterms:modified>
</cp:coreProperties>
</file>