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3721E" w14:textId="37D87725" w:rsidR="002D7F73" w:rsidRPr="002D7F73" w:rsidRDefault="002D7F73" w:rsidP="002D7F73">
      <w:pPr>
        <w:jc w:val="center"/>
        <w:rPr>
          <w:rFonts w:cstheme="minorHAnsi"/>
          <w:b/>
          <w:bCs/>
          <w:color w:val="EE0000"/>
          <w:sz w:val="24"/>
          <w:szCs w:val="24"/>
        </w:rPr>
      </w:pPr>
      <w:r w:rsidRPr="002D7F73">
        <w:rPr>
          <w:rFonts w:cstheme="minorHAnsi"/>
          <w:b/>
          <w:bCs/>
          <w:color w:val="EE0000"/>
          <w:sz w:val="24"/>
          <w:szCs w:val="24"/>
        </w:rPr>
        <w:t>ACTUALIZACIÓN CONTINGENCIA – PASA A PROBABLE</w:t>
      </w:r>
    </w:p>
    <w:p w14:paraId="210DD3C0" w14:textId="77777777" w:rsidR="002D7F73" w:rsidRPr="002D7F73" w:rsidRDefault="002D7F73" w:rsidP="002D7F73">
      <w:pPr>
        <w:jc w:val="both"/>
        <w:rPr>
          <w:rFonts w:cstheme="minorHAnsi"/>
          <w:sz w:val="24"/>
          <w:szCs w:val="24"/>
        </w:rPr>
      </w:pPr>
    </w:p>
    <w:p w14:paraId="2A8120FA" w14:textId="77777777" w:rsidR="002D7F73" w:rsidRPr="002D7F73" w:rsidRDefault="002D7F73" w:rsidP="002D7F73">
      <w:pPr>
        <w:jc w:val="both"/>
        <w:rPr>
          <w:rFonts w:cstheme="minorHAnsi"/>
          <w:sz w:val="24"/>
          <w:szCs w:val="24"/>
        </w:rPr>
      </w:pPr>
      <w:r w:rsidRPr="002D7F73">
        <w:rPr>
          <w:rFonts w:cstheme="minorHAnsi"/>
          <w:sz w:val="24"/>
          <w:szCs w:val="24"/>
        </w:rPr>
        <w:t>Del análisis probatorio se sugiere cambio de contingencia a probable. De las pruebas quedó demostrado que en el contrato estatal entre el Consorcio BCZ 2016 y el municipio de Cali no se prohibió la subcontratación, por lo que la administración no pudo desligarse de responsabilidad. El vehículo de placas VJD 110, de propiedad de Transportes Zapata quien subcontrató con el Consorcio BCZ 2016 quien a su vez tenía un contrato de prestación de servicio de transporte con el Distrito Especial de Santiago de Cali para desplazar a estudiantes de la Institución Educativa "Multipropósito", fue el responsable del accidente de tránsito del 15 de febrero de 2016 y no el vehículo VAH 342, lo cual era el centro del debate procesal. Se probó que el vehículo VJD 110 tuvo una falla mecánica de la manguera de los frenos, no obstante, tratándose de una actividad peligrosa, esto no exime de responsabilidad. En el evento de que el juez acoja nuestra tesis del amparo afectar debe ser el de vehículos propios y no propios, pues el contrato se ejecuta en un vehículo no propio debe operar en exceso de la cobertura de automóviles contratada con Mundial No. 20000001670, que como se ha expuesto probablemente se declare la ineficacia del llamamiento y probablemente la única que se afecte sea la RCE No. 45-40-101032650 derivada del contrato de cumplimiento que sería la de Seguros del Estado por valor de $137.891.000</w:t>
      </w:r>
    </w:p>
    <w:p w14:paraId="36DAE173" w14:textId="77777777" w:rsidR="002D7F73" w:rsidRPr="002D7F73" w:rsidRDefault="002D7F73" w:rsidP="002D7F73">
      <w:pPr>
        <w:jc w:val="both"/>
        <w:rPr>
          <w:rFonts w:cstheme="minorHAnsi"/>
          <w:sz w:val="24"/>
          <w:szCs w:val="24"/>
        </w:rPr>
      </w:pPr>
    </w:p>
    <w:p w14:paraId="0607CF53" w14:textId="045B32B9" w:rsidR="002D7F73" w:rsidRPr="002D7F73" w:rsidRDefault="002D7F73" w:rsidP="002D7F73">
      <w:pPr>
        <w:jc w:val="both"/>
        <w:rPr>
          <w:rFonts w:cstheme="minorHAnsi"/>
          <w:sz w:val="24"/>
          <w:szCs w:val="24"/>
        </w:rPr>
      </w:pPr>
      <w:r w:rsidRPr="002D7F73">
        <w:rPr>
          <w:rFonts w:cstheme="minorHAnsi"/>
          <w:b/>
          <w:bCs/>
          <w:sz w:val="24"/>
          <w:szCs w:val="24"/>
        </w:rPr>
        <w:t>Proponemos la siguiente calificación:</w:t>
      </w:r>
    </w:p>
    <w:p w14:paraId="74A94EC2" w14:textId="77777777" w:rsidR="002D7F73" w:rsidRPr="002D7F73" w:rsidRDefault="002D7F73" w:rsidP="002D7F73">
      <w:pPr>
        <w:jc w:val="both"/>
        <w:rPr>
          <w:rFonts w:cstheme="minorHAnsi"/>
          <w:sz w:val="24"/>
          <w:szCs w:val="24"/>
        </w:rPr>
      </w:pPr>
    </w:p>
    <w:p w14:paraId="1E3F5DBE" w14:textId="39B59722" w:rsidR="002D7F73" w:rsidRPr="002D7F73" w:rsidRDefault="002D7F73" w:rsidP="002D7F73">
      <w:pPr>
        <w:jc w:val="both"/>
        <w:rPr>
          <w:rFonts w:cstheme="minorHAnsi"/>
          <w:sz w:val="24"/>
          <w:szCs w:val="24"/>
        </w:rPr>
      </w:pPr>
      <w:r w:rsidRPr="002D7F73">
        <w:rPr>
          <w:rFonts w:cstheme="minorHAnsi"/>
          <w:sz w:val="24"/>
          <w:szCs w:val="24"/>
        </w:rPr>
        <w:t>La calificación de la contingencia se actualiza de remota a Probable dado que si bien, la Póliza de Responsabilidad Civil Extracontractual No. 1501215001154 ofrece una cobertura en exceso, la realidad es que el valor de las pretensiones objetivas es considerablemente alto y las Pólizas de primera capa tienen una suma asegurada menor que no alcanzaría a cubrir en su totalidad la eventual condena. Aunado a ello, la responsabilidad del Distrito Especial de Santiago de Cali está demostrada, toda vez que la falla mecánica del vehículo que conducía a los estudiantes no tiene la virtualidad de romper el nexo de causalidad.</w:t>
      </w:r>
    </w:p>
    <w:p w14:paraId="7FFBFFD6" w14:textId="3D823D2E" w:rsidR="002D7F73" w:rsidRPr="002D7F73" w:rsidRDefault="002D7F73" w:rsidP="002D7F73">
      <w:pPr>
        <w:jc w:val="both"/>
        <w:rPr>
          <w:rFonts w:cstheme="minorHAnsi"/>
          <w:sz w:val="24"/>
          <w:szCs w:val="24"/>
        </w:rPr>
      </w:pPr>
      <w:r w:rsidRPr="002D7F73">
        <w:rPr>
          <w:rFonts w:cstheme="minorHAnsi"/>
          <w:sz w:val="24"/>
          <w:szCs w:val="24"/>
        </w:rPr>
        <w:t xml:space="preserve">En primer lugar, la Póliza de Seguro No. 1501215001154 presta cobertura temporal en razón a que la modalidad pactada es de ocurrencia, la vigencia es del 31/01/2016 al 16/03/2016 y el accidente ocurrió el 15/02/2016. Así mismo presta cobertura material dado a su amparo de "responsabilidad civil derivada del uso de vehículos propios y no propios" el cual opera en exceso de los seguros contratados por el contratista. En este sentido, entiendo que las entidades estatales son solidariamente responsables por los daños que sus contratistas y subcontratistas ocasionen a terceros, la Póliza presta cobertura material, específicamente por el amparo mencionado, ya que el accidente se ocasionó en virtud de un contrato de prestación del servicio de transporte para los estudiantes de un colegio público "Multipropósito", no obstante, esta cobertura se presta en exceso de las Pólizas de Responsabilidad Civil derivada del contrato de seguro pactado entre el contratista y el </w:t>
      </w:r>
      <w:r w:rsidRPr="002D7F73">
        <w:rPr>
          <w:rFonts w:cstheme="minorHAnsi"/>
          <w:sz w:val="24"/>
          <w:szCs w:val="24"/>
        </w:rPr>
        <w:lastRenderedPageBreak/>
        <w:t>municipio cuya aseguradora es Seguros del Estado, y la Póliza de Responsabilidad Civil del vehículo de placas VJD 110 cuya aseguradora es la Compañía Mundial de Seguros.</w:t>
      </w:r>
    </w:p>
    <w:p w14:paraId="0192AF54" w14:textId="0673C879" w:rsidR="002D7F73" w:rsidRPr="002D7F73" w:rsidRDefault="002D7F73" w:rsidP="002D7F73">
      <w:pPr>
        <w:jc w:val="both"/>
        <w:rPr>
          <w:rFonts w:cstheme="minorHAnsi"/>
          <w:sz w:val="24"/>
          <w:szCs w:val="24"/>
        </w:rPr>
      </w:pPr>
      <w:r w:rsidRPr="002D7F73">
        <w:rPr>
          <w:rFonts w:cstheme="minorHAnsi"/>
          <w:sz w:val="24"/>
          <w:szCs w:val="24"/>
        </w:rPr>
        <w:t xml:space="preserve">Frente a la Póliza Responsabilidad Civil Extracontractual No. 20000001670 expedida por Seguros Mundial, es necesario decir que la suma máxima asegurada es de solo 120 SMMLV, que a la fecha del 2025 ascienden al valor de $170.820.000, lo cual frente al volumen de demandantes -concurren 36 demandantes- </w:t>
      </w:r>
      <w:proofErr w:type="spellStart"/>
      <w:r w:rsidRPr="002D7F73">
        <w:rPr>
          <w:rFonts w:cstheme="minorHAnsi"/>
          <w:sz w:val="24"/>
          <w:szCs w:val="24"/>
        </w:rPr>
        <w:t>mas</w:t>
      </w:r>
      <w:proofErr w:type="spellEnd"/>
      <w:r w:rsidRPr="002D7F73">
        <w:rPr>
          <w:rFonts w:cstheme="minorHAnsi"/>
          <w:sz w:val="24"/>
          <w:szCs w:val="24"/>
        </w:rPr>
        <w:t xml:space="preserve"> la prueba de responsabilidad es claramente insuficiente.  Aunado a ello, es posible que el Despacho declare la ineficacia del llamamiento en garantía propuesta por la Compañía Mundial de Seguros, toda vez que el auto que admitió el llamamiento se profirió el 8 de julio de 2020 y su notificación solo se realizó hasta el 18 de agosto de 2022.</w:t>
      </w:r>
    </w:p>
    <w:p w14:paraId="735CE348" w14:textId="22DE8A9F" w:rsidR="002D7F73" w:rsidRPr="002D7F73" w:rsidRDefault="002D7F73" w:rsidP="002D7F73">
      <w:pPr>
        <w:jc w:val="both"/>
        <w:rPr>
          <w:rFonts w:cstheme="minorHAnsi"/>
          <w:sz w:val="24"/>
          <w:szCs w:val="24"/>
        </w:rPr>
      </w:pPr>
      <w:r w:rsidRPr="002D7F73">
        <w:rPr>
          <w:rFonts w:cstheme="minorHAnsi"/>
          <w:sz w:val="24"/>
          <w:szCs w:val="24"/>
        </w:rPr>
        <w:t>Frente a la Póliza de Responsabilidad Civil Extracontractual derivada del incumplimiento del contrato con el Municipio No. 45-40-101032650 expedida por Seguros del Estado, es menester indicar que esta póliza fue contratada específicamente para asegurar el riesgo causado a terceros con ocasión a la ejecución del contrato de transporte que celebró el Distrito con el Consorcio, por lo tanto, está probado que presta cobertura y tiene la RCE derivada. Sin embargo, la suma asegurada es baja, pues asciende al valor de $137.891.000 y tiene un deducible del 10% - mínimo 5 SMMLV, por lo que, muy probablemente ante el escenario de una condena, la Póliza sea insuficiente.</w:t>
      </w:r>
    </w:p>
    <w:p w14:paraId="4D884315" w14:textId="4E78C63C" w:rsidR="002D7F73" w:rsidRPr="002D7F73" w:rsidRDefault="002D7F73" w:rsidP="002D7F73">
      <w:pPr>
        <w:jc w:val="both"/>
        <w:rPr>
          <w:rFonts w:cstheme="minorHAnsi"/>
          <w:sz w:val="24"/>
          <w:szCs w:val="24"/>
        </w:rPr>
      </w:pPr>
      <w:r w:rsidRPr="002D7F73">
        <w:rPr>
          <w:rFonts w:cstheme="minorHAnsi"/>
          <w:sz w:val="24"/>
          <w:szCs w:val="24"/>
        </w:rPr>
        <w:t>Frente a la Póliza Accidentes Personales Integral Estudiantil No. 45-68-1000003525, esta si bien fue llamada en garantía por la Empresa Transportes Especiales Zapata S.A.S., la realidad es que esta Póliza no la expidió Seguros del Estado sino Seguros de Vida del Estado S.A., compañía que no fue vinculada al proceso, por lo cual es claro que esa tarea a cargo de ellos no fue subsanada.</w:t>
      </w:r>
    </w:p>
    <w:p w14:paraId="7F8260A8" w14:textId="77777777" w:rsidR="002D7F73" w:rsidRPr="002D7F73" w:rsidRDefault="002D7F73" w:rsidP="002D7F73">
      <w:pPr>
        <w:jc w:val="both"/>
        <w:rPr>
          <w:rFonts w:cstheme="minorHAnsi"/>
          <w:sz w:val="24"/>
          <w:szCs w:val="24"/>
        </w:rPr>
      </w:pPr>
      <w:r w:rsidRPr="002D7F73">
        <w:rPr>
          <w:rFonts w:cstheme="minorHAnsi"/>
          <w:sz w:val="24"/>
          <w:szCs w:val="24"/>
        </w:rPr>
        <w:t>Así las cosas, ante el escenario de una condena, es probable que la Póliza de Responsabilidad Civil Extracontractual No. 1501215001154 por la que fue vinculada la compañía, opere en exceso, sin embargo, se hace la claridad que, de acuerdo con las condiciones de la Póliza la condena solo podrá ser por el valor máximo asegurado de $128.000.000 pesos m/cte., valor que corresponde al 16% del sublimite asegurado por evento que son $800.000.000 pesos m/cte., y que claro está, deberá restársele el deducible pactado del 15% del valor de la pérdida – mínimo 40 SMMLV, y también tenerse en cuenta que la Póliza tiene un coaseguro, que para el caso de Allianz Seguros S.A. es del 23%.</w:t>
      </w:r>
    </w:p>
    <w:p w14:paraId="47C2F9AD" w14:textId="77777777" w:rsidR="002D7F73" w:rsidRPr="002D7F73" w:rsidRDefault="002D7F73" w:rsidP="002D7F73">
      <w:pPr>
        <w:jc w:val="both"/>
        <w:rPr>
          <w:rFonts w:cstheme="minorHAnsi"/>
          <w:sz w:val="24"/>
          <w:szCs w:val="24"/>
        </w:rPr>
      </w:pPr>
      <w:r w:rsidRPr="002D7F73">
        <w:rPr>
          <w:rFonts w:cstheme="minorHAnsi"/>
          <w:sz w:val="24"/>
          <w:szCs w:val="24"/>
        </w:rPr>
        <w:t>Por último, frente a la responsabilidad del Distrito Especial de Santiago de Cali, es necesario indicar que se encuentra acreditado que la entidad celebró el Contrato de transporte No. 4143.0.26.003-2016 con el Consorcio Transportes Especiales BCZ 2016, como integrante del Consorcio la empresa Transportes Especiales Zapata LTDA subcontrató con la empresa Transportes la Estrella S.A. para prestar el servicio de transporte en el vehículo de placas VJD110. En este sentido, está demostrada la relación contractual y la legitimación en la causa por pasiva del Distrito, en razón a que la jurisprudencia del Consejo de Estado ha sido clara en afirmar que las entidades estatales son responsables solidariamente por los daños que ocasionen sus contratistas y subcontratistas.</w:t>
      </w:r>
    </w:p>
    <w:p w14:paraId="1DF14A60" w14:textId="77777777" w:rsidR="002D7F73" w:rsidRPr="002D7F73" w:rsidRDefault="002D7F73" w:rsidP="002D7F73">
      <w:pPr>
        <w:jc w:val="both"/>
        <w:rPr>
          <w:rFonts w:cstheme="minorHAnsi"/>
          <w:sz w:val="24"/>
          <w:szCs w:val="24"/>
        </w:rPr>
      </w:pPr>
      <w:r w:rsidRPr="002D7F73">
        <w:rPr>
          <w:rFonts w:cstheme="minorHAnsi"/>
          <w:sz w:val="24"/>
          <w:szCs w:val="24"/>
        </w:rPr>
        <w:lastRenderedPageBreak/>
        <w:t xml:space="preserve">Así mismo, al tratarse de la ejecución de un contrato de transporte, la conducción de vehículos ha sido catalogada por el Consejo de Estado como una actividad peligrosa, </w:t>
      </w:r>
      <w:proofErr w:type="gramStart"/>
      <w:r w:rsidRPr="002D7F73">
        <w:rPr>
          <w:rFonts w:cstheme="minorHAnsi"/>
          <w:sz w:val="24"/>
          <w:szCs w:val="24"/>
        </w:rPr>
        <w:t>y</w:t>
      </w:r>
      <w:proofErr w:type="gramEnd"/>
      <w:r w:rsidRPr="002D7F73">
        <w:rPr>
          <w:rFonts w:cstheme="minorHAnsi"/>
          <w:sz w:val="24"/>
          <w:szCs w:val="24"/>
        </w:rPr>
        <w:t xml:space="preserve"> por ende, el régimen de responsabilidad aplicable es el objetivo, lo que significa que al demandante le basta con demostrar la existencia del daño y el nexo de causalidad, es decir, solo debe acreditar que el daño sufrido se originó en el ejercicio de la actividad peligrosa a cargo de la entidad. Esta situación se pretendió desvirtuar alegando el hecho de un tercero pero que finalmente no fue posible demostrar pues la prueba del informe, los testimonios e interrogatorio superaron con total solvencia que la responsabilidad sí está en cabeza del vehículo VJD 110 (o sea del subcontratista)</w:t>
      </w:r>
    </w:p>
    <w:p w14:paraId="4CBF0743" w14:textId="77777777" w:rsidR="002D7F73" w:rsidRPr="002D7F73" w:rsidRDefault="002D7F73" w:rsidP="002D7F73">
      <w:pPr>
        <w:jc w:val="both"/>
        <w:rPr>
          <w:rFonts w:cstheme="minorHAnsi"/>
          <w:sz w:val="24"/>
          <w:szCs w:val="24"/>
        </w:rPr>
      </w:pPr>
      <w:r w:rsidRPr="002D7F73">
        <w:rPr>
          <w:rFonts w:cstheme="minorHAnsi"/>
          <w:sz w:val="24"/>
          <w:szCs w:val="24"/>
        </w:rPr>
        <w:t xml:space="preserve">En conclusión, el análisis de los alegatos de conclusión está encaminado a la afectación del amparo de vehículos y no propios. La póliza no es clara al determinar en el cuadro de coberturas que el valor de la izquierda sea $800.000.000 por evento y el de la derecha de $1.350.000.000 por vigencia. Del análisis de otras coberturas indicadas en las condiciones particulares es posible demostrar que la derecha es eventos </w:t>
      </w:r>
      <w:proofErr w:type="spellStart"/>
      <w:r w:rsidRPr="002D7F73">
        <w:rPr>
          <w:rFonts w:cstheme="minorHAnsi"/>
          <w:sz w:val="24"/>
          <w:szCs w:val="24"/>
        </w:rPr>
        <w:t>y</w:t>
      </w:r>
      <w:proofErr w:type="spellEnd"/>
      <w:r w:rsidRPr="002D7F73">
        <w:rPr>
          <w:rFonts w:cstheme="minorHAnsi"/>
          <w:sz w:val="24"/>
          <w:szCs w:val="24"/>
        </w:rPr>
        <w:t xml:space="preserve"> izquierdo anual, tal como se analiza en el amparo de contratistas y subcontratistas. También es posible que al ser declarada la ineficacia del llamamiento en garantía efectuado a la Compañía Mundial de Seguros para que opere el amparo de vehículos propios y no propios en exceso, el juez se ubique en el amparo de "Responsabilidad civil para contratistas y subcontratistas" y el valor asegurado por evento asciende a $3.250.000.000 el cual con solvencia cubriría la totalidad del faltante de condena que se ha expuesto. Este análisis es meramente </w:t>
      </w:r>
      <w:proofErr w:type="gramStart"/>
      <w:r w:rsidRPr="002D7F73">
        <w:rPr>
          <w:rFonts w:cstheme="minorHAnsi"/>
          <w:sz w:val="24"/>
          <w:szCs w:val="24"/>
        </w:rPr>
        <w:t>hipotético</w:t>
      </w:r>
      <w:proofErr w:type="gramEnd"/>
      <w:r w:rsidRPr="002D7F73">
        <w:rPr>
          <w:rFonts w:cstheme="minorHAnsi"/>
          <w:sz w:val="24"/>
          <w:szCs w:val="24"/>
        </w:rPr>
        <w:t xml:space="preserve"> pero no deja de ser importante de mencionar toda vez que es muy probable que se decrete la ineficacia del llamamiento en garantía formulado a Mundial como se ha expuesto, no obstante, la firma continúa con la convicción de la afectación del amparo de vehículos propios y no propios, y en caso de sentencia, considerará el argumento del juez para así mismo hacer valer las condiciones del contrato de seguro.</w:t>
      </w:r>
    </w:p>
    <w:p w14:paraId="57866CA1" w14:textId="77777777" w:rsidR="002D7F73" w:rsidRPr="002D7F73" w:rsidRDefault="002D7F73" w:rsidP="002D7F73">
      <w:pPr>
        <w:jc w:val="both"/>
        <w:rPr>
          <w:rFonts w:cstheme="minorHAnsi"/>
          <w:sz w:val="24"/>
          <w:szCs w:val="24"/>
        </w:rPr>
      </w:pPr>
    </w:p>
    <w:p w14:paraId="5B024DC7" w14:textId="0A59C8C9" w:rsidR="002D7F73" w:rsidRPr="002D7F73" w:rsidRDefault="002D7F73" w:rsidP="002D7F73">
      <w:pPr>
        <w:jc w:val="both"/>
        <w:rPr>
          <w:rFonts w:cstheme="minorHAnsi"/>
          <w:sz w:val="24"/>
          <w:szCs w:val="24"/>
        </w:rPr>
      </w:pPr>
      <w:r w:rsidRPr="002D7F73">
        <w:rPr>
          <w:rFonts w:cstheme="minorHAnsi"/>
          <w:b/>
          <w:bCs/>
          <w:sz w:val="24"/>
          <w:szCs w:val="24"/>
        </w:rPr>
        <w:t xml:space="preserve">Liquidación </w:t>
      </w:r>
      <w:proofErr w:type="gramStart"/>
      <w:r w:rsidRPr="002D7F73">
        <w:rPr>
          <w:rFonts w:cstheme="minorHAnsi"/>
          <w:b/>
          <w:bCs/>
          <w:sz w:val="24"/>
          <w:szCs w:val="24"/>
        </w:rPr>
        <w:t>al día de hoy</w:t>
      </w:r>
      <w:proofErr w:type="gramEnd"/>
      <w:r w:rsidRPr="002D7F73">
        <w:rPr>
          <w:rFonts w:cstheme="minorHAnsi"/>
          <w:b/>
          <w:bCs/>
          <w:sz w:val="24"/>
          <w:szCs w:val="24"/>
        </w:rPr>
        <w:t>:</w:t>
      </w:r>
    </w:p>
    <w:p w14:paraId="026EBDB6" w14:textId="77777777" w:rsidR="002D7F73" w:rsidRPr="002D7F73" w:rsidRDefault="002D7F73" w:rsidP="002D7F73">
      <w:pPr>
        <w:jc w:val="both"/>
        <w:rPr>
          <w:rFonts w:cstheme="minorHAnsi"/>
          <w:sz w:val="24"/>
          <w:szCs w:val="24"/>
        </w:rPr>
      </w:pPr>
    </w:p>
    <w:tbl>
      <w:tblPr>
        <w:tblW w:w="9680" w:type="dxa"/>
        <w:shd w:val="clear" w:color="auto" w:fill="FFFFFF"/>
        <w:tblCellMar>
          <w:top w:w="15" w:type="dxa"/>
          <w:left w:w="15" w:type="dxa"/>
          <w:bottom w:w="15" w:type="dxa"/>
          <w:right w:w="15" w:type="dxa"/>
        </w:tblCellMar>
        <w:tblLook w:val="04A0" w:firstRow="1" w:lastRow="0" w:firstColumn="1" w:lastColumn="0" w:noHBand="0" w:noVBand="1"/>
      </w:tblPr>
      <w:tblGrid>
        <w:gridCol w:w="460"/>
        <w:gridCol w:w="2340"/>
        <w:gridCol w:w="1760"/>
        <w:gridCol w:w="2680"/>
        <w:gridCol w:w="2440"/>
      </w:tblGrid>
      <w:tr w:rsidR="002D7F73" w:rsidRPr="002D7F73" w14:paraId="5891297A" w14:textId="77777777">
        <w:trPr>
          <w:trHeight w:val="225"/>
        </w:trPr>
        <w:tc>
          <w:tcPr>
            <w:tcW w:w="4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D70B09A" w14:textId="31788A75" w:rsidR="002D7F73" w:rsidRPr="002D7F73" w:rsidRDefault="002D7F73" w:rsidP="002D7F73">
            <w:pPr>
              <w:jc w:val="both"/>
              <w:rPr>
                <w:rFonts w:cstheme="minorHAnsi"/>
                <w:sz w:val="24"/>
                <w:szCs w:val="24"/>
              </w:rPr>
            </w:pPr>
          </w:p>
        </w:tc>
        <w:tc>
          <w:tcPr>
            <w:tcW w:w="2340" w:type="dxa"/>
            <w:tcBorders>
              <w:top w:val="single" w:sz="4" w:space="0" w:color="auto"/>
              <w:bottom w:val="single" w:sz="4" w:space="0" w:color="auto"/>
              <w:right w:val="single" w:sz="4" w:space="0" w:color="auto"/>
            </w:tcBorders>
            <w:shd w:val="clear" w:color="auto" w:fill="E49EDD"/>
            <w:noWrap/>
            <w:vAlign w:val="bottom"/>
            <w:hideMark/>
          </w:tcPr>
          <w:p w14:paraId="1733FAB6" w14:textId="77777777" w:rsidR="002D7F73" w:rsidRPr="002D7F73" w:rsidRDefault="002D7F73" w:rsidP="002D7F73">
            <w:pPr>
              <w:jc w:val="both"/>
              <w:rPr>
                <w:rFonts w:cstheme="minorHAnsi"/>
                <w:sz w:val="24"/>
                <w:szCs w:val="24"/>
              </w:rPr>
            </w:pPr>
            <w:proofErr w:type="spellStart"/>
            <w:r w:rsidRPr="002D7F73">
              <w:rPr>
                <w:rFonts w:cstheme="minorHAnsi"/>
                <w:sz w:val="24"/>
                <w:szCs w:val="24"/>
              </w:rPr>
              <w:t>Demandate</w:t>
            </w:r>
            <w:proofErr w:type="spellEnd"/>
          </w:p>
        </w:tc>
        <w:tc>
          <w:tcPr>
            <w:tcW w:w="1760" w:type="dxa"/>
            <w:vMerge w:val="restart"/>
            <w:tcBorders>
              <w:top w:val="single" w:sz="4" w:space="0" w:color="auto"/>
              <w:left w:val="single" w:sz="4" w:space="0" w:color="auto"/>
              <w:bottom w:val="single" w:sz="4" w:space="0" w:color="auto"/>
              <w:right w:val="single" w:sz="4" w:space="0" w:color="auto"/>
            </w:tcBorders>
            <w:shd w:val="clear" w:color="auto" w:fill="E49EDD"/>
            <w:noWrap/>
            <w:vAlign w:val="center"/>
            <w:hideMark/>
          </w:tcPr>
          <w:p w14:paraId="4025DEC6" w14:textId="77777777" w:rsidR="002D7F73" w:rsidRPr="002D7F73" w:rsidRDefault="002D7F73" w:rsidP="002D7F73">
            <w:pPr>
              <w:jc w:val="both"/>
              <w:rPr>
                <w:rFonts w:cstheme="minorHAnsi"/>
                <w:sz w:val="24"/>
                <w:szCs w:val="24"/>
              </w:rPr>
            </w:pPr>
            <w:r w:rsidRPr="002D7F73">
              <w:rPr>
                <w:rFonts w:cstheme="minorHAnsi"/>
                <w:sz w:val="24"/>
                <w:szCs w:val="24"/>
              </w:rPr>
              <w:t>Parentesco</w:t>
            </w:r>
          </w:p>
        </w:tc>
        <w:tc>
          <w:tcPr>
            <w:tcW w:w="2680" w:type="dxa"/>
            <w:vMerge w:val="restart"/>
            <w:tcBorders>
              <w:top w:val="single" w:sz="4" w:space="0" w:color="auto"/>
              <w:left w:val="single" w:sz="4" w:space="0" w:color="auto"/>
              <w:bottom w:val="single" w:sz="4" w:space="0" w:color="auto"/>
              <w:right w:val="single" w:sz="4" w:space="0" w:color="auto"/>
            </w:tcBorders>
            <w:shd w:val="clear" w:color="auto" w:fill="E49EDD"/>
            <w:noWrap/>
            <w:vAlign w:val="center"/>
            <w:hideMark/>
          </w:tcPr>
          <w:p w14:paraId="07E036C9" w14:textId="77777777" w:rsidR="002D7F73" w:rsidRPr="002D7F73" w:rsidRDefault="002D7F73" w:rsidP="002D7F73">
            <w:pPr>
              <w:jc w:val="both"/>
              <w:rPr>
                <w:rFonts w:cstheme="minorHAnsi"/>
                <w:sz w:val="24"/>
                <w:szCs w:val="24"/>
              </w:rPr>
            </w:pPr>
            <w:r w:rsidRPr="002D7F73">
              <w:rPr>
                <w:rFonts w:cstheme="minorHAnsi"/>
                <w:sz w:val="24"/>
                <w:szCs w:val="24"/>
              </w:rPr>
              <w:t>Daño Moral (</w:t>
            </w:r>
            <w:proofErr w:type="spellStart"/>
            <w:r w:rsidRPr="002D7F73">
              <w:rPr>
                <w:rFonts w:cstheme="minorHAnsi"/>
                <w:sz w:val="24"/>
                <w:szCs w:val="24"/>
              </w:rPr>
              <w:t>smlmv</w:t>
            </w:r>
            <w:proofErr w:type="spellEnd"/>
            <w:r w:rsidRPr="002D7F73">
              <w:rPr>
                <w:rFonts w:cstheme="minorHAnsi"/>
                <w:sz w:val="24"/>
                <w:szCs w:val="24"/>
              </w:rPr>
              <w:t>)</w:t>
            </w:r>
          </w:p>
        </w:tc>
        <w:tc>
          <w:tcPr>
            <w:tcW w:w="2440" w:type="dxa"/>
            <w:vMerge w:val="restart"/>
            <w:tcBorders>
              <w:top w:val="single" w:sz="4" w:space="0" w:color="auto"/>
              <w:left w:val="single" w:sz="4" w:space="0" w:color="auto"/>
              <w:bottom w:val="single" w:sz="4" w:space="0" w:color="auto"/>
              <w:right w:val="single" w:sz="4" w:space="0" w:color="auto"/>
            </w:tcBorders>
            <w:shd w:val="clear" w:color="auto" w:fill="E49EDD"/>
            <w:noWrap/>
            <w:vAlign w:val="center"/>
            <w:hideMark/>
          </w:tcPr>
          <w:p w14:paraId="3FA2833A" w14:textId="77777777" w:rsidR="002D7F73" w:rsidRPr="002D7F73" w:rsidRDefault="002D7F73" w:rsidP="002D7F73">
            <w:pPr>
              <w:jc w:val="both"/>
              <w:rPr>
                <w:rFonts w:cstheme="minorHAnsi"/>
                <w:sz w:val="24"/>
                <w:szCs w:val="24"/>
              </w:rPr>
            </w:pPr>
            <w:r w:rsidRPr="002D7F73">
              <w:rPr>
                <w:rFonts w:cstheme="minorHAnsi"/>
                <w:sz w:val="24"/>
                <w:szCs w:val="24"/>
              </w:rPr>
              <w:t>Daño a la salud (</w:t>
            </w:r>
            <w:proofErr w:type="spellStart"/>
            <w:r w:rsidRPr="002D7F73">
              <w:rPr>
                <w:rFonts w:cstheme="minorHAnsi"/>
                <w:sz w:val="24"/>
                <w:szCs w:val="24"/>
              </w:rPr>
              <w:t>smlmv</w:t>
            </w:r>
            <w:proofErr w:type="spellEnd"/>
            <w:r w:rsidRPr="002D7F73">
              <w:rPr>
                <w:rFonts w:cstheme="minorHAnsi"/>
                <w:sz w:val="24"/>
                <w:szCs w:val="24"/>
              </w:rPr>
              <w:t>)</w:t>
            </w:r>
          </w:p>
        </w:tc>
      </w:tr>
      <w:tr w:rsidR="002D7F73" w:rsidRPr="002D7F73" w14:paraId="16C977AD" w14:textId="77777777">
        <w:trPr>
          <w:trHeight w:val="450"/>
        </w:trPr>
        <w:tc>
          <w:tcPr>
            <w:tcW w:w="460" w:type="dxa"/>
            <w:tcBorders>
              <w:left w:val="single" w:sz="4" w:space="0" w:color="auto"/>
              <w:bottom w:val="single" w:sz="4" w:space="0" w:color="auto"/>
              <w:right w:val="single" w:sz="4" w:space="0" w:color="auto"/>
            </w:tcBorders>
            <w:shd w:val="clear" w:color="auto" w:fill="FFFFFF"/>
            <w:noWrap/>
            <w:vAlign w:val="bottom"/>
            <w:hideMark/>
          </w:tcPr>
          <w:p w14:paraId="53F10C41" w14:textId="78647042" w:rsidR="002D7F73" w:rsidRPr="002D7F73" w:rsidRDefault="002D7F73" w:rsidP="002D7F73">
            <w:pPr>
              <w:jc w:val="both"/>
              <w:rPr>
                <w:rFonts w:cstheme="minorHAnsi"/>
                <w:sz w:val="24"/>
                <w:szCs w:val="24"/>
              </w:rPr>
            </w:pPr>
          </w:p>
        </w:tc>
        <w:tc>
          <w:tcPr>
            <w:tcW w:w="2340" w:type="dxa"/>
            <w:tcBorders>
              <w:bottom w:val="single" w:sz="4" w:space="0" w:color="auto"/>
              <w:right w:val="single" w:sz="4" w:space="0" w:color="auto"/>
            </w:tcBorders>
            <w:shd w:val="clear" w:color="auto" w:fill="C0E6F5"/>
            <w:vAlign w:val="bottom"/>
            <w:hideMark/>
          </w:tcPr>
          <w:p w14:paraId="616FF8C5" w14:textId="77777777" w:rsidR="002D7F73" w:rsidRPr="002D7F73" w:rsidRDefault="002D7F73" w:rsidP="002D7F73">
            <w:pPr>
              <w:jc w:val="both"/>
              <w:rPr>
                <w:rFonts w:cstheme="minorHAnsi"/>
                <w:sz w:val="24"/>
                <w:szCs w:val="24"/>
              </w:rPr>
            </w:pPr>
            <w:r w:rsidRPr="002D7F73">
              <w:rPr>
                <w:rFonts w:cstheme="minorHAnsi"/>
                <w:sz w:val="24"/>
                <w:szCs w:val="24"/>
              </w:rPr>
              <w:t xml:space="preserve">Primer grupo (Lesión de Lesly y </w:t>
            </w:r>
            <w:proofErr w:type="spellStart"/>
            <w:r w:rsidRPr="002D7F73">
              <w:rPr>
                <w:rFonts w:cstheme="minorHAnsi"/>
                <w:sz w:val="24"/>
                <w:szCs w:val="24"/>
              </w:rPr>
              <w:t>Yorly</w:t>
            </w:r>
            <w:proofErr w:type="spellEnd"/>
            <w:r w:rsidRPr="002D7F73">
              <w:rPr>
                <w:rFonts w:cstheme="minorHAnsi"/>
                <w:sz w:val="24"/>
                <w:szCs w:val="24"/>
              </w:rPr>
              <w:t xml:space="preserve"> Orozco)</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FA791A2" w14:textId="77777777" w:rsidR="002D7F73" w:rsidRPr="002D7F73" w:rsidRDefault="002D7F73" w:rsidP="002D7F73">
            <w:pPr>
              <w:jc w:val="both"/>
              <w:rPr>
                <w:rFonts w:cstheme="minorHAnsi"/>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A8AB530" w14:textId="77777777" w:rsidR="002D7F73" w:rsidRPr="002D7F73" w:rsidRDefault="002D7F73" w:rsidP="002D7F73">
            <w:pPr>
              <w:jc w:val="both"/>
              <w:rPr>
                <w:rFonts w:cstheme="minorHAnsi"/>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655DB43" w14:textId="77777777" w:rsidR="002D7F73" w:rsidRPr="002D7F73" w:rsidRDefault="002D7F73" w:rsidP="002D7F73">
            <w:pPr>
              <w:jc w:val="both"/>
              <w:rPr>
                <w:rFonts w:cstheme="minorHAnsi"/>
                <w:sz w:val="24"/>
                <w:szCs w:val="24"/>
              </w:rPr>
            </w:pPr>
          </w:p>
        </w:tc>
      </w:tr>
      <w:tr w:rsidR="002D7F73" w:rsidRPr="002D7F73" w14:paraId="6AD7B101" w14:textId="77777777">
        <w:trPr>
          <w:trHeight w:val="225"/>
        </w:trPr>
        <w:tc>
          <w:tcPr>
            <w:tcW w:w="460" w:type="dxa"/>
            <w:tcBorders>
              <w:left w:val="single" w:sz="4" w:space="0" w:color="auto"/>
              <w:bottom w:val="single" w:sz="4" w:space="0" w:color="auto"/>
              <w:right w:val="single" w:sz="4" w:space="0" w:color="auto"/>
            </w:tcBorders>
            <w:shd w:val="clear" w:color="auto" w:fill="FFFFFF"/>
            <w:noWrap/>
            <w:vAlign w:val="bottom"/>
            <w:hideMark/>
          </w:tcPr>
          <w:p w14:paraId="4A00F59F" w14:textId="77777777" w:rsidR="002D7F73" w:rsidRPr="002D7F73" w:rsidRDefault="002D7F73" w:rsidP="002D7F73">
            <w:pPr>
              <w:jc w:val="both"/>
              <w:rPr>
                <w:rFonts w:cstheme="minorHAnsi"/>
                <w:sz w:val="24"/>
                <w:szCs w:val="24"/>
              </w:rPr>
            </w:pPr>
            <w:r w:rsidRPr="002D7F73">
              <w:rPr>
                <w:rFonts w:cstheme="minorHAnsi"/>
                <w:sz w:val="24"/>
                <w:szCs w:val="24"/>
              </w:rPr>
              <w:t>1</w:t>
            </w:r>
          </w:p>
        </w:tc>
        <w:tc>
          <w:tcPr>
            <w:tcW w:w="2340" w:type="dxa"/>
            <w:tcBorders>
              <w:bottom w:val="single" w:sz="4" w:space="0" w:color="auto"/>
              <w:right w:val="single" w:sz="4" w:space="0" w:color="auto"/>
            </w:tcBorders>
            <w:shd w:val="clear" w:color="auto" w:fill="FFFFFF"/>
            <w:noWrap/>
            <w:vAlign w:val="bottom"/>
            <w:hideMark/>
          </w:tcPr>
          <w:p w14:paraId="21DBC36F" w14:textId="77777777" w:rsidR="002D7F73" w:rsidRPr="002D7F73" w:rsidRDefault="002D7F73" w:rsidP="002D7F73">
            <w:pPr>
              <w:jc w:val="both"/>
              <w:rPr>
                <w:rFonts w:cstheme="minorHAnsi"/>
                <w:sz w:val="24"/>
                <w:szCs w:val="24"/>
              </w:rPr>
            </w:pPr>
            <w:r w:rsidRPr="002D7F73">
              <w:rPr>
                <w:rFonts w:cstheme="minorHAnsi"/>
                <w:sz w:val="24"/>
                <w:szCs w:val="24"/>
              </w:rPr>
              <w:t>Luis Fernando Orozco</w:t>
            </w:r>
          </w:p>
        </w:tc>
        <w:tc>
          <w:tcPr>
            <w:tcW w:w="1760" w:type="dxa"/>
            <w:tcBorders>
              <w:bottom w:val="single" w:sz="4" w:space="0" w:color="auto"/>
              <w:right w:val="single" w:sz="4" w:space="0" w:color="auto"/>
            </w:tcBorders>
            <w:shd w:val="clear" w:color="auto" w:fill="FFFFFF"/>
            <w:noWrap/>
            <w:vAlign w:val="bottom"/>
            <w:hideMark/>
          </w:tcPr>
          <w:p w14:paraId="06E537AB" w14:textId="77777777" w:rsidR="002D7F73" w:rsidRPr="002D7F73" w:rsidRDefault="002D7F73" w:rsidP="002D7F73">
            <w:pPr>
              <w:jc w:val="both"/>
              <w:rPr>
                <w:rFonts w:cstheme="minorHAnsi"/>
                <w:sz w:val="24"/>
                <w:szCs w:val="24"/>
              </w:rPr>
            </w:pPr>
            <w:r w:rsidRPr="002D7F73">
              <w:rPr>
                <w:rFonts w:cstheme="minorHAnsi"/>
                <w:sz w:val="24"/>
                <w:szCs w:val="24"/>
              </w:rPr>
              <w:t>Padre</w:t>
            </w:r>
          </w:p>
        </w:tc>
        <w:tc>
          <w:tcPr>
            <w:tcW w:w="2680" w:type="dxa"/>
            <w:tcBorders>
              <w:bottom w:val="single" w:sz="4" w:space="0" w:color="auto"/>
              <w:right w:val="single" w:sz="4" w:space="0" w:color="auto"/>
            </w:tcBorders>
            <w:shd w:val="clear" w:color="auto" w:fill="FFFFFF"/>
            <w:noWrap/>
            <w:vAlign w:val="center"/>
            <w:hideMark/>
          </w:tcPr>
          <w:p w14:paraId="22955365" w14:textId="77777777" w:rsidR="002D7F73" w:rsidRPr="002D7F73" w:rsidRDefault="002D7F73" w:rsidP="002D7F73">
            <w:pPr>
              <w:jc w:val="both"/>
              <w:rPr>
                <w:rFonts w:cstheme="minorHAnsi"/>
                <w:sz w:val="24"/>
                <w:szCs w:val="24"/>
              </w:rPr>
            </w:pPr>
            <w:r w:rsidRPr="002D7F73">
              <w:rPr>
                <w:rFonts w:cstheme="minorHAnsi"/>
                <w:sz w:val="24"/>
                <w:szCs w:val="24"/>
              </w:rPr>
              <w:t>30</w:t>
            </w:r>
          </w:p>
        </w:tc>
        <w:tc>
          <w:tcPr>
            <w:tcW w:w="2440" w:type="dxa"/>
            <w:tcBorders>
              <w:bottom w:val="single" w:sz="4" w:space="0" w:color="auto"/>
              <w:right w:val="single" w:sz="4" w:space="0" w:color="auto"/>
            </w:tcBorders>
            <w:shd w:val="clear" w:color="auto" w:fill="FFFFFF"/>
            <w:noWrap/>
            <w:vAlign w:val="center"/>
            <w:hideMark/>
          </w:tcPr>
          <w:p w14:paraId="55AD0CFA" w14:textId="77777777" w:rsidR="002D7F73" w:rsidRPr="002D7F73" w:rsidRDefault="002D7F73" w:rsidP="002D7F73">
            <w:pPr>
              <w:jc w:val="both"/>
              <w:rPr>
                <w:rFonts w:cstheme="minorHAnsi"/>
                <w:sz w:val="24"/>
                <w:szCs w:val="24"/>
              </w:rPr>
            </w:pPr>
            <w:r w:rsidRPr="002D7F73">
              <w:rPr>
                <w:rFonts w:cstheme="minorHAnsi"/>
                <w:sz w:val="24"/>
                <w:szCs w:val="24"/>
              </w:rPr>
              <w:t>0</w:t>
            </w:r>
          </w:p>
        </w:tc>
      </w:tr>
      <w:tr w:rsidR="002D7F73" w:rsidRPr="002D7F73" w14:paraId="1CF90DEA" w14:textId="77777777">
        <w:trPr>
          <w:trHeight w:val="225"/>
        </w:trPr>
        <w:tc>
          <w:tcPr>
            <w:tcW w:w="460" w:type="dxa"/>
            <w:tcBorders>
              <w:left w:val="single" w:sz="4" w:space="0" w:color="auto"/>
              <w:bottom w:val="single" w:sz="4" w:space="0" w:color="auto"/>
              <w:right w:val="single" w:sz="4" w:space="0" w:color="auto"/>
            </w:tcBorders>
            <w:shd w:val="clear" w:color="auto" w:fill="FFFFFF"/>
            <w:noWrap/>
            <w:vAlign w:val="bottom"/>
            <w:hideMark/>
          </w:tcPr>
          <w:p w14:paraId="6FAE5990" w14:textId="77777777" w:rsidR="002D7F73" w:rsidRPr="002D7F73" w:rsidRDefault="002D7F73" w:rsidP="002D7F73">
            <w:pPr>
              <w:jc w:val="both"/>
              <w:rPr>
                <w:rFonts w:cstheme="minorHAnsi"/>
                <w:sz w:val="24"/>
                <w:szCs w:val="24"/>
              </w:rPr>
            </w:pPr>
            <w:r w:rsidRPr="002D7F73">
              <w:rPr>
                <w:rFonts w:cstheme="minorHAnsi"/>
                <w:sz w:val="24"/>
                <w:szCs w:val="24"/>
              </w:rPr>
              <w:t>2</w:t>
            </w:r>
          </w:p>
        </w:tc>
        <w:tc>
          <w:tcPr>
            <w:tcW w:w="2340" w:type="dxa"/>
            <w:tcBorders>
              <w:bottom w:val="single" w:sz="4" w:space="0" w:color="auto"/>
              <w:right w:val="single" w:sz="4" w:space="0" w:color="auto"/>
            </w:tcBorders>
            <w:shd w:val="clear" w:color="auto" w:fill="FFFFFF"/>
            <w:noWrap/>
            <w:vAlign w:val="bottom"/>
            <w:hideMark/>
          </w:tcPr>
          <w:p w14:paraId="0EAEE03A" w14:textId="77777777" w:rsidR="002D7F73" w:rsidRPr="002D7F73" w:rsidRDefault="002D7F73" w:rsidP="002D7F73">
            <w:pPr>
              <w:jc w:val="both"/>
              <w:rPr>
                <w:rFonts w:cstheme="minorHAnsi"/>
                <w:sz w:val="24"/>
                <w:szCs w:val="24"/>
              </w:rPr>
            </w:pPr>
            <w:r w:rsidRPr="002D7F73">
              <w:rPr>
                <w:rFonts w:cstheme="minorHAnsi"/>
                <w:sz w:val="24"/>
                <w:szCs w:val="24"/>
              </w:rPr>
              <w:t>Flor Caicedo</w:t>
            </w:r>
          </w:p>
        </w:tc>
        <w:tc>
          <w:tcPr>
            <w:tcW w:w="1760" w:type="dxa"/>
            <w:tcBorders>
              <w:bottom w:val="single" w:sz="4" w:space="0" w:color="auto"/>
              <w:right w:val="single" w:sz="4" w:space="0" w:color="auto"/>
            </w:tcBorders>
            <w:shd w:val="clear" w:color="auto" w:fill="FFFFFF"/>
            <w:noWrap/>
            <w:vAlign w:val="bottom"/>
            <w:hideMark/>
          </w:tcPr>
          <w:p w14:paraId="65DCCEBC" w14:textId="77777777" w:rsidR="002D7F73" w:rsidRPr="002D7F73" w:rsidRDefault="002D7F73" w:rsidP="002D7F73">
            <w:pPr>
              <w:jc w:val="both"/>
              <w:rPr>
                <w:rFonts w:cstheme="minorHAnsi"/>
                <w:sz w:val="24"/>
                <w:szCs w:val="24"/>
              </w:rPr>
            </w:pPr>
            <w:r w:rsidRPr="002D7F73">
              <w:rPr>
                <w:rFonts w:cstheme="minorHAnsi"/>
                <w:sz w:val="24"/>
                <w:szCs w:val="24"/>
              </w:rPr>
              <w:t>Madre</w:t>
            </w:r>
          </w:p>
        </w:tc>
        <w:tc>
          <w:tcPr>
            <w:tcW w:w="2680" w:type="dxa"/>
            <w:tcBorders>
              <w:bottom w:val="single" w:sz="4" w:space="0" w:color="auto"/>
              <w:right w:val="single" w:sz="4" w:space="0" w:color="auto"/>
            </w:tcBorders>
            <w:shd w:val="clear" w:color="auto" w:fill="FFFFFF"/>
            <w:noWrap/>
            <w:vAlign w:val="center"/>
            <w:hideMark/>
          </w:tcPr>
          <w:p w14:paraId="62F3EEF1" w14:textId="77777777" w:rsidR="002D7F73" w:rsidRPr="002D7F73" w:rsidRDefault="002D7F73" w:rsidP="002D7F73">
            <w:pPr>
              <w:jc w:val="both"/>
              <w:rPr>
                <w:rFonts w:cstheme="minorHAnsi"/>
                <w:sz w:val="24"/>
                <w:szCs w:val="24"/>
              </w:rPr>
            </w:pPr>
            <w:r w:rsidRPr="002D7F73">
              <w:rPr>
                <w:rFonts w:cstheme="minorHAnsi"/>
                <w:sz w:val="24"/>
                <w:szCs w:val="24"/>
              </w:rPr>
              <w:t>30</w:t>
            </w:r>
          </w:p>
        </w:tc>
        <w:tc>
          <w:tcPr>
            <w:tcW w:w="2440" w:type="dxa"/>
            <w:tcBorders>
              <w:bottom w:val="single" w:sz="4" w:space="0" w:color="auto"/>
              <w:right w:val="single" w:sz="4" w:space="0" w:color="auto"/>
            </w:tcBorders>
            <w:shd w:val="clear" w:color="auto" w:fill="FFFFFF"/>
            <w:noWrap/>
            <w:vAlign w:val="center"/>
            <w:hideMark/>
          </w:tcPr>
          <w:p w14:paraId="43227BED" w14:textId="77777777" w:rsidR="002D7F73" w:rsidRPr="002D7F73" w:rsidRDefault="002D7F73" w:rsidP="002D7F73">
            <w:pPr>
              <w:jc w:val="both"/>
              <w:rPr>
                <w:rFonts w:cstheme="minorHAnsi"/>
                <w:sz w:val="24"/>
                <w:szCs w:val="24"/>
              </w:rPr>
            </w:pPr>
            <w:r w:rsidRPr="002D7F73">
              <w:rPr>
                <w:rFonts w:cstheme="minorHAnsi"/>
                <w:sz w:val="24"/>
                <w:szCs w:val="24"/>
              </w:rPr>
              <w:t>0</w:t>
            </w:r>
          </w:p>
        </w:tc>
      </w:tr>
      <w:tr w:rsidR="002D7F73" w:rsidRPr="002D7F73" w14:paraId="13660DB2" w14:textId="77777777">
        <w:trPr>
          <w:trHeight w:val="225"/>
        </w:trPr>
        <w:tc>
          <w:tcPr>
            <w:tcW w:w="460" w:type="dxa"/>
            <w:tcBorders>
              <w:left w:val="single" w:sz="4" w:space="0" w:color="auto"/>
              <w:bottom w:val="single" w:sz="4" w:space="0" w:color="auto"/>
              <w:right w:val="single" w:sz="4" w:space="0" w:color="auto"/>
            </w:tcBorders>
            <w:shd w:val="clear" w:color="auto" w:fill="FFFFFF"/>
            <w:noWrap/>
            <w:vAlign w:val="bottom"/>
            <w:hideMark/>
          </w:tcPr>
          <w:p w14:paraId="1997832E" w14:textId="77777777" w:rsidR="002D7F73" w:rsidRPr="002D7F73" w:rsidRDefault="002D7F73" w:rsidP="002D7F73">
            <w:pPr>
              <w:jc w:val="both"/>
              <w:rPr>
                <w:rFonts w:cstheme="minorHAnsi"/>
                <w:sz w:val="24"/>
                <w:szCs w:val="24"/>
              </w:rPr>
            </w:pPr>
            <w:r w:rsidRPr="002D7F73">
              <w:rPr>
                <w:rFonts w:cstheme="minorHAnsi"/>
                <w:sz w:val="24"/>
                <w:szCs w:val="24"/>
              </w:rPr>
              <w:t>3</w:t>
            </w:r>
          </w:p>
        </w:tc>
        <w:tc>
          <w:tcPr>
            <w:tcW w:w="2340" w:type="dxa"/>
            <w:tcBorders>
              <w:bottom w:val="single" w:sz="4" w:space="0" w:color="auto"/>
              <w:right w:val="single" w:sz="4" w:space="0" w:color="auto"/>
            </w:tcBorders>
            <w:shd w:val="clear" w:color="auto" w:fill="FFFFFF"/>
            <w:noWrap/>
            <w:vAlign w:val="bottom"/>
            <w:hideMark/>
          </w:tcPr>
          <w:p w14:paraId="649045E3" w14:textId="77777777" w:rsidR="002D7F73" w:rsidRPr="002D7F73" w:rsidRDefault="002D7F73" w:rsidP="002D7F73">
            <w:pPr>
              <w:jc w:val="both"/>
              <w:rPr>
                <w:rFonts w:cstheme="minorHAnsi"/>
                <w:sz w:val="24"/>
                <w:szCs w:val="24"/>
              </w:rPr>
            </w:pPr>
            <w:r w:rsidRPr="002D7F73">
              <w:rPr>
                <w:rFonts w:cstheme="minorHAnsi"/>
                <w:sz w:val="24"/>
                <w:szCs w:val="24"/>
              </w:rPr>
              <w:t>Lesly Orozco</w:t>
            </w:r>
          </w:p>
        </w:tc>
        <w:tc>
          <w:tcPr>
            <w:tcW w:w="1760" w:type="dxa"/>
            <w:tcBorders>
              <w:bottom w:val="single" w:sz="4" w:space="0" w:color="auto"/>
              <w:right w:val="single" w:sz="4" w:space="0" w:color="auto"/>
            </w:tcBorders>
            <w:shd w:val="clear" w:color="auto" w:fill="FFFFFF"/>
            <w:noWrap/>
            <w:vAlign w:val="bottom"/>
            <w:hideMark/>
          </w:tcPr>
          <w:p w14:paraId="0DD60EED" w14:textId="77777777" w:rsidR="002D7F73" w:rsidRPr="002D7F73" w:rsidRDefault="002D7F73" w:rsidP="002D7F73">
            <w:pPr>
              <w:jc w:val="both"/>
              <w:rPr>
                <w:rFonts w:cstheme="minorHAnsi"/>
                <w:sz w:val="24"/>
                <w:szCs w:val="24"/>
              </w:rPr>
            </w:pPr>
            <w:r w:rsidRPr="002D7F73">
              <w:rPr>
                <w:rFonts w:cstheme="minorHAnsi"/>
                <w:sz w:val="24"/>
                <w:szCs w:val="24"/>
              </w:rPr>
              <w:t>víctima y hermana</w:t>
            </w:r>
          </w:p>
        </w:tc>
        <w:tc>
          <w:tcPr>
            <w:tcW w:w="2680" w:type="dxa"/>
            <w:tcBorders>
              <w:bottom w:val="single" w:sz="4" w:space="0" w:color="auto"/>
              <w:right w:val="single" w:sz="4" w:space="0" w:color="auto"/>
            </w:tcBorders>
            <w:shd w:val="clear" w:color="auto" w:fill="FFFFFF"/>
            <w:noWrap/>
            <w:vAlign w:val="center"/>
            <w:hideMark/>
          </w:tcPr>
          <w:p w14:paraId="68075E6E" w14:textId="77777777" w:rsidR="002D7F73" w:rsidRPr="002D7F73" w:rsidRDefault="002D7F73" w:rsidP="002D7F73">
            <w:pPr>
              <w:jc w:val="both"/>
              <w:rPr>
                <w:rFonts w:cstheme="minorHAnsi"/>
                <w:sz w:val="24"/>
                <w:szCs w:val="24"/>
              </w:rPr>
            </w:pPr>
            <w:r w:rsidRPr="002D7F73">
              <w:rPr>
                <w:rFonts w:cstheme="minorHAnsi"/>
                <w:sz w:val="24"/>
                <w:szCs w:val="24"/>
              </w:rPr>
              <w:t>20</w:t>
            </w:r>
          </w:p>
        </w:tc>
        <w:tc>
          <w:tcPr>
            <w:tcW w:w="2440" w:type="dxa"/>
            <w:tcBorders>
              <w:bottom w:val="single" w:sz="4" w:space="0" w:color="auto"/>
              <w:right w:val="single" w:sz="4" w:space="0" w:color="auto"/>
            </w:tcBorders>
            <w:shd w:val="clear" w:color="auto" w:fill="FFFFFF"/>
            <w:noWrap/>
            <w:vAlign w:val="center"/>
            <w:hideMark/>
          </w:tcPr>
          <w:p w14:paraId="7DBE94F9" w14:textId="77777777" w:rsidR="002D7F73" w:rsidRPr="002D7F73" w:rsidRDefault="002D7F73" w:rsidP="002D7F73">
            <w:pPr>
              <w:jc w:val="both"/>
              <w:rPr>
                <w:rFonts w:cstheme="minorHAnsi"/>
                <w:sz w:val="24"/>
                <w:szCs w:val="24"/>
              </w:rPr>
            </w:pPr>
            <w:r w:rsidRPr="002D7F73">
              <w:rPr>
                <w:rFonts w:cstheme="minorHAnsi"/>
                <w:sz w:val="24"/>
                <w:szCs w:val="24"/>
              </w:rPr>
              <w:t>10</w:t>
            </w:r>
          </w:p>
        </w:tc>
      </w:tr>
      <w:tr w:rsidR="002D7F73" w:rsidRPr="002D7F73" w14:paraId="43A41433" w14:textId="77777777">
        <w:trPr>
          <w:trHeight w:val="225"/>
        </w:trPr>
        <w:tc>
          <w:tcPr>
            <w:tcW w:w="460" w:type="dxa"/>
            <w:tcBorders>
              <w:left w:val="single" w:sz="4" w:space="0" w:color="auto"/>
              <w:bottom w:val="single" w:sz="4" w:space="0" w:color="auto"/>
              <w:right w:val="single" w:sz="4" w:space="0" w:color="auto"/>
            </w:tcBorders>
            <w:shd w:val="clear" w:color="auto" w:fill="FFFFFF"/>
            <w:noWrap/>
            <w:vAlign w:val="bottom"/>
            <w:hideMark/>
          </w:tcPr>
          <w:p w14:paraId="4D28153E" w14:textId="77777777" w:rsidR="002D7F73" w:rsidRPr="002D7F73" w:rsidRDefault="002D7F73" w:rsidP="002D7F73">
            <w:pPr>
              <w:jc w:val="both"/>
              <w:rPr>
                <w:rFonts w:cstheme="minorHAnsi"/>
                <w:sz w:val="24"/>
                <w:szCs w:val="24"/>
              </w:rPr>
            </w:pPr>
            <w:r w:rsidRPr="002D7F73">
              <w:rPr>
                <w:rFonts w:cstheme="minorHAnsi"/>
                <w:sz w:val="24"/>
                <w:szCs w:val="24"/>
              </w:rPr>
              <w:t>4</w:t>
            </w:r>
          </w:p>
        </w:tc>
        <w:tc>
          <w:tcPr>
            <w:tcW w:w="2340" w:type="dxa"/>
            <w:tcBorders>
              <w:bottom w:val="single" w:sz="4" w:space="0" w:color="auto"/>
              <w:right w:val="single" w:sz="4" w:space="0" w:color="auto"/>
            </w:tcBorders>
            <w:shd w:val="clear" w:color="auto" w:fill="FFFFFF"/>
            <w:noWrap/>
            <w:vAlign w:val="bottom"/>
            <w:hideMark/>
          </w:tcPr>
          <w:p w14:paraId="15C3D27A" w14:textId="77777777" w:rsidR="002D7F73" w:rsidRPr="002D7F73" w:rsidRDefault="002D7F73" w:rsidP="002D7F73">
            <w:pPr>
              <w:jc w:val="both"/>
              <w:rPr>
                <w:rFonts w:cstheme="minorHAnsi"/>
                <w:sz w:val="24"/>
                <w:szCs w:val="24"/>
              </w:rPr>
            </w:pPr>
            <w:proofErr w:type="spellStart"/>
            <w:r w:rsidRPr="002D7F73">
              <w:rPr>
                <w:rFonts w:cstheme="minorHAnsi"/>
                <w:sz w:val="24"/>
                <w:szCs w:val="24"/>
              </w:rPr>
              <w:t>Yorly</w:t>
            </w:r>
            <w:proofErr w:type="spellEnd"/>
            <w:r w:rsidRPr="002D7F73">
              <w:rPr>
                <w:rFonts w:cstheme="minorHAnsi"/>
                <w:sz w:val="24"/>
                <w:szCs w:val="24"/>
              </w:rPr>
              <w:t xml:space="preserve"> </w:t>
            </w:r>
            <w:proofErr w:type="spellStart"/>
            <w:r w:rsidRPr="002D7F73">
              <w:rPr>
                <w:rFonts w:cstheme="minorHAnsi"/>
                <w:sz w:val="24"/>
                <w:szCs w:val="24"/>
              </w:rPr>
              <w:t>Orzoco</w:t>
            </w:r>
            <w:proofErr w:type="spellEnd"/>
          </w:p>
        </w:tc>
        <w:tc>
          <w:tcPr>
            <w:tcW w:w="1760" w:type="dxa"/>
            <w:tcBorders>
              <w:bottom w:val="single" w:sz="4" w:space="0" w:color="auto"/>
              <w:right w:val="single" w:sz="4" w:space="0" w:color="auto"/>
            </w:tcBorders>
            <w:shd w:val="clear" w:color="auto" w:fill="FFFFFF"/>
            <w:noWrap/>
            <w:vAlign w:val="bottom"/>
            <w:hideMark/>
          </w:tcPr>
          <w:p w14:paraId="146E5BD4" w14:textId="77777777" w:rsidR="002D7F73" w:rsidRPr="002D7F73" w:rsidRDefault="002D7F73" w:rsidP="002D7F73">
            <w:pPr>
              <w:jc w:val="both"/>
              <w:rPr>
                <w:rFonts w:cstheme="minorHAnsi"/>
                <w:sz w:val="24"/>
                <w:szCs w:val="24"/>
              </w:rPr>
            </w:pPr>
            <w:r w:rsidRPr="002D7F73">
              <w:rPr>
                <w:rFonts w:cstheme="minorHAnsi"/>
                <w:sz w:val="24"/>
                <w:szCs w:val="24"/>
              </w:rPr>
              <w:t>víctima y hermano</w:t>
            </w:r>
          </w:p>
        </w:tc>
        <w:tc>
          <w:tcPr>
            <w:tcW w:w="2680" w:type="dxa"/>
            <w:tcBorders>
              <w:bottom w:val="single" w:sz="4" w:space="0" w:color="auto"/>
              <w:right w:val="single" w:sz="4" w:space="0" w:color="auto"/>
            </w:tcBorders>
            <w:shd w:val="clear" w:color="auto" w:fill="FFFFFF"/>
            <w:noWrap/>
            <w:vAlign w:val="center"/>
            <w:hideMark/>
          </w:tcPr>
          <w:p w14:paraId="68C58EC2" w14:textId="77777777" w:rsidR="002D7F73" w:rsidRPr="002D7F73" w:rsidRDefault="002D7F73" w:rsidP="002D7F73">
            <w:pPr>
              <w:jc w:val="both"/>
              <w:rPr>
                <w:rFonts w:cstheme="minorHAnsi"/>
                <w:sz w:val="24"/>
                <w:szCs w:val="24"/>
              </w:rPr>
            </w:pPr>
            <w:r w:rsidRPr="002D7F73">
              <w:rPr>
                <w:rFonts w:cstheme="minorHAnsi"/>
                <w:sz w:val="24"/>
                <w:szCs w:val="24"/>
              </w:rPr>
              <w:t>25</w:t>
            </w:r>
          </w:p>
        </w:tc>
        <w:tc>
          <w:tcPr>
            <w:tcW w:w="2440" w:type="dxa"/>
            <w:tcBorders>
              <w:bottom w:val="single" w:sz="4" w:space="0" w:color="auto"/>
              <w:right w:val="single" w:sz="4" w:space="0" w:color="auto"/>
            </w:tcBorders>
            <w:shd w:val="clear" w:color="auto" w:fill="FFFFFF"/>
            <w:noWrap/>
            <w:vAlign w:val="center"/>
            <w:hideMark/>
          </w:tcPr>
          <w:p w14:paraId="7E0291E6" w14:textId="77777777" w:rsidR="002D7F73" w:rsidRPr="002D7F73" w:rsidRDefault="002D7F73" w:rsidP="002D7F73">
            <w:pPr>
              <w:jc w:val="both"/>
              <w:rPr>
                <w:rFonts w:cstheme="minorHAnsi"/>
                <w:sz w:val="24"/>
                <w:szCs w:val="24"/>
              </w:rPr>
            </w:pPr>
            <w:r w:rsidRPr="002D7F73">
              <w:rPr>
                <w:rFonts w:cstheme="minorHAnsi"/>
                <w:sz w:val="24"/>
                <w:szCs w:val="24"/>
              </w:rPr>
              <w:t>20</w:t>
            </w:r>
          </w:p>
        </w:tc>
      </w:tr>
      <w:tr w:rsidR="002D7F73" w:rsidRPr="002D7F73" w14:paraId="2564E2DF" w14:textId="77777777">
        <w:trPr>
          <w:trHeight w:val="225"/>
        </w:trPr>
        <w:tc>
          <w:tcPr>
            <w:tcW w:w="460" w:type="dxa"/>
            <w:tcBorders>
              <w:left w:val="single" w:sz="4" w:space="0" w:color="auto"/>
              <w:bottom w:val="single" w:sz="4" w:space="0" w:color="auto"/>
              <w:right w:val="single" w:sz="4" w:space="0" w:color="auto"/>
            </w:tcBorders>
            <w:shd w:val="clear" w:color="auto" w:fill="FFFFFF"/>
            <w:noWrap/>
            <w:vAlign w:val="bottom"/>
            <w:hideMark/>
          </w:tcPr>
          <w:p w14:paraId="08A7B4E2" w14:textId="77777777" w:rsidR="002D7F73" w:rsidRPr="002D7F73" w:rsidRDefault="002D7F73" w:rsidP="002D7F73">
            <w:pPr>
              <w:jc w:val="both"/>
              <w:rPr>
                <w:rFonts w:cstheme="minorHAnsi"/>
                <w:sz w:val="24"/>
                <w:szCs w:val="24"/>
              </w:rPr>
            </w:pPr>
            <w:r w:rsidRPr="002D7F73">
              <w:rPr>
                <w:rFonts w:cstheme="minorHAnsi"/>
                <w:sz w:val="24"/>
                <w:szCs w:val="24"/>
              </w:rPr>
              <w:lastRenderedPageBreak/>
              <w:t>5</w:t>
            </w:r>
          </w:p>
        </w:tc>
        <w:tc>
          <w:tcPr>
            <w:tcW w:w="2340" w:type="dxa"/>
            <w:tcBorders>
              <w:bottom w:val="single" w:sz="4" w:space="0" w:color="auto"/>
              <w:right w:val="single" w:sz="4" w:space="0" w:color="auto"/>
            </w:tcBorders>
            <w:shd w:val="clear" w:color="auto" w:fill="FFFFFF"/>
            <w:noWrap/>
            <w:vAlign w:val="bottom"/>
            <w:hideMark/>
          </w:tcPr>
          <w:p w14:paraId="24D2F91A" w14:textId="77777777" w:rsidR="002D7F73" w:rsidRPr="002D7F73" w:rsidRDefault="002D7F73" w:rsidP="002D7F73">
            <w:pPr>
              <w:jc w:val="both"/>
              <w:rPr>
                <w:rFonts w:cstheme="minorHAnsi"/>
                <w:sz w:val="24"/>
                <w:szCs w:val="24"/>
              </w:rPr>
            </w:pPr>
            <w:r w:rsidRPr="002D7F73">
              <w:rPr>
                <w:rFonts w:cstheme="minorHAnsi"/>
                <w:sz w:val="24"/>
                <w:szCs w:val="24"/>
              </w:rPr>
              <w:t>Carmenza Caicedo</w:t>
            </w:r>
          </w:p>
        </w:tc>
        <w:tc>
          <w:tcPr>
            <w:tcW w:w="1760" w:type="dxa"/>
            <w:tcBorders>
              <w:bottom w:val="single" w:sz="4" w:space="0" w:color="auto"/>
              <w:right w:val="single" w:sz="4" w:space="0" w:color="auto"/>
            </w:tcBorders>
            <w:shd w:val="clear" w:color="auto" w:fill="FFFFFF"/>
            <w:noWrap/>
            <w:vAlign w:val="bottom"/>
            <w:hideMark/>
          </w:tcPr>
          <w:p w14:paraId="4CAB1A5C" w14:textId="77777777" w:rsidR="002D7F73" w:rsidRPr="002D7F73" w:rsidRDefault="002D7F73" w:rsidP="002D7F73">
            <w:pPr>
              <w:jc w:val="both"/>
              <w:rPr>
                <w:rFonts w:cstheme="minorHAnsi"/>
                <w:sz w:val="24"/>
                <w:szCs w:val="24"/>
              </w:rPr>
            </w:pPr>
            <w:r w:rsidRPr="002D7F73">
              <w:rPr>
                <w:rFonts w:cstheme="minorHAnsi"/>
                <w:sz w:val="24"/>
                <w:szCs w:val="24"/>
              </w:rPr>
              <w:t>tía</w:t>
            </w:r>
          </w:p>
        </w:tc>
        <w:tc>
          <w:tcPr>
            <w:tcW w:w="2680" w:type="dxa"/>
            <w:tcBorders>
              <w:bottom w:val="single" w:sz="4" w:space="0" w:color="auto"/>
              <w:right w:val="single" w:sz="4" w:space="0" w:color="auto"/>
            </w:tcBorders>
            <w:shd w:val="clear" w:color="auto" w:fill="FFFFFF"/>
            <w:noWrap/>
            <w:vAlign w:val="center"/>
            <w:hideMark/>
          </w:tcPr>
          <w:p w14:paraId="5B1F12F0" w14:textId="77777777" w:rsidR="002D7F73" w:rsidRPr="002D7F73" w:rsidRDefault="002D7F73" w:rsidP="002D7F73">
            <w:pPr>
              <w:jc w:val="both"/>
              <w:rPr>
                <w:rFonts w:cstheme="minorHAnsi"/>
                <w:sz w:val="24"/>
                <w:szCs w:val="24"/>
              </w:rPr>
            </w:pPr>
            <w:r w:rsidRPr="002D7F73">
              <w:rPr>
                <w:rFonts w:cstheme="minorHAnsi"/>
                <w:sz w:val="24"/>
                <w:szCs w:val="24"/>
              </w:rPr>
              <w:t>0</w:t>
            </w:r>
          </w:p>
        </w:tc>
        <w:tc>
          <w:tcPr>
            <w:tcW w:w="2440" w:type="dxa"/>
            <w:tcBorders>
              <w:bottom w:val="single" w:sz="4" w:space="0" w:color="auto"/>
              <w:right w:val="single" w:sz="4" w:space="0" w:color="auto"/>
            </w:tcBorders>
            <w:shd w:val="clear" w:color="auto" w:fill="FFFFFF"/>
            <w:noWrap/>
            <w:vAlign w:val="center"/>
            <w:hideMark/>
          </w:tcPr>
          <w:p w14:paraId="52266105" w14:textId="77777777" w:rsidR="002D7F73" w:rsidRPr="002D7F73" w:rsidRDefault="002D7F73" w:rsidP="002D7F73">
            <w:pPr>
              <w:jc w:val="both"/>
              <w:rPr>
                <w:rFonts w:cstheme="minorHAnsi"/>
                <w:sz w:val="24"/>
                <w:szCs w:val="24"/>
              </w:rPr>
            </w:pPr>
            <w:r w:rsidRPr="002D7F73">
              <w:rPr>
                <w:rFonts w:cstheme="minorHAnsi"/>
                <w:sz w:val="24"/>
                <w:szCs w:val="24"/>
              </w:rPr>
              <w:t>0</w:t>
            </w:r>
          </w:p>
        </w:tc>
      </w:tr>
      <w:tr w:rsidR="002D7F73" w:rsidRPr="002D7F73" w14:paraId="5B6E4700" w14:textId="77777777">
        <w:trPr>
          <w:trHeight w:val="450"/>
        </w:trPr>
        <w:tc>
          <w:tcPr>
            <w:tcW w:w="460" w:type="dxa"/>
            <w:tcBorders>
              <w:left w:val="single" w:sz="4" w:space="0" w:color="auto"/>
              <w:bottom w:val="single" w:sz="4" w:space="0" w:color="auto"/>
              <w:right w:val="single" w:sz="4" w:space="0" w:color="auto"/>
            </w:tcBorders>
            <w:shd w:val="clear" w:color="auto" w:fill="FFFFFF"/>
            <w:noWrap/>
            <w:vAlign w:val="bottom"/>
            <w:hideMark/>
          </w:tcPr>
          <w:p w14:paraId="2A6047A0" w14:textId="4033984D" w:rsidR="002D7F73" w:rsidRPr="002D7F73" w:rsidRDefault="002D7F73" w:rsidP="002D7F73">
            <w:pPr>
              <w:jc w:val="both"/>
              <w:rPr>
                <w:rFonts w:cstheme="minorHAnsi"/>
                <w:sz w:val="24"/>
                <w:szCs w:val="24"/>
              </w:rPr>
            </w:pPr>
          </w:p>
        </w:tc>
        <w:tc>
          <w:tcPr>
            <w:tcW w:w="2340" w:type="dxa"/>
            <w:tcBorders>
              <w:bottom w:val="single" w:sz="4" w:space="0" w:color="auto"/>
              <w:right w:val="single" w:sz="4" w:space="0" w:color="auto"/>
            </w:tcBorders>
            <w:shd w:val="clear" w:color="auto" w:fill="C1F0C8"/>
            <w:vAlign w:val="bottom"/>
            <w:hideMark/>
          </w:tcPr>
          <w:p w14:paraId="4AA88AF5" w14:textId="77777777" w:rsidR="002D7F73" w:rsidRPr="002D7F73" w:rsidRDefault="002D7F73" w:rsidP="002D7F73">
            <w:pPr>
              <w:jc w:val="both"/>
              <w:rPr>
                <w:rFonts w:cstheme="minorHAnsi"/>
                <w:sz w:val="24"/>
                <w:szCs w:val="24"/>
              </w:rPr>
            </w:pPr>
            <w:r w:rsidRPr="002D7F73">
              <w:rPr>
                <w:rFonts w:cstheme="minorHAnsi"/>
                <w:sz w:val="24"/>
                <w:szCs w:val="24"/>
              </w:rPr>
              <w:t xml:space="preserve">Segundo grupo (lesión de </w:t>
            </w:r>
            <w:proofErr w:type="spellStart"/>
            <w:r w:rsidRPr="002D7F73">
              <w:rPr>
                <w:rFonts w:cstheme="minorHAnsi"/>
                <w:sz w:val="24"/>
                <w:szCs w:val="24"/>
              </w:rPr>
              <w:t>Karol</w:t>
            </w:r>
            <w:proofErr w:type="spellEnd"/>
            <w:r w:rsidRPr="002D7F73">
              <w:rPr>
                <w:rFonts w:cstheme="minorHAnsi"/>
                <w:sz w:val="24"/>
                <w:szCs w:val="24"/>
              </w:rPr>
              <w:t xml:space="preserve"> Cortés)</w:t>
            </w:r>
          </w:p>
        </w:tc>
        <w:tc>
          <w:tcPr>
            <w:tcW w:w="6880" w:type="dxa"/>
            <w:gridSpan w:val="3"/>
            <w:tcBorders>
              <w:top w:val="single" w:sz="4" w:space="0" w:color="auto"/>
              <w:bottom w:val="single" w:sz="4" w:space="0" w:color="auto"/>
              <w:right w:val="single" w:sz="4" w:space="0" w:color="auto"/>
            </w:tcBorders>
            <w:shd w:val="clear" w:color="auto" w:fill="FFFFFF"/>
            <w:noWrap/>
            <w:vAlign w:val="bottom"/>
            <w:hideMark/>
          </w:tcPr>
          <w:p w14:paraId="3EE7BDEF" w14:textId="1666936C" w:rsidR="002D7F73" w:rsidRPr="002D7F73" w:rsidRDefault="002D7F73" w:rsidP="002D7F73">
            <w:pPr>
              <w:jc w:val="both"/>
              <w:rPr>
                <w:rFonts w:cstheme="minorHAnsi"/>
                <w:sz w:val="24"/>
                <w:szCs w:val="24"/>
              </w:rPr>
            </w:pPr>
          </w:p>
        </w:tc>
      </w:tr>
      <w:tr w:rsidR="002D7F73" w:rsidRPr="002D7F73" w14:paraId="6C3279BE" w14:textId="77777777">
        <w:trPr>
          <w:trHeight w:val="225"/>
        </w:trPr>
        <w:tc>
          <w:tcPr>
            <w:tcW w:w="460" w:type="dxa"/>
            <w:tcBorders>
              <w:left w:val="single" w:sz="4" w:space="0" w:color="auto"/>
              <w:bottom w:val="single" w:sz="4" w:space="0" w:color="auto"/>
              <w:right w:val="single" w:sz="4" w:space="0" w:color="auto"/>
            </w:tcBorders>
            <w:shd w:val="clear" w:color="auto" w:fill="FFFFFF"/>
            <w:noWrap/>
            <w:vAlign w:val="bottom"/>
            <w:hideMark/>
          </w:tcPr>
          <w:p w14:paraId="30A6A849" w14:textId="77777777" w:rsidR="002D7F73" w:rsidRPr="002D7F73" w:rsidRDefault="002D7F73" w:rsidP="002D7F73">
            <w:pPr>
              <w:jc w:val="both"/>
              <w:rPr>
                <w:rFonts w:cstheme="minorHAnsi"/>
                <w:sz w:val="24"/>
                <w:szCs w:val="24"/>
              </w:rPr>
            </w:pPr>
            <w:r w:rsidRPr="002D7F73">
              <w:rPr>
                <w:rFonts w:cstheme="minorHAnsi"/>
                <w:sz w:val="24"/>
                <w:szCs w:val="24"/>
              </w:rPr>
              <w:t>6</w:t>
            </w:r>
          </w:p>
        </w:tc>
        <w:tc>
          <w:tcPr>
            <w:tcW w:w="2340" w:type="dxa"/>
            <w:tcBorders>
              <w:bottom w:val="single" w:sz="4" w:space="0" w:color="auto"/>
              <w:right w:val="single" w:sz="4" w:space="0" w:color="auto"/>
            </w:tcBorders>
            <w:shd w:val="clear" w:color="auto" w:fill="FFFFFF"/>
            <w:noWrap/>
            <w:vAlign w:val="bottom"/>
            <w:hideMark/>
          </w:tcPr>
          <w:p w14:paraId="0492D7D5" w14:textId="77777777" w:rsidR="002D7F73" w:rsidRPr="002D7F73" w:rsidRDefault="002D7F73" w:rsidP="002D7F73">
            <w:pPr>
              <w:jc w:val="both"/>
              <w:rPr>
                <w:rFonts w:cstheme="minorHAnsi"/>
                <w:sz w:val="24"/>
                <w:szCs w:val="24"/>
              </w:rPr>
            </w:pPr>
            <w:r w:rsidRPr="002D7F73">
              <w:rPr>
                <w:rFonts w:cstheme="minorHAnsi"/>
                <w:sz w:val="24"/>
                <w:szCs w:val="24"/>
              </w:rPr>
              <w:t>Wilson Cortés Riascos</w:t>
            </w:r>
          </w:p>
        </w:tc>
        <w:tc>
          <w:tcPr>
            <w:tcW w:w="1760" w:type="dxa"/>
            <w:tcBorders>
              <w:bottom w:val="single" w:sz="4" w:space="0" w:color="auto"/>
              <w:right w:val="single" w:sz="4" w:space="0" w:color="auto"/>
            </w:tcBorders>
            <w:shd w:val="clear" w:color="auto" w:fill="FFFFFF"/>
            <w:noWrap/>
            <w:vAlign w:val="bottom"/>
            <w:hideMark/>
          </w:tcPr>
          <w:p w14:paraId="106EBBA8" w14:textId="77777777" w:rsidR="002D7F73" w:rsidRPr="002D7F73" w:rsidRDefault="002D7F73" w:rsidP="002D7F73">
            <w:pPr>
              <w:jc w:val="both"/>
              <w:rPr>
                <w:rFonts w:cstheme="minorHAnsi"/>
                <w:sz w:val="24"/>
                <w:szCs w:val="24"/>
              </w:rPr>
            </w:pPr>
            <w:r w:rsidRPr="002D7F73">
              <w:rPr>
                <w:rFonts w:cstheme="minorHAnsi"/>
                <w:sz w:val="24"/>
                <w:szCs w:val="24"/>
              </w:rPr>
              <w:t>Padre</w:t>
            </w:r>
          </w:p>
        </w:tc>
        <w:tc>
          <w:tcPr>
            <w:tcW w:w="2680" w:type="dxa"/>
            <w:tcBorders>
              <w:bottom w:val="single" w:sz="4" w:space="0" w:color="auto"/>
              <w:right w:val="single" w:sz="4" w:space="0" w:color="auto"/>
            </w:tcBorders>
            <w:shd w:val="clear" w:color="auto" w:fill="FFFFFF"/>
            <w:noWrap/>
            <w:vAlign w:val="center"/>
            <w:hideMark/>
          </w:tcPr>
          <w:p w14:paraId="0321D521" w14:textId="77777777" w:rsidR="002D7F73" w:rsidRPr="002D7F73" w:rsidRDefault="002D7F73" w:rsidP="002D7F73">
            <w:pPr>
              <w:jc w:val="both"/>
              <w:rPr>
                <w:rFonts w:cstheme="minorHAnsi"/>
                <w:sz w:val="24"/>
                <w:szCs w:val="24"/>
              </w:rPr>
            </w:pPr>
            <w:r w:rsidRPr="002D7F73">
              <w:rPr>
                <w:rFonts w:cstheme="minorHAnsi"/>
                <w:sz w:val="24"/>
                <w:szCs w:val="24"/>
              </w:rPr>
              <w:t>20</w:t>
            </w:r>
          </w:p>
        </w:tc>
        <w:tc>
          <w:tcPr>
            <w:tcW w:w="2440" w:type="dxa"/>
            <w:tcBorders>
              <w:bottom w:val="single" w:sz="4" w:space="0" w:color="auto"/>
              <w:right w:val="single" w:sz="4" w:space="0" w:color="auto"/>
            </w:tcBorders>
            <w:shd w:val="clear" w:color="auto" w:fill="FFFFFF"/>
            <w:noWrap/>
            <w:vAlign w:val="center"/>
            <w:hideMark/>
          </w:tcPr>
          <w:p w14:paraId="43FA1633" w14:textId="77777777" w:rsidR="002D7F73" w:rsidRPr="002D7F73" w:rsidRDefault="002D7F73" w:rsidP="002D7F73">
            <w:pPr>
              <w:jc w:val="both"/>
              <w:rPr>
                <w:rFonts w:cstheme="minorHAnsi"/>
                <w:sz w:val="24"/>
                <w:szCs w:val="24"/>
              </w:rPr>
            </w:pPr>
            <w:r w:rsidRPr="002D7F73">
              <w:rPr>
                <w:rFonts w:cstheme="minorHAnsi"/>
                <w:sz w:val="24"/>
                <w:szCs w:val="24"/>
              </w:rPr>
              <w:t>0</w:t>
            </w:r>
          </w:p>
        </w:tc>
      </w:tr>
      <w:tr w:rsidR="002D7F73" w:rsidRPr="002D7F73" w14:paraId="52B13309" w14:textId="77777777">
        <w:trPr>
          <w:trHeight w:val="225"/>
        </w:trPr>
        <w:tc>
          <w:tcPr>
            <w:tcW w:w="460" w:type="dxa"/>
            <w:tcBorders>
              <w:left w:val="single" w:sz="4" w:space="0" w:color="auto"/>
              <w:bottom w:val="single" w:sz="4" w:space="0" w:color="auto"/>
              <w:right w:val="single" w:sz="4" w:space="0" w:color="auto"/>
            </w:tcBorders>
            <w:shd w:val="clear" w:color="auto" w:fill="FFFFFF"/>
            <w:noWrap/>
            <w:vAlign w:val="bottom"/>
            <w:hideMark/>
          </w:tcPr>
          <w:p w14:paraId="67756F59" w14:textId="77777777" w:rsidR="002D7F73" w:rsidRPr="002D7F73" w:rsidRDefault="002D7F73" w:rsidP="002D7F73">
            <w:pPr>
              <w:jc w:val="both"/>
              <w:rPr>
                <w:rFonts w:cstheme="minorHAnsi"/>
                <w:sz w:val="24"/>
                <w:szCs w:val="24"/>
              </w:rPr>
            </w:pPr>
            <w:r w:rsidRPr="002D7F73">
              <w:rPr>
                <w:rFonts w:cstheme="minorHAnsi"/>
                <w:sz w:val="24"/>
                <w:szCs w:val="24"/>
              </w:rPr>
              <w:t>7</w:t>
            </w:r>
          </w:p>
        </w:tc>
        <w:tc>
          <w:tcPr>
            <w:tcW w:w="2340" w:type="dxa"/>
            <w:tcBorders>
              <w:bottom w:val="single" w:sz="4" w:space="0" w:color="auto"/>
              <w:right w:val="single" w:sz="4" w:space="0" w:color="auto"/>
            </w:tcBorders>
            <w:shd w:val="clear" w:color="auto" w:fill="FFFFFF"/>
            <w:noWrap/>
            <w:vAlign w:val="bottom"/>
            <w:hideMark/>
          </w:tcPr>
          <w:p w14:paraId="1F3D96F4" w14:textId="77777777" w:rsidR="002D7F73" w:rsidRPr="002D7F73" w:rsidRDefault="002D7F73" w:rsidP="002D7F73">
            <w:pPr>
              <w:jc w:val="both"/>
              <w:rPr>
                <w:rFonts w:cstheme="minorHAnsi"/>
                <w:sz w:val="24"/>
                <w:szCs w:val="24"/>
              </w:rPr>
            </w:pPr>
            <w:r w:rsidRPr="002D7F73">
              <w:rPr>
                <w:rFonts w:cstheme="minorHAnsi"/>
                <w:sz w:val="24"/>
                <w:szCs w:val="24"/>
              </w:rPr>
              <w:t xml:space="preserve">Sandra Milena </w:t>
            </w:r>
            <w:proofErr w:type="spellStart"/>
            <w:r w:rsidRPr="002D7F73">
              <w:rPr>
                <w:rFonts w:cstheme="minorHAnsi"/>
                <w:sz w:val="24"/>
                <w:szCs w:val="24"/>
              </w:rPr>
              <w:t>Playonero</w:t>
            </w:r>
            <w:proofErr w:type="spellEnd"/>
          </w:p>
        </w:tc>
        <w:tc>
          <w:tcPr>
            <w:tcW w:w="1760" w:type="dxa"/>
            <w:tcBorders>
              <w:bottom w:val="single" w:sz="4" w:space="0" w:color="auto"/>
              <w:right w:val="single" w:sz="4" w:space="0" w:color="auto"/>
            </w:tcBorders>
            <w:shd w:val="clear" w:color="auto" w:fill="FFFFFF"/>
            <w:noWrap/>
            <w:vAlign w:val="bottom"/>
            <w:hideMark/>
          </w:tcPr>
          <w:p w14:paraId="18D4DE84" w14:textId="78325AB7" w:rsidR="002D7F73" w:rsidRPr="002D7F73" w:rsidRDefault="002D7F73" w:rsidP="002D7F73">
            <w:pPr>
              <w:jc w:val="both"/>
              <w:rPr>
                <w:rFonts w:cstheme="minorHAnsi"/>
                <w:sz w:val="24"/>
                <w:szCs w:val="24"/>
              </w:rPr>
            </w:pPr>
            <w:r w:rsidRPr="002D7F73">
              <w:rPr>
                <w:rFonts w:cstheme="minorHAnsi"/>
                <w:sz w:val="24"/>
                <w:szCs w:val="24"/>
              </w:rPr>
              <w:t>Madre</w:t>
            </w:r>
          </w:p>
        </w:tc>
        <w:tc>
          <w:tcPr>
            <w:tcW w:w="2680" w:type="dxa"/>
            <w:tcBorders>
              <w:bottom w:val="single" w:sz="4" w:space="0" w:color="auto"/>
              <w:right w:val="single" w:sz="4" w:space="0" w:color="auto"/>
            </w:tcBorders>
            <w:shd w:val="clear" w:color="auto" w:fill="FFFFFF"/>
            <w:noWrap/>
            <w:vAlign w:val="center"/>
            <w:hideMark/>
          </w:tcPr>
          <w:p w14:paraId="3969398E" w14:textId="77777777" w:rsidR="002D7F73" w:rsidRPr="002D7F73" w:rsidRDefault="002D7F73" w:rsidP="002D7F73">
            <w:pPr>
              <w:jc w:val="both"/>
              <w:rPr>
                <w:rFonts w:cstheme="minorHAnsi"/>
                <w:sz w:val="24"/>
                <w:szCs w:val="24"/>
              </w:rPr>
            </w:pPr>
            <w:r w:rsidRPr="002D7F73">
              <w:rPr>
                <w:rFonts w:cstheme="minorHAnsi"/>
                <w:sz w:val="24"/>
                <w:szCs w:val="24"/>
              </w:rPr>
              <w:t>20</w:t>
            </w:r>
          </w:p>
        </w:tc>
        <w:tc>
          <w:tcPr>
            <w:tcW w:w="2440" w:type="dxa"/>
            <w:tcBorders>
              <w:bottom w:val="single" w:sz="4" w:space="0" w:color="auto"/>
              <w:right w:val="single" w:sz="4" w:space="0" w:color="auto"/>
            </w:tcBorders>
            <w:shd w:val="clear" w:color="auto" w:fill="FFFFFF"/>
            <w:noWrap/>
            <w:vAlign w:val="center"/>
            <w:hideMark/>
          </w:tcPr>
          <w:p w14:paraId="14D1E0FE" w14:textId="77777777" w:rsidR="002D7F73" w:rsidRPr="002D7F73" w:rsidRDefault="002D7F73" w:rsidP="002D7F73">
            <w:pPr>
              <w:jc w:val="both"/>
              <w:rPr>
                <w:rFonts w:cstheme="minorHAnsi"/>
                <w:sz w:val="24"/>
                <w:szCs w:val="24"/>
              </w:rPr>
            </w:pPr>
            <w:r w:rsidRPr="002D7F73">
              <w:rPr>
                <w:rFonts w:cstheme="minorHAnsi"/>
                <w:sz w:val="24"/>
                <w:szCs w:val="24"/>
              </w:rPr>
              <w:t>0</w:t>
            </w:r>
          </w:p>
        </w:tc>
      </w:tr>
      <w:tr w:rsidR="002D7F73" w:rsidRPr="002D7F73" w14:paraId="56C0F5B5" w14:textId="77777777">
        <w:trPr>
          <w:trHeight w:val="225"/>
        </w:trPr>
        <w:tc>
          <w:tcPr>
            <w:tcW w:w="460" w:type="dxa"/>
            <w:tcBorders>
              <w:left w:val="single" w:sz="4" w:space="0" w:color="auto"/>
              <w:bottom w:val="single" w:sz="4" w:space="0" w:color="auto"/>
              <w:right w:val="single" w:sz="4" w:space="0" w:color="auto"/>
            </w:tcBorders>
            <w:shd w:val="clear" w:color="auto" w:fill="FFFFFF"/>
            <w:noWrap/>
            <w:vAlign w:val="bottom"/>
            <w:hideMark/>
          </w:tcPr>
          <w:p w14:paraId="72FFB409" w14:textId="77777777" w:rsidR="002D7F73" w:rsidRPr="002D7F73" w:rsidRDefault="002D7F73" w:rsidP="002D7F73">
            <w:pPr>
              <w:jc w:val="both"/>
              <w:rPr>
                <w:rFonts w:cstheme="minorHAnsi"/>
                <w:sz w:val="24"/>
                <w:szCs w:val="24"/>
              </w:rPr>
            </w:pPr>
            <w:r w:rsidRPr="002D7F73">
              <w:rPr>
                <w:rFonts w:cstheme="minorHAnsi"/>
                <w:sz w:val="24"/>
                <w:szCs w:val="24"/>
              </w:rPr>
              <w:t>8</w:t>
            </w:r>
          </w:p>
        </w:tc>
        <w:tc>
          <w:tcPr>
            <w:tcW w:w="2340" w:type="dxa"/>
            <w:tcBorders>
              <w:bottom w:val="single" w:sz="4" w:space="0" w:color="auto"/>
              <w:right w:val="single" w:sz="4" w:space="0" w:color="auto"/>
            </w:tcBorders>
            <w:shd w:val="clear" w:color="auto" w:fill="FFFFFF"/>
            <w:noWrap/>
            <w:vAlign w:val="bottom"/>
            <w:hideMark/>
          </w:tcPr>
          <w:p w14:paraId="56AAC051" w14:textId="77777777" w:rsidR="002D7F73" w:rsidRPr="002D7F73" w:rsidRDefault="002D7F73" w:rsidP="002D7F73">
            <w:pPr>
              <w:jc w:val="both"/>
              <w:rPr>
                <w:rFonts w:cstheme="minorHAnsi"/>
                <w:sz w:val="24"/>
                <w:szCs w:val="24"/>
              </w:rPr>
            </w:pPr>
            <w:proofErr w:type="spellStart"/>
            <w:r w:rsidRPr="002D7F73">
              <w:rPr>
                <w:rFonts w:cstheme="minorHAnsi"/>
                <w:sz w:val="24"/>
                <w:szCs w:val="24"/>
              </w:rPr>
              <w:t>Karol</w:t>
            </w:r>
            <w:proofErr w:type="spellEnd"/>
            <w:r w:rsidRPr="002D7F73">
              <w:rPr>
                <w:rFonts w:cstheme="minorHAnsi"/>
                <w:sz w:val="24"/>
                <w:szCs w:val="24"/>
              </w:rPr>
              <w:t xml:space="preserve"> Cortés</w:t>
            </w:r>
          </w:p>
        </w:tc>
        <w:tc>
          <w:tcPr>
            <w:tcW w:w="1760" w:type="dxa"/>
            <w:tcBorders>
              <w:bottom w:val="single" w:sz="4" w:space="0" w:color="auto"/>
              <w:right w:val="single" w:sz="4" w:space="0" w:color="auto"/>
            </w:tcBorders>
            <w:shd w:val="clear" w:color="auto" w:fill="FFFFFF"/>
            <w:noWrap/>
            <w:vAlign w:val="bottom"/>
            <w:hideMark/>
          </w:tcPr>
          <w:p w14:paraId="6FA0D7C9" w14:textId="77777777" w:rsidR="002D7F73" w:rsidRPr="002D7F73" w:rsidRDefault="002D7F73" w:rsidP="002D7F73">
            <w:pPr>
              <w:jc w:val="both"/>
              <w:rPr>
                <w:rFonts w:cstheme="minorHAnsi"/>
                <w:sz w:val="24"/>
                <w:szCs w:val="24"/>
              </w:rPr>
            </w:pPr>
            <w:r w:rsidRPr="002D7F73">
              <w:rPr>
                <w:rFonts w:cstheme="minorHAnsi"/>
                <w:sz w:val="24"/>
                <w:szCs w:val="24"/>
              </w:rPr>
              <w:t>víctima</w:t>
            </w:r>
          </w:p>
        </w:tc>
        <w:tc>
          <w:tcPr>
            <w:tcW w:w="2680" w:type="dxa"/>
            <w:tcBorders>
              <w:bottom w:val="single" w:sz="4" w:space="0" w:color="auto"/>
              <w:right w:val="single" w:sz="4" w:space="0" w:color="auto"/>
            </w:tcBorders>
            <w:shd w:val="clear" w:color="auto" w:fill="FFFFFF"/>
            <w:noWrap/>
            <w:vAlign w:val="center"/>
            <w:hideMark/>
          </w:tcPr>
          <w:p w14:paraId="08833D99" w14:textId="77777777" w:rsidR="002D7F73" w:rsidRPr="002D7F73" w:rsidRDefault="002D7F73" w:rsidP="002D7F73">
            <w:pPr>
              <w:jc w:val="both"/>
              <w:rPr>
                <w:rFonts w:cstheme="minorHAnsi"/>
                <w:sz w:val="24"/>
                <w:szCs w:val="24"/>
              </w:rPr>
            </w:pPr>
            <w:r w:rsidRPr="002D7F73">
              <w:rPr>
                <w:rFonts w:cstheme="minorHAnsi"/>
                <w:sz w:val="24"/>
                <w:szCs w:val="24"/>
              </w:rPr>
              <w:t>20</w:t>
            </w:r>
          </w:p>
        </w:tc>
        <w:tc>
          <w:tcPr>
            <w:tcW w:w="2440" w:type="dxa"/>
            <w:tcBorders>
              <w:bottom w:val="single" w:sz="4" w:space="0" w:color="auto"/>
              <w:right w:val="single" w:sz="4" w:space="0" w:color="auto"/>
            </w:tcBorders>
            <w:shd w:val="clear" w:color="auto" w:fill="FFFFFF"/>
            <w:noWrap/>
            <w:vAlign w:val="center"/>
            <w:hideMark/>
          </w:tcPr>
          <w:p w14:paraId="2DDEC890" w14:textId="77777777" w:rsidR="002D7F73" w:rsidRPr="002D7F73" w:rsidRDefault="002D7F73" w:rsidP="002D7F73">
            <w:pPr>
              <w:jc w:val="both"/>
              <w:rPr>
                <w:rFonts w:cstheme="minorHAnsi"/>
                <w:sz w:val="24"/>
                <w:szCs w:val="24"/>
              </w:rPr>
            </w:pPr>
            <w:r w:rsidRPr="002D7F73">
              <w:rPr>
                <w:rFonts w:cstheme="minorHAnsi"/>
                <w:sz w:val="24"/>
                <w:szCs w:val="24"/>
              </w:rPr>
              <w:t>20</w:t>
            </w:r>
          </w:p>
        </w:tc>
      </w:tr>
      <w:tr w:rsidR="002D7F73" w:rsidRPr="002D7F73" w14:paraId="6ED7DF3F" w14:textId="77777777">
        <w:trPr>
          <w:trHeight w:val="225"/>
        </w:trPr>
        <w:tc>
          <w:tcPr>
            <w:tcW w:w="460" w:type="dxa"/>
            <w:tcBorders>
              <w:left w:val="single" w:sz="4" w:space="0" w:color="auto"/>
              <w:bottom w:val="single" w:sz="4" w:space="0" w:color="auto"/>
              <w:right w:val="single" w:sz="4" w:space="0" w:color="auto"/>
            </w:tcBorders>
            <w:shd w:val="clear" w:color="auto" w:fill="FFFFFF"/>
            <w:noWrap/>
            <w:vAlign w:val="bottom"/>
            <w:hideMark/>
          </w:tcPr>
          <w:p w14:paraId="439EFFD7" w14:textId="77777777" w:rsidR="002D7F73" w:rsidRPr="002D7F73" w:rsidRDefault="002D7F73" w:rsidP="002D7F73">
            <w:pPr>
              <w:jc w:val="both"/>
              <w:rPr>
                <w:rFonts w:cstheme="minorHAnsi"/>
                <w:sz w:val="24"/>
                <w:szCs w:val="24"/>
              </w:rPr>
            </w:pPr>
            <w:r w:rsidRPr="002D7F73">
              <w:rPr>
                <w:rFonts w:cstheme="minorHAnsi"/>
                <w:sz w:val="24"/>
                <w:szCs w:val="24"/>
              </w:rPr>
              <w:t>9</w:t>
            </w:r>
          </w:p>
        </w:tc>
        <w:tc>
          <w:tcPr>
            <w:tcW w:w="2340" w:type="dxa"/>
            <w:tcBorders>
              <w:bottom w:val="single" w:sz="4" w:space="0" w:color="auto"/>
              <w:right w:val="single" w:sz="4" w:space="0" w:color="auto"/>
            </w:tcBorders>
            <w:shd w:val="clear" w:color="auto" w:fill="FFFFFF"/>
            <w:noWrap/>
            <w:vAlign w:val="bottom"/>
            <w:hideMark/>
          </w:tcPr>
          <w:p w14:paraId="45C9A1D6" w14:textId="77777777" w:rsidR="002D7F73" w:rsidRPr="002D7F73" w:rsidRDefault="002D7F73" w:rsidP="002D7F73">
            <w:pPr>
              <w:jc w:val="both"/>
              <w:rPr>
                <w:rFonts w:cstheme="minorHAnsi"/>
                <w:sz w:val="24"/>
                <w:szCs w:val="24"/>
              </w:rPr>
            </w:pPr>
            <w:r w:rsidRPr="002D7F73">
              <w:rPr>
                <w:rFonts w:cstheme="minorHAnsi"/>
                <w:sz w:val="24"/>
                <w:szCs w:val="24"/>
              </w:rPr>
              <w:t>Juan Aldair Cortés</w:t>
            </w:r>
          </w:p>
        </w:tc>
        <w:tc>
          <w:tcPr>
            <w:tcW w:w="1760" w:type="dxa"/>
            <w:tcBorders>
              <w:bottom w:val="single" w:sz="4" w:space="0" w:color="auto"/>
              <w:right w:val="single" w:sz="4" w:space="0" w:color="auto"/>
            </w:tcBorders>
            <w:shd w:val="clear" w:color="auto" w:fill="FFFFFF"/>
            <w:noWrap/>
            <w:vAlign w:val="bottom"/>
            <w:hideMark/>
          </w:tcPr>
          <w:p w14:paraId="63527A90" w14:textId="77777777" w:rsidR="002D7F73" w:rsidRPr="002D7F73" w:rsidRDefault="002D7F73" w:rsidP="002D7F73">
            <w:pPr>
              <w:jc w:val="both"/>
              <w:rPr>
                <w:rFonts w:cstheme="minorHAnsi"/>
                <w:sz w:val="24"/>
                <w:szCs w:val="24"/>
              </w:rPr>
            </w:pPr>
            <w:r w:rsidRPr="002D7F73">
              <w:rPr>
                <w:rFonts w:cstheme="minorHAnsi"/>
                <w:sz w:val="24"/>
                <w:szCs w:val="24"/>
              </w:rPr>
              <w:t>hermano</w:t>
            </w:r>
          </w:p>
        </w:tc>
        <w:tc>
          <w:tcPr>
            <w:tcW w:w="2680" w:type="dxa"/>
            <w:tcBorders>
              <w:bottom w:val="single" w:sz="4" w:space="0" w:color="auto"/>
              <w:right w:val="single" w:sz="4" w:space="0" w:color="auto"/>
            </w:tcBorders>
            <w:shd w:val="clear" w:color="auto" w:fill="FFFFFF"/>
            <w:noWrap/>
            <w:vAlign w:val="center"/>
            <w:hideMark/>
          </w:tcPr>
          <w:p w14:paraId="6E34CEC3" w14:textId="77777777" w:rsidR="002D7F73" w:rsidRPr="002D7F73" w:rsidRDefault="002D7F73" w:rsidP="002D7F73">
            <w:pPr>
              <w:jc w:val="both"/>
              <w:rPr>
                <w:rFonts w:cstheme="minorHAnsi"/>
                <w:sz w:val="24"/>
                <w:szCs w:val="24"/>
              </w:rPr>
            </w:pPr>
            <w:r w:rsidRPr="002D7F73">
              <w:rPr>
                <w:rFonts w:cstheme="minorHAnsi"/>
                <w:sz w:val="24"/>
                <w:szCs w:val="24"/>
              </w:rPr>
              <w:t>10</w:t>
            </w:r>
          </w:p>
        </w:tc>
        <w:tc>
          <w:tcPr>
            <w:tcW w:w="2440" w:type="dxa"/>
            <w:tcBorders>
              <w:bottom w:val="single" w:sz="4" w:space="0" w:color="auto"/>
              <w:right w:val="single" w:sz="4" w:space="0" w:color="auto"/>
            </w:tcBorders>
            <w:shd w:val="clear" w:color="auto" w:fill="FFFFFF"/>
            <w:noWrap/>
            <w:vAlign w:val="center"/>
            <w:hideMark/>
          </w:tcPr>
          <w:p w14:paraId="7AECF09E" w14:textId="77777777" w:rsidR="002D7F73" w:rsidRPr="002D7F73" w:rsidRDefault="002D7F73" w:rsidP="002D7F73">
            <w:pPr>
              <w:jc w:val="both"/>
              <w:rPr>
                <w:rFonts w:cstheme="minorHAnsi"/>
                <w:sz w:val="24"/>
                <w:szCs w:val="24"/>
              </w:rPr>
            </w:pPr>
            <w:r w:rsidRPr="002D7F73">
              <w:rPr>
                <w:rFonts w:cstheme="minorHAnsi"/>
                <w:sz w:val="24"/>
                <w:szCs w:val="24"/>
              </w:rPr>
              <w:t>0</w:t>
            </w:r>
          </w:p>
        </w:tc>
      </w:tr>
      <w:tr w:rsidR="002D7F73" w:rsidRPr="002D7F73" w14:paraId="1EC66A1C" w14:textId="77777777">
        <w:trPr>
          <w:trHeight w:val="225"/>
        </w:trPr>
        <w:tc>
          <w:tcPr>
            <w:tcW w:w="460" w:type="dxa"/>
            <w:tcBorders>
              <w:left w:val="single" w:sz="4" w:space="0" w:color="auto"/>
              <w:bottom w:val="single" w:sz="4" w:space="0" w:color="auto"/>
              <w:right w:val="single" w:sz="4" w:space="0" w:color="auto"/>
            </w:tcBorders>
            <w:shd w:val="clear" w:color="auto" w:fill="FFFFFF"/>
            <w:noWrap/>
            <w:vAlign w:val="bottom"/>
            <w:hideMark/>
          </w:tcPr>
          <w:p w14:paraId="6A9C6BD8" w14:textId="77777777" w:rsidR="002D7F73" w:rsidRPr="002D7F73" w:rsidRDefault="002D7F73" w:rsidP="002D7F73">
            <w:pPr>
              <w:jc w:val="both"/>
              <w:rPr>
                <w:rFonts w:cstheme="minorHAnsi"/>
                <w:sz w:val="24"/>
                <w:szCs w:val="24"/>
              </w:rPr>
            </w:pPr>
            <w:r w:rsidRPr="002D7F73">
              <w:rPr>
                <w:rFonts w:cstheme="minorHAnsi"/>
                <w:sz w:val="24"/>
                <w:szCs w:val="24"/>
              </w:rPr>
              <w:t>10</w:t>
            </w:r>
          </w:p>
        </w:tc>
        <w:tc>
          <w:tcPr>
            <w:tcW w:w="2340" w:type="dxa"/>
            <w:tcBorders>
              <w:bottom w:val="single" w:sz="4" w:space="0" w:color="auto"/>
              <w:right w:val="single" w:sz="4" w:space="0" w:color="auto"/>
            </w:tcBorders>
            <w:shd w:val="clear" w:color="auto" w:fill="FFFFFF"/>
            <w:noWrap/>
            <w:vAlign w:val="bottom"/>
            <w:hideMark/>
          </w:tcPr>
          <w:p w14:paraId="0DE23655" w14:textId="77777777" w:rsidR="002D7F73" w:rsidRPr="002D7F73" w:rsidRDefault="002D7F73" w:rsidP="002D7F73">
            <w:pPr>
              <w:jc w:val="both"/>
              <w:rPr>
                <w:rFonts w:cstheme="minorHAnsi"/>
                <w:sz w:val="24"/>
                <w:szCs w:val="24"/>
              </w:rPr>
            </w:pPr>
            <w:r w:rsidRPr="002D7F73">
              <w:rPr>
                <w:rFonts w:cstheme="minorHAnsi"/>
                <w:sz w:val="24"/>
                <w:szCs w:val="24"/>
              </w:rPr>
              <w:t>Yan Cortés</w:t>
            </w:r>
          </w:p>
        </w:tc>
        <w:tc>
          <w:tcPr>
            <w:tcW w:w="1760" w:type="dxa"/>
            <w:tcBorders>
              <w:bottom w:val="single" w:sz="4" w:space="0" w:color="auto"/>
              <w:right w:val="single" w:sz="4" w:space="0" w:color="auto"/>
            </w:tcBorders>
            <w:shd w:val="clear" w:color="auto" w:fill="FFFFFF"/>
            <w:noWrap/>
            <w:vAlign w:val="bottom"/>
            <w:hideMark/>
          </w:tcPr>
          <w:p w14:paraId="3A4B0DD5" w14:textId="77777777" w:rsidR="002D7F73" w:rsidRPr="002D7F73" w:rsidRDefault="002D7F73" w:rsidP="002D7F73">
            <w:pPr>
              <w:jc w:val="both"/>
              <w:rPr>
                <w:rFonts w:cstheme="minorHAnsi"/>
                <w:sz w:val="24"/>
                <w:szCs w:val="24"/>
              </w:rPr>
            </w:pPr>
            <w:r w:rsidRPr="002D7F73">
              <w:rPr>
                <w:rFonts w:cstheme="minorHAnsi"/>
                <w:sz w:val="24"/>
                <w:szCs w:val="24"/>
              </w:rPr>
              <w:t>hermano</w:t>
            </w:r>
          </w:p>
        </w:tc>
        <w:tc>
          <w:tcPr>
            <w:tcW w:w="2680" w:type="dxa"/>
            <w:tcBorders>
              <w:bottom w:val="single" w:sz="4" w:space="0" w:color="auto"/>
              <w:right w:val="single" w:sz="4" w:space="0" w:color="auto"/>
            </w:tcBorders>
            <w:shd w:val="clear" w:color="auto" w:fill="FFFFFF"/>
            <w:noWrap/>
            <w:vAlign w:val="center"/>
            <w:hideMark/>
          </w:tcPr>
          <w:p w14:paraId="6C5E6BA2" w14:textId="77777777" w:rsidR="002D7F73" w:rsidRPr="002D7F73" w:rsidRDefault="002D7F73" w:rsidP="002D7F73">
            <w:pPr>
              <w:jc w:val="both"/>
              <w:rPr>
                <w:rFonts w:cstheme="minorHAnsi"/>
                <w:sz w:val="24"/>
                <w:szCs w:val="24"/>
              </w:rPr>
            </w:pPr>
            <w:r w:rsidRPr="002D7F73">
              <w:rPr>
                <w:rFonts w:cstheme="minorHAnsi"/>
                <w:sz w:val="24"/>
                <w:szCs w:val="24"/>
              </w:rPr>
              <w:t>10</w:t>
            </w:r>
          </w:p>
        </w:tc>
        <w:tc>
          <w:tcPr>
            <w:tcW w:w="2440" w:type="dxa"/>
            <w:tcBorders>
              <w:bottom w:val="single" w:sz="4" w:space="0" w:color="auto"/>
              <w:right w:val="single" w:sz="4" w:space="0" w:color="auto"/>
            </w:tcBorders>
            <w:shd w:val="clear" w:color="auto" w:fill="FFFFFF"/>
            <w:noWrap/>
            <w:vAlign w:val="center"/>
            <w:hideMark/>
          </w:tcPr>
          <w:p w14:paraId="7D541C16" w14:textId="77777777" w:rsidR="002D7F73" w:rsidRPr="002D7F73" w:rsidRDefault="002D7F73" w:rsidP="002D7F73">
            <w:pPr>
              <w:jc w:val="both"/>
              <w:rPr>
                <w:rFonts w:cstheme="minorHAnsi"/>
                <w:sz w:val="24"/>
                <w:szCs w:val="24"/>
              </w:rPr>
            </w:pPr>
            <w:r w:rsidRPr="002D7F73">
              <w:rPr>
                <w:rFonts w:cstheme="minorHAnsi"/>
                <w:sz w:val="24"/>
                <w:szCs w:val="24"/>
              </w:rPr>
              <w:t>0</w:t>
            </w:r>
          </w:p>
        </w:tc>
      </w:tr>
      <w:tr w:rsidR="002D7F73" w:rsidRPr="002D7F73" w14:paraId="0F26B45A" w14:textId="77777777">
        <w:trPr>
          <w:trHeight w:val="450"/>
        </w:trPr>
        <w:tc>
          <w:tcPr>
            <w:tcW w:w="460" w:type="dxa"/>
            <w:tcBorders>
              <w:left w:val="single" w:sz="4" w:space="0" w:color="auto"/>
              <w:bottom w:val="single" w:sz="4" w:space="0" w:color="auto"/>
              <w:right w:val="single" w:sz="4" w:space="0" w:color="auto"/>
            </w:tcBorders>
            <w:shd w:val="clear" w:color="auto" w:fill="FFFFFF"/>
            <w:noWrap/>
            <w:vAlign w:val="bottom"/>
            <w:hideMark/>
          </w:tcPr>
          <w:p w14:paraId="3CE18039" w14:textId="3ECF1F6F" w:rsidR="002D7F73" w:rsidRPr="002D7F73" w:rsidRDefault="002D7F73" w:rsidP="002D7F73">
            <w:pPr>
              <w:jc w:val="both"/>
              <w:rPr>
                <w:rFonts w:cstheme="minorHAnsi"/>
                <w:sz w:val="24"/>
                <w:szCs w:val="24"/>
              </w:rPr>
            </w:pPr>
          </w:p>
        </w:tc>
        <w:tc>
          <w:tcPr>
            <w:tcW w:w="2340" w:type="dxa"/>
            <w:tcBorders>
              <w:bottom w:val="single" w:sz="4" w:space="0" w:color="auto"/>
              <w:right w:val="single" w:sz="4" w:space="0" w:color="auto"/>
            </w:tcBorders>
            <w:shd w:val="clear" w:color="auto" w:fill="FBE2D5"/>
            <w:vAlign w:val="bottom"/>
            <w:hideMark/>
          </w:tcPr>
          <w:p w14:paraId="3200F28F" w14:textId="77777777" w:rsidR="002D7F73" w:rsidRPr="002D7F73" w:rsidRDefault="002D7F73" w:rsidP="002D7F73">
            <w:pPr>
              <w:jc w:val="both"/>
              <w:rPr>
                <w:rFonts w:cstheme="minorHAnsi"/>
                <w:sz w:val="24"/>
                <w:szCs w:val="24"/>
              </w:rPr>
            </w:pPr>
            <w:r w:rsidRPr="002D7F73">
              <w:rPr>
                <w:rFonts w:cstheme="minorHAnsi"/>
                <w:sz w:val="24"/>
                <w:szCs w:val="24"/>
              </w:rPr>
              <w:t xml:space="preserve">Tercer Grupo (lesión de </w:t>
            </w:r>
            <w:proofErr w:type="spellStart"/>
            <w:r w:rsidRPr="002D7F73">
              <w:rPr>
                <w:rFonts w:cstheme="minorHAnsi"/>
                <w:sz w:val="24"/>
                <w:szCs w:val="24"/>
              </w:rPr>
              <w:t>Jhon</w:t>
            </w:r>
            <w:proofErr w:type="spellEnd"/>
            <w:r w:rsidRPr="002D7F73">
              <w:rPr>
                <w:rFonts w:cstheme="minorHAnsi"/>
                <w:sz w:val="24"/>
                <w:szCs w:val="24"/>
              </w:rPr>
              <w:t xml:space="preserve"> Dávila)</w:t>
            </w:r>
          </w:p>
        </w:tc>
        <w:tc>
          <w:tcPr>
            <w:tcW w:w="6880" w:type="dxa"/>
            <w:gridSpan w:val="3"/>
            <w:tcBorders>
              <w:top w:val="single" w:sz="4" w:space="0" w:color="auto"/>
              <w:bottom w:val="single" w:sz="4" w:space="0" w:color="auto"/>
              <w:right w:val="single" w:sz="4" w:space="0" w:color="auto"/>
            </w:tcBorders>
            <w:shd w:val="clear" w:color="auto" w:fill="FFFFFF"/>
            <w:noWrap/>
            <w:vAlign w:val="bottom"/>
            <w:hideMark/>
          </w:tcPr>
          <w:p w14:paraId="69662858" w14:textId="2AF5B008" w:rsidR="002D7F73" w:rsidRPr="002D7F73" w:rsidRDefault="002D7F73" w:rsidP="002D7F73">
            <w:pPr>
              <w:jc w:val="both"/>
              <w:rPr>
                <w:rFonts w:cstheme="minorHAnsi"/>
                <w:sz w:val="24"/>
                <w:szCs w:val="24"/>
              </w:rPr>
            </w:pPr>
          </w:p>
        </w:tc>
      </w:tr>
      <w:tr w:rsidR="002D7F73" w:rsidRPr="002D7F73" w14:paraId="55F87CBD" w14:textId="77777777">
        <w:trPr>
          <w:trHeight w:val="225"/>
        </w:trPr>
        <w:tc>
          <w:tcPr>
            <w:tcW w:w="460" w:type="dxa"/>
            <w:tcBorders>
              <w:left w:val="single" w:sz="4" w:space="0" w:color="auto"/>
              <w:bottom w:val="single" w:sz="4" w:space="0" w:color="auto"/>
              <w:right w:val="single" w:sz="4" w:space="0" w:color="auto"/>
            </w:tcBorders>
            <w:shd w:val="clear" w:color="auto" w:fill="FFFFFF"/>
            <w:noWrap/>
            <w:vAlign w:val="bottom"/>
            <w:hideMark/>
          </w:tcPr>
          <w:p w14:paraId="5AE1A840" w14:textId="77777777" w:rsidR="002D7F73" w:rsidRPr="002D7F73" w:rsidRDefault="002D7F73" w:rsidP="002D7F73">
            <w:pPr>
              <w:jc w:val="both"/>
              <w:rPr>
                <w:rFonts w:cstheme="minorHAnsi"/>
                <w:sz w:val="24"/>
                <w:szCs w:val="24"/>
              </w:rPr>
            </w:pPr>
            <w:r w:rsidRPr="002D7F73">
              <w:rPr>
                <w:rFonts w:cstheme="minorHAnsi"/>
                <w:sz w:val="24"/>
                <w:szCs w:val="24"/>
              </w:rPr>
              <w:t>11</w:t>
            </w:r>
          </w:p>
        </w:tc>
        <w:tc>
          <w:tcPr>
            <w:tcW w:w="2340" w:type="dxa"/>
            <w:tcBorders>
              <w:bottom w:val="single" w:sz="4" w:space="0" w:color="auto"/>
              <w:right w:val="single" w:sz="4" w:space="0" w:color="auto"/>
            </w:tcBorders>
            <w:shd w:val="clear" w:color="auto" w:fill="FFFFFF"/>
            <w:noWrap/>
            <w:vAlign w:val="bottom"/>
            <w:hideMark/>
          </w:tcPr>
          <w:p w14:paraId="1E008B00" w14:textId="2E6EDA0E" w:rsidR="002D7F73" w:rsidRPr="002D7F73" w:rsidRDefault="002D7F73" w:rsidP="002D7F73">
            <w:pPr>
              <w:jc w:val="both"/>
              <w:rPr>
                <w:rFonts w:cstheme="minorHAnsi"/>
                <w:sz w:val="24"/>
                <w:szCs w:val="24"/>
              </w:rPr>
            </w:pPr>
            <w:r w:rsidRPr="002D7F73">
              <w:rPr>
                <w:rFonts w:cstheme="minorHAnsi"/>
                <w:sz w:val="24"/>
                <w:szCs w:val="24"/>
              </w:rPr>
              <w:t>Vicente Dávila</w:t>
            </w:r>
          </w:p>
        </w:tc>
        <w:tc>
          <w:tcPr>
            <w:tcW w:w="1760" w:type="dxa"/>
            <w:tcBorders>
              <w:bottom w:val="single" w:sz="4" w:space="0" w:color="auto"/>
              <w:right w:val="single" w:sz="4" w:space="0" w:color="auto"/>
            </w:tcBorders>
            <w:shd w:val="clear" w:color="auto" w:fill="FFFFFF"/>
            <w:noWrap/>
            <w:vAlign w:val="bottom"/>
            <w:hideMark/>
          </w:tcPr>
          <w:p w14:paraId="15E13A1F" w14:textId="77777777" w:rsidR="002D7F73" w:rsidRPr="002D7F73" w:rsidRDefault="002D7F73" w:rsidP="002D7F73">
            <w:pPr>
              <w:jc w:val="both"/>
              <w:rPr>
                <w:rFonts w:cstheme="minorHAnsi"/>
                <w:sz w:val="24"/>
                <w:szCs w:val="24"/>
              </w:rPr>
            </w:pPr>
            <w:r w:rsidRPr="002D7F73">
              <w:rPr>
                <w:rFonts w:cstheme="minorHAnsi"/>
                <w:sz w:val="24"/>
                <w:szCs w:val="24"/>
              </w:rPr>
              <w:t>Padre</w:t>
            </w:r>
          </w:p>
        </w:tc>
        <w:tc>
          <w:tcPr>
            <w:tcW w:w="2680" w:type="dxa"/>
            <w:tcBorders>
              <w:bottom w:val="single" w:sz="4" w:space="0" w:color="auto"/>
              <w:right w:val="single" w:sz="4" w:space="0" w:color="auto"/>
            </w:tcBorders>
            <w:shd w:val="clear" w:color="auto" w:fill="FFFFFF"/>
            <w:noWrap/>
            <w:vAlign w:val="center"/>
            <w:hideMark/>
          </w:tcPr>
          <w:p w14:paraId="7C7F76CC" w14:textId="77777777" w:rsidR="002D7F73" w:rsidRPr="002D7F73" w:rsidRDefault="002D7F73" w:rsidP="002D7F73">
            <w:pPr>
              <w:jc w:val="both"/>
              <w:rPr>
                <w:rFonts w:cstheme="minorHAnsi"/>
                <w:sz w:val="24"/>
                <w:szCs w:val="24"/>
              </w:rPr>
            </w:pPr>
            <w:r w:rsidRPr="002D7F73">
              <w:rPr>
                <w:rFonts w:cstheme="minorHAnsi"/>
                <w:sz w:val="24"/>
                <w:szCs w:val="24"/>
              </w:rPr>
              <w:t>10</w:t>
            </w:r>
          </w:p>
        </w:tc>
        <w:tc>
          <w:tcPr>
            <w:tcW w:w="2440" w:type="dxa"/>
            <w:tcBorders>
              <w:bottom w:val="single" w:sz="4" w:space="0" w:color="auto"/>
              <w:right w:val="single" w:sz="4" w:space="0" w:color="auto"/>
            </w:tcBorders>
            <w:shd w:val="clear" w:color="auto" w:fill="FFFFFF"/>
            <w:noWrap/>
            <w:vAlign w:val="center"/>
            <w:hideMark/>
          </w:tcPr>
          <w:p w14:paraId="40FD7183" w14:textId="77777777" w:rsidR="002D7F73" w:rsidRPr="002D7F73" w:rsidRDefault="002D7F73" w:rsidP="002D7F73">
            <w:pPr>
              <w:jc w:val="both"/>
              <w:rPr>
                <w:rFonts w:cstheme="minorHAnsi"/>
                <w:sz w:val="24"/>
                <w:szCs w:val="24"/>
              </w:rPr>
            </w:pPr>
            <w:r w:rsidRPr="002D7F73">
              <w:rPr>
                <w:rFonts w:cstheme="minorHAnsi"/>
                <w:sz w:val="24"/>
                <w:szCs w:val="24"/>
              </w:rPr>
              <w:t>0</w:t>
            </w:r>
          </w:p>
        </w:tc>
      </w:tr>
      <w:tr w:rsidR="002D7F73" w:rsidRPr="002D7F73" w14:paraId="0872A2E5" w14:textId="77777777">
        <w:trPr>
          <w:trHeight w:val="225"/>
        </w:trPr>
        <w:tc>
          <w:tcPr>
            <w:tcW w:w="460" w:type="dxa"/>
            <w:tcBorders>
              <w:left w:val="single" w:sz="4" w:space="0" w:color="auto"/>
              <w:bottom w:val="single" w:sz="4" w:space="0" w:color="auto"/>
              <w:right w:val="single" w:sz="4" w:space="0" w:color="auto"/>
            </w:tcBorders>
            <w:shd w:val="clear" w:color="auto" w:fill="FFFFFF"/>
            <w:noWrap/>
            <w:vAlign w:val="bottom"/>
            <w:hideMark/>
          </w:tcPr>
          <w:p w14:paraId="38D649CF" w14:textId="77777777" w:rsidR="002D7F73" w:rsidRPr="002D7F73" w:rsidRDefault="002D7F73" w:rsidP="002D7F73">
            <w:pPr>
              <w:jc w:val="both"/>
              <w:rPr>
                <w:rFonts w:cstheme="minorHAnsi"/>
                <w:sz w:val="24"/>
                <w:szCs w:val="24"/>
              </w:rPr>
            </w:pPr>
            <w:r w:rsidRPr="002D7F73">
              <w:rPr>
                <w:rFonts w:cstheme="minorHAnsi"/>
                <w:sz w:val="24"/>
                <w:szCs w:val="24"/>
              </w:rPr>
              <w:t>12</w:t>
            </w:r>
          </w:p>
        </w:tc>
        <w:tc>
          <w:tcPr>
            <w:tcW w:w="2340" w:type="dxa"/>
            <w:tcBorders>
              <w:bottom w:val="single" w:sz="4" w:space="0" w:color="auto"/>
              <w:right w:val="single" w:sz="4" w:space="0" w:color="auto"/>
            </w:tcBorders>
            <w:shd w:val="clear" w:color="auto" w:fill="FFFFFF"/>
            <w:noWrap/>
            <w:vAlign w:val="bottom"/>
            <w:hideMark/>
          </w:tcPr>
          <w:p w14:paraId="0FDA5A4D" w14:textId="77777777" w:rsidR="002D7F73" w:rsidRPr="002D7F73" w:rsidRDefault="002D7F73" w:rsidP="002D7F73">
            <w:pPr>
              <w:jc w:val="both"/>
              <w:rPr>
                <w:rFonts w:cstheme="minorHAnsi"/>
                <w:sz w:val="24"/>
                <w:szCs w:val="24"/>
              </w:rPr>
            </w:pPr>
            <w:r w:rsidRPr="002D7F73">
              <w:rPr>
                <w:rFonts w:cstheme="minorHAnsi"/>
                <w:sz w:val="24"/>
                <w:szCs w:val="24"/>
              </w:rPr>
              <w:t>Cleopatra Cortés</w:t>
            </w:r>
          </w:p>
        </w:tc>
        <w:tc>
          <w:tcPr>
            <w:tcW w:w="1760" w:type="dxa"/>
            <w:tcBorders>
              <w:bottom w:val="single" w:sz="4" w:space="0" w:color="auto"/>
              <w:right w:val="single" w:sz="4" w:space="0" w:color="auto"/>
            </w:tcBorders>
            <w:shd w:val="clear" w:color="auto" w:fill="FFFFFF"/>
            <w:noWrap/>
            <w:vAlign w:val="bottom"/>
            <w:hideMark/>
          </w:tcPr>
          <w:p w14:paraId="46C6F61E" w14:textId="77777777" w:rsidR="002D7F73" w:rsidRPr="002D7F73" w:rsidRDefault="002D7F73" w:rsidP="002D7F73">
            <w:pPr>
              <w:jc w:val="both"/>
              <w:rPr>
                <w:rFonts w:cstheme="minorHAnsi"/>
                <w:sz w:val="24"/>
                <w:szCs w:val="24"/>
              </w:rPr>
            </w:pPr>
            <w:r w:rsidRPr="002D7F73">
              <w:rPr>
                <w:rFonts w:cstheme="minorHAnsi"/>
                <w:sz w:val="24"/>
                <w:szCs w:val="24"/>
              </w:rPr>
              <w:t>Madre</w:t>
            </w:r>
          </w:p>
        </w:tc>
        <w:tc>
          <w:tcPr>
            <w:tcW w:w="2680" w:type="dxa"/>
            <w:tcBorders>
              <w:bottom w:val="single" w:sz="4" w:space="0" w:color="auto"/>
              <w:right w:val="single" w:sz="4" w:space="0" w:color="auto"/>
            </w:tcBorders>
            <w:shd w:val="clear" w:color="auto" w:fill="FFFFFF"/>
            <w:noWrap/>
            <w:vAlign w:val="center"/>
            <w:hideMark/>
          </w:tcPr>
          <w:p w14:paraId="59DCB4F0" w14:textId="77777777" w:rsidR="002D7F73" w:rsidRPr="002D7F73" w:rsidRDefault="002D7F73" w:rsidP="002D7F73">
            <w:pPr>
              <w:jc w:val="both"/>
              <w:rPr>
                <w:rFonts w:cstheme="minorHAnsi"/>
                <w:sz w:val="24"/>
                <w:szCs w:val="24"/>
              </w:rPr>
            </w:pPr>
            <w:r w:rsidRPr="002D7F73">
              <w:rPr>
                <w:rFonts w:cstheme="minorHAnsi"/>
                <w:sz w:val="24"/>
                <w:szCs w:val="24"/>
              </w:rPr>
              <w:t>10</w:t>
            </w:r>
          </w:p>
        </w:tc>
        <w:tc>
          <w:tcPr>
            <w:tcW w:w="2440" w:type="dxa"/>
            <w:tcBorders>
              <w:bottom w:val="single" w:sz="4" w:space="0" w:color="auto"/>
              <w:right w:val="single" w:sz="4" w:space="0" w:color="auto"/>
            </w:tcBorders>
            <w:shd w:val="clear" w:color="auto" w:fill="FFFFFF"/>
            <w:noWrap/>
            <w:vAlign w:val="center"/>
            <w:hideMark/>
          </w:tcPr>
          <w:p w14:paraId="03164571" w14:textId="77777777" w:rsidR="002D7F73" w:rsidRPr="002D7F73" w:rsidRDefault="002D7F73" w:rsidP="002D7F73">
            <w:pPr>
              <w:jc w:val="both"/>
              <w:rPr>
                <w:rFonts w:cstheme="minorHAnsi"/>
                <w:sz w:val="24"/>
                <w:szCs w:val="24"/>
              </w:rPr>
            </w:pPr>
            <w:r w:rsidRPr="002D7F73">
              <w:rPr>
                <w:rFonts w:cstheme="minorHAnsi"/>
                <w:sz w:val="24"/>
                <w:szCs w:val="24"/>
              </w:rPr>
              <w:t>0</w:t>
            </w:r>
          </w:p>
        </w:tc>
      </w:tr>
      <w:tr w:rsidR="002D7F73" w:rsidRPr="002D7F73" w14:paraId="30805390" w14:textId="77777777">
        <w:trPr>
          <w:trHeight w:val="225"/>
        </w:trPr>
        <w:tc>
          <w:tcPr>
            <w:tcW w:w="460" w:type="dxa"/>
            <w:tcBorders>
              <w:left w:val="single" w:sz="4" w:space="0" w:color="auto"/>
              <w:bottom w:val="single" w:sz="4" w:space="0" w:color="auto"/>
              <w:right w:val="single" w:sz="4" w:space="0" w:color="auto"/>
            </w:tcBorders>
            <w:shd w:val="clear" w:color="auto" w:fill="FFFFFF"/>
            <w:noWrap/>
            <w:vAlign w:val="bottom"/>
            <w:hideMark/>
          </w:tcPr>
          <w:p w14:paraId="30DFF06E" w14:textId="77777777" w:rsidR="002D7F73" w:rsidRPr="002D7F73" w:rsidRDefault="002D7F73" w:rsidP="002D7F73">
            <w:pPr>
              <w:jc w:val="both"/>
              <w:rPr>
                <w:rFonts w:cstheme="minorHAnsi"/>
                <w:sz w:val="24"/>
                <w:szCs w:val="24"/>
              </w:rPr>
            </w:pPr>
            <w:r w:rsidRPr="002D7F73">
              <w:rPr>
                <w:rFonts w:cstheme="minorHAnsi"/>
                <w:sz w:val="24"/>
                <w:szCs w:val="24"/>
              </w:rPr>
              <w:t>13</w:t>
            </w:r>
          </w:p>
        </w:tc>
        <w:tc>
          <w:tcPr>
            <w:tcW w:w="2340" w:type="dxa"/>
            <w:tcBorders>
              <w:bottom w:val="single" w:sz="4" w:space="0" w:color="auto"/>
              <w:right w:val="single" w:sz="4" w:space="0" w:color="auto"/>
            </w:tcBorders>
            <w:shd w:val="clear" w:color="auto" w:fill="FFFFFF"/>
            <w:noWrap/>
            <w:vAlign w:val="bottom"/>
            <w:hideMark/>
          </w:tcPr>
          <w:p w14:paraId="1A177024" w14:textId="77777777" w:rsidR="002D7F73" w:rsidRPr="002D7F73" w:rsidRDefault="002D7F73" w:rsidP="002D7F73">
            <w:pPr>
              <w:jc w:val="both"/>
              <w:rPr>
                <w:rFonts w:cstheme="minorHAnsi"/>
                <w:sz w:val="24"/>
                <w:szCs w:val="24"/>
              </w:rPr>
            </w:pPr>
            <w:proofErr w:type="spellStart"/>
            <w:r w:rsidRPr="002D7F73">
              <w:rPr>
                <w:rFonts w:cstheme="minorHAnsi"/>
                <w:sz w:val="24"/>
                <w:szCs w:val="24"/>
              </w:rPr>
              <w:t>Jhon</w:t>
            </w:r>
            <w:proofErr w:type="spellEnd"/>
            <w:r w:rsidRPr="002D7F73">
              <w:rPr>
                <w:rFonts w:cstheme="minorHAnsi"/>
                <w:sz w:val="24"/>
                <w:szCs w:val="24"/>
              </w:rPr>
              <w:t xml:space="preserve"> Dávila Cortés</w:t>
            </w:r>
          </w:p>
        </w:tc>
        <w:tc>
          <w:tcPr>
            <w:tcW w:w="1760" w:type="dxa"/>
            <w:tcBorders>
              <w:bottom w:val="single" w:sz="4" w:space="0" w:color="auto"/>
              <w:right w:val="single" w:sz="4" w:space="0" w:color="auto"/>
            </w:tcBorders>
            <w:shd w:val="clear" w:color="auto" w:fill="FFFFFF"/>
            <w:noWrap/>
            <w:vAlign w:val="bottom"/>
            <w:hideMark/>
          </w:tcPr>
          <w:p w14:paraId="1035C48C" w14:textId="77777777" w:rsidR="002D7F73" w:rsidRPr="002D7F73" w:rsidRDefault="002D7F73" w:rsidP="002D7F73">
            <w:pPr>
              <w:jc w:val="both"/>
              <w:rPr>
                <w:rFonts w:cstheme="minorHAnsi"/>
                <w:sz w:val="24"/>
                <w:szCs w:val="24"/>
              </w:rPr>
            </w:pPr>
            <w:r w:rsidRPr="002D7F73">
              <w:rPr>
                <w:rFonts w:cstheme="minorHAnsi"/>
                <w:sz w:val="24"/>
                <w:szCs w:val="24"/>
              </w:rPr>
              <w:t>Víctima</w:t>
            </w:r>
          </w:p>
        </w:tc>
        <w:tc>
          <w:tcPr>
            <w:tcW w:w="2680" w:type="dxa"/>
            <w:tcBorders>
              <w:bottom w:val="single" w:sz="4" w:space="0" w:color="auto"/>
              <w:right w:val="single" w:sz="4" w:space="0" w:color="auto"/>
            </w:tcBorders>
            <w:shd w:val="clear" w:color="auto" w:fill="FFFFFF"/>
            <w:noWrap/>
            <w:vAlign w:val="center"/>
            <w:hideMark/>
          </w:tcPr>
          <w:p w14:paraId="79C1F82C" w14:textId="77777777" w:rsidR="002D7F73" w:rsidRPr="002D7F73" w:rsidRDefault="002D7F73" w:rsidP="002D7F73">
            <w:pPr>
              <w:jc w:val="both"/>
              <w:rPr>
                <w:rFonts w:cstheme="minorHAnsi"/>
                <w:sz w:val="24"/>
                <w:szCs w:val="24"/>
              </w:rPr>
            </w:pPr>
            <w:r w:rsidRPr="002D7F73">
              <w:rPr>
                <w:rFonts w:cstheme="minorHAnsi"/>
                <w:sz w:val="24"/>
                <w:szCs w:val="24"/>
              </w:rPr>
              <w:t>10</w:t>
            </w:r>
          </w:p>
        </w:tc>
        <w:tc>
          <w:tcPr>
            <w:tcW w:w="2440" w:type="dxa"/>
            <w:tcBorders>
              <w:bottom w:val="single" w:sz="4" w:space="0" w:color="auto"/>
              <w:right w:val="single" w:sz="4" w:space="0" w:color="auto"/>
            </w:tcBorders>
            <w:shd w:val="clear" w:color="auto" w:fill="FFFFFF"/>
            <w:noWrap/>
            <w:vAlign w:val="center"/>
            <w:hideMark/>
          </w:tcPr>
          <w:p w14:paraId="215AB938" w14:textId="77777777" w:rsidR="002D7F73" w:rsidRPr="002D7F73" w:rsidRDefault="002D7F73" w:rsidP="002D7F73">
            <w:pPr>
              <w:jc w:val="both"/>
              <w:rPr>
                <w:rFonts w:cstheme="minorHAnsi"/>
                <w:sz w:val="24"/>
                <w:szCs w:val="24"/>
              </w:rPr>
            </w:pPr>
            <w:r w:rsidRPr="002D7F73">
              <w:rPr>
                <w:rFonts w:cstheme="minorHAnsi"/>
                <w:sz w:val="24"/>
                <w:szCs w:val="24"/>
              </w:rPr>
              <w:t>10</w:t>
            </w:r>
          </w:p>
        </w:tc>
      </w:tr>
      <w:tr w:rsidR="002D7F73" w:rsidRPr="002D7F73" w14:paraId="2D2AB6A8" w14:textId="77777777">
        <w:trPr>
          <w:trHeight w:val="225"/>
        </w:trPr>
        <w:tc>
          <w:tcPr>
            <w:tcW w:w="460" w:type="dxa"/>
            <w:tcBorders>
              <w:left w:val="single" w:sz="4" w:space="0" w:color="auto"/>
              <w:bottom w:val="single" w:sz="4" w:space="0" w:color="auto"/>
              <w:right w:val="single" w:sz="4" w:space="0" w:color="auto"/>
            </w:tcBorders>
            <w:shd w:val="clear" w:color="auto" w:fill="FFFFFF"/>
            <w:noWrap/>
            <w:vAlign w:val="bottom"/>
            <w:hideMark/>
          </w:tcPr>
          <w:p w14:paraId="46129A52" w14:textId="77777777" w:rsidR="002D7F73" w:rsidRPr="002D7F73" w:rsidRDefault="002D7F73" w:rsidP="002D7F73">
            <w:pPr>
              <w:jc w:val="both"/>
              <w:rPr>
                <w:rFonts w:cstheme="minorHAnsi"/>
                <w:sz w:val="24"/>
                <w:szCs w:val="24"/>
              </w:rPr>
            </w:pPr>
            <w:r w:rsidRPr="002D7F73">
              <w:rPr>
                <w:rFonts w:cstheme="minorHAnsi"/>
                <w:sz w:val="24"/>
                <w:szCs w:val="24"/>
              </w:rPr>
              <w:t>14</w:t>
            </w:r>
          </w:p>
        </w:tc>
        <w:tc>
          <w:tcPr>
            <w:tcW w:w="2340" w:type="dxa"/>
            <w:tcBorders>
              <w:bottom w:val="single" w:sz="4" w:space="0" w:color="auto"/>
              <w:right w:val="single" w:sz="4" w:space="0" w:color="auto"/>
            </w:tcBorders>
            <w:shd w:val="clear" w:color="auto" w:fill="FFFFFF"/>
            <w:noWrap/>
            <w:vAlign w:val="bottom"/>
            <w:hideMark/>
          </w:tcPr>
          <w:p w14:paraId="52B721EA" w14:textId="77777777" w:rsidR="002D7F73" w:rsidRPr="002D7F73" w:rsidRDefault="002D7F73" w:rsidP="002D7F73">
            <w:pPr>
              <w:jc w:val="both"/>
              <w:rPr>
                <w:rFonts w:cstheme="minorHAnsi"/>
                <w:sz w:val="24"/>
                <w:szCs w:val="24"/>
              </w:rPr>
            </w:pPr>
            <w:proofErr w:type="spellStart"/>
            <w:r w:rsidRPr="002D7F73">
              <w:rPr>
                <w:rFonts w:cstheme="minorHAnsi"/>
                <w:sz w:val="24"/>
                <w:szCs w:val="24"/>
              </w:rPr>
              <w:t>Miguél</w:t>
            </w:r>
            <w:proofErr w:type="spellEnd"/>
            <w:r w:rsidRPr="002D7F73">
              <w:rPr>
                <w:rFonts w:cstheme="minorHAnsi"/>
                <w:sz w:val="24"/>
                <w:szCs w:val="24"/>
              </w:rPr>
              <w:t xml:space="preserve"> Dávila Cortés</w:t>
            </w:r>
          </w:p>
        </w:tc>
        <w:tc>
          <w:tcPr>
            <w:tcW w:w="1760" w:type="dxa"/>
            <w:tcBorders>
              <w:bottom w:val="single" w:sz="4" w:space="0" w:color="auto"/>
              <w:right w:val="single" w:sz="4" w:space="0" w:color="auto"/>
            </w:tcBorders>
            <w:shd w:val="clear" w:color="auto" w:fill="FFFFFF"/>
            <w:noWrap/>
            <w:vAlign w:val="bottom"/>
            <w:hideMark/>
          </w:tcPr>
          <w:p w14:paraId="569CFDF3" w14:textId="77777777" w:rsidR="002D7F73" w:rsidRPr="002D7F73" w:rsidRDefault="002D7F73" w:rsidP="002D7F73">
            <w:pPr>
              <w:jc w:val="both"/>
              <w:rPr>
                <w:rFonts w:cstheme="minorHAnsi"/>
                <w:sz w:val="24"/>
                <w:szCs w:val="24"/>
              </w:rPr>
            </w:pPr>
            <w:r w:rsidRPr="002D7F73">
              <w:rPr>
                <w:rFonts w:cstheme="minorHAnsi"/>
                <w:sz w:val="24"/>
                <w:szCs w:val="24"/>
              </w:rPr>
              <w:t>hermano</w:t>
            </w:r>
          </w:p>
        </w:tc>
        <w:tc>
          <w:tcPr>
            <w:tcW w:w="2680" w:type="dxa"/>
            <w:tcBorders>
              <w:bottom w:val="single" w:sz="4" w:space="0" w:color="auto"/>
              <w:right w:val="single" w:sz="4" w:space="0" w:color="auto"/>
            </w:tcBorders>
            <w:shd w:val="clear" w:color="auto" w:fill="FFFFFF"/>
            <w:noWrap/>
            <w:vAlign w:val="center"/>
            <w:hideMark/>
          </w:tcPr>
          <w:p w14:paraId="5FC73B5A" w14:textId="77777777" w:rsidR="002D7F73" w:rsidRPr="002D7F73" w:rsidRDefault="002D7F73" w:rsidP="002D7F73">
            <w:pPr>
              <w:jc w:val="both"/>
              <w:rPr>
                <w:rFonts w:cstheme="minorHAnsi"/>
                <w:sz w:val="24"/>
                <w:szCs w:val="24"/>
              </w:rPr>
            </w:pPr>
            <w:r w:rsidRPr="002D7F73">
              <w:rPr>
                <w:rFonts w:cstheme="minorHAnsi"/>
                <w:sz w:val="24"/>
                <w:szCs w:val="24"/>
              </w:rPr>
              <w:t>5</w:t>
            </w:r>
          </w:p>
        </w:tc>
        <w:tc>
          <w:tcPr>
            <w:tcW w:w="2440" w:type="dxa"/>
            <w:tcBorders>
              <w:bottom w:val="single" w:sz="4" w:space="0" w:color="auto"/>
              <w:right w:val="single" w:sz="4" w:space="0" w:color="auto"/>
            </w:tcBorders>
            <w:shd w:val="clear" w:color="auto" w:fill="FFFFFF"/>
            <w:noWrap/>
            <w:vAlign w:val="center"/>
            <w:hideMark/>
          </w:tcPr>
          <w:p w14:paraId="793CD0FF" w14:textId="77777777" w:rsidR="002D7F73" w:rsidRPr="002D7F73" w:rsidRDefault="002D7F73" w:rsidP="002D7F73">
            <w:pPr>
              <w:jc w:val="both"/>
              <w:rPr>
                <w:rFonts w:cstheme="minorHAnsi"/>
                <w:sz w:val="24"/>
                <w:szCs w:val="24"/>
              </w:rPr>
            </w:pPr>
            <w:r w:rsidRPr="002D7F73">
              <w:rPr>
                <w:rFonts w:cstheme="minorHAnsi"/>
                <w:sz w:val="24"/>
                <w:szCs w:val="24"/>
              </w:rPr>
              <w:t>0</w:t>
            </w:r>
          </w:p>
        </w:tc>
      </w:tr>
      <w:tr w:rsidR="002D7F73" w:rsidRPr="002D7F73" w14:paraId="672644C9" w14:textId="77777777">
        <w:trPr>
          <w:trHeight w:val="225"/>
        </w:trPr>
        <w:tc>
          <w:tcPr>
            <w:tcW w:w="460" w:type="dxa"/>
            <w:tcBorders>
              <w:left w:val="single" w:sz="4" w:space="0" w:color="auto"/>
              <w:bottom w:val="single" w:sz="4" w:space="0" w:color="auto"/>
              <w:right w:val="single" w:sz="4" w:space="0" w:color="auto"/>
            </w:tcBorders>
            <w:shd w:val="clear" w:color="auto" w:fill="FFFFFF"/>
            <w:noWrap/>
            <w:vAlign w:val="bottom"/>
            <w:hideMark/>
          </w:tcPr>
          <w:p w14:paraId="5AAE13C9" w14:textId="77777777" w:rsidR="002D7F73" w:rsidRPr="002D7F73" w:rsidRDefault="002D7F73" w:rsidP="002D7F73">
            <w:pPr>
              <w:jc w:val="both"/>
              <w:rPr>
                <w:rFonts w:cstheme="minorHAnsi"/>
                <w:sz w:val="24"/>
                <w:szCs w:val="24"/>
              </w:rPr>
            </w:pPr>
            <w:r w:rsidRPr="002D7F73">
              <w:rPr>
                <w:rFonts w:cstheme="minorHAnsi"/>
                <w:sz w:val="24"/>
                <w:szCs w:val="24"/>
              </w:rPr>
              <w:t>15</w:t>
            </w:r>
          </w:p>
        </w:tc>
        <w:tc>
          <w:tcPr>
            <w:tcW w:w="2340" w:type="dxa"/>
            <w:tcBorders>
              <w:bottom w:val="single" w:sz="4" w:space="0" w:color="auto"/>
              <w:right w:val="single" w:sz="4" w:space="0" w:color="auto"/>
            </w:tcBorders>
            <w:shd w:val="clear" w:color="auto" w:fill="FFFFFF"/>
            <w:noWrap/>
            <w:vAlign w:val="bottom"/>
            <w:hideMark/>
          </w:tcPr>
          <w:p w14:paraId="6339EE2B" w14:textId="77777777" w:rsidR="002D7F73" w:rsidRPr="002D7F73" w:rsidRDefault="002D7F73" w:rsidP="002D7F73">
            <w:pPr>
              <w:jc w:val="both"/>
              <w:rPr>
                <w:rFonts w:cstheme="minorHAnsi"/>
                <w:sz w:val="24"/>
                <w:szCs w:val="24"/>
              </w:rPr>
            </w:pPr>
            <w:r w:rsidRPr="002D7F73">
              <w:rPr>
                <w:rFonts w:cstheme="minorHAnsi"/>
                <w:sz w:val="24"/>
                <w:szCs w:val="24"/>
              </w:rPr>
              <w:t>Zaid Dávila Cortés</w:t>
            </w:r>
          </w:p>
        </w:tc>
        <w:tc>
          <w:tcPr>
            <w:tcW w:w="1760" w:type="dxa"/>
            <w:tcBorders>
              <w:bottom w:val="single" w:sz="4" w:space="0" w:color="auto"/>
              <w:right w:val="single" w:sz="4" w:space="0" w:color="auto"/>
            </w:tcBorders>
            <w:shd w:val="clear" w:color="auto" w:fill="FFFFFF"/>
            <w:noWrap/>
            <w:vAlign w:val="bottom"/>
            <w:hideMark/>
          </w:tcPr>
          <w:p w14:paraId="4072D3E5" w14:textId="77777777" w:rsidR="002D7F73" w:rsidRPr="002D7F73" w:rsidRDefault="002D7F73" w:rsidP="002D7F73">
            <w:pPr>
              <w:jc w:val="both"/>
              <w:rPr>
                <w:rFonts w:cstheme="minorHAnsi"/>
                <w:sz w:val="24"/>
                <w:szCs w:val="24"/>
              </w:rPr>
            </w:pPr>
            <w:r w:rsidRPr="002D7F73">
              <w:rPr>
                <w:rFonts w:cstheme="minorHAnsi"/>
                <w:sz w:val="24"/>
                <w:szCs w:val="24"/>
              </w:rPr>
              <w:t>hermano</w:t>
            </w:r>
          </w:p>
        </w:tc>
        <w:tc>
          <w:tcPr>
            <w:tcW w:w="2680" w:type="dxa"/>
            <w:tcBorders>
              <w:bottom w:val="single" w:sz="4" w:space="0" w:color="auto"/>
              <w:right w:val="single" w:sz="4" w:space="0" w:color="auto"/>
            </w:tcBorders>
            <w:shd w:val="clear" w:color="auto" w:fill="FFFFFF"/>
            <w:noWrap/>
            <w:vAlign w:val="center"/>
            <w:hideMark/>
          </w:tcPr>
          <w:p w14:paraId="1037BDBA" w14:textId="77777777" w:rsidR="002D7F73" w:rsidRPr="002D7F73" w:rsidRDefault="002D7F73" w:rsidP="002D7F73">
            <w:pPr>
              <w:jc w:val="both"/>
              <w:rPr>
                <w:rFonts w:cstheme="minorHAnsi"/>
                <w:sz w:val="24"/>
                <w:szCs w:val="24"/>
              </w:rPr>
            </w:pPr>
            <w:r w:rsidRPr="002D7F73">
              <w:rPr>
                <w:rFonts w:cstheme="minorHAnsi"/>
                <w:sz w:val="24"/>
                <w:szCs w:val="24"/>
              </w:rPr>
              <w:t>5</w:t>
            </w:r>
          </w:p>
        </w:tc>
        <w:tc>
          <w:tcPr>
            <w:tcW w:w="2440" w:type="dxa"/>
            <w:tcBorders>
              <w:bottom w:val="single" w:sz="4" w:space="0" w:color="auto"/>
              <w:right w:val="single" w:sz="4" w:space="0" w:color="auto"/>
            </w:tcBorders>
            <w:shd w:val="clear" w:color="auto" w:fill="FFFFFF"/>
            <w:noWrap/>
            <w:vAlign w:val="center"/>
            <w:hideMark/>
          </w:tcPr>
          <w:p w14:paraId="457651A0" w14:textId="77777777" w:rsidR="002D7F73" w:rsidRPr="002D7F73" w:rsidRDefault="002D7F73" w:rsidP="002D7F73">
            <w:pPr>
              <w:jc w:val="both"/>
              <w:rPr>
                <w:rFonts w:cstheme="minorHAnsi"/>
                <w:sz w:val="24"/>
                <w:szCs w:val="24"/>
              </w:rPr>
            </w:pPr>
            <w:r w:rsidRPr="002D7F73">
              <w:rPr>
                <w:rFonts w:cstheme="minorHAnsi"/>
                <w:sz w:val="24"/>
                <w:szCs w:val="24"/>
              </w:rPr>
              <w:t>0</w:t>
            </w:r>
          </w:p>
        </w:tc>
      </w:tr>
      <w:tr w:rsidR="002D7F73" w:rsidRPr="002D7F73" w14:paraId="6CCD583E" w14:textId="77777777">
        <w:trPr>
          <w:trHeight w:val="225"/>
        </w:trPr>
        <w:tc>
          <w:tcPr>
            <w:tcW w:w="460" w:type="dxa"/>
            <w:tcBorders>
              <w:left w:val="single" w:sz="4" w:space="0" w:color="auto"/>
              <w:bottom w:val="single" w:sz="4" w:space="0" w:color="auto"/>
              <w:right w:val="single" w:sz="4" w:space="0" w:color="auto"/>
            </w:tcBorders>
            <w:shd w:val="clear" w:color="auto" w:fill="FFFFFF"/>
            <w:noWrap/>
            <w:vAlign w:val="bottom"/>
            <w:hideMark/>
          </w:tcPr>
          <w:p w14:paraId="4229AECF" w14:textId="77777777" w:rsidR="002D7F73" w:rsidRPr="002D7F73" w:rsidRDefault="002D7F73" w:rsidP="002D7F73">
            <w:pPr>
              <w:jc w:val="both"/>
              <w:rPr>
                <w:rFonts w:cstheme="minorHAnsi"/>
                <w:sz w:val="24"/>
                <w:szCs w:val="24"/>
              </w:rPr>
            </w:pPr>
            <w:r w:rsidRPr="002D7F73">
              <w:rPr>
                <w:rFonts w:cstheme="minorHAnsi"/>
                <w:sz w:val="24"/>
                <w:szCs w:val="24"/>
              </w:rPr>
              <w:t>16</w:t>
            </w:r>
          </w:p>
        </w:tc>
        <w:tc>
          <w:tcPr>
            <w:tcW w:w="2340" w:type="dxa"/>
            <w:tcBorders>
              <w:bottom w:val="single" w:sz="4" w:space="0" w:color="auto"/>
              <w:right w:val="single" w:sz="4" w:space="0" w:color="auto"/>
            </w:tcBorders>
            <w:shd w:val="clear" w:color="auto" w:fill="FFFFFF"/>
            <w:noWrap/>
            <w:vAlign w:val="bottom"/>
            <w:hideMark/>
          </w:tcPr>
          <w:p w14:paraId="5424023B" w14:textId="77777777" w:rsidR="002D7F73" w:rsidRPr="002D7F73" w:rsidRDefault="002D7F73" w:rsidP="002D7F73">
            <w:pPr>
              <w:jc w:val="both"/>
              <w:rPr>
                <w:rFonts w:cstheme="minorHAnsi"/>
                <w:sz w:val="24"/>
                <w:szCs w:val="24"/>
              </w:rPr>
            </w:pPr>
            <w:r w:rsidRPr="002D7F73">
              <w:rPr>
                <w:rFonts w:cstheme="minorHAnsi"/>
                <w:sz w:val="24"/>
                <w:szCs w:val="24"/>
              </w:rPr>
              <w:t>María Fernanda Dávila</w:t>
            </w:r>
          </w:p>
        </w:tc>
        <w:tc>
          <w:tcPr>
            <w:tcW w:w="1760" w:type="dxa"/>
            <w:tcBorders>
              <w:bottom w:val="single" w:sz="4" w:space="0" w:color="auto"/>
              <w:right w:val="single" w:sz="4" w:space="0" w:color="auto"/>
            </w:tcBorders>
            <w:shd w:val="clear" w:color="auto" w:fill="FFFFFF"/>
            <w:noWrap/>
            <w:vAlign w:val="bottom"/>
            <w:hideMark/>
          </w:tcPr>
          <w:p w14:paraId="047672C5" w14:textId="77777777" w:rsidR="002D7F73" w:rsidRPr="002D7F73" w:rsidRDefault="002D7F73" w:rsidP="002D7F73">
            <w:pPr>
              <w:jc w:val="both"/>
              <w:rPr>
                <w:rFonts w:cstheme="minorHAnsi"/>
                <w:sz w:val="24"/>
                <w:szCs w:val="24"/>
              </w:rPr>
            </w:pPr>
            <w:r w:rsidRPr="002D7F73">
              <w:rPr>
                <w:rFonts w:cstheme="minorHAnsi"/>
                <w:sz w:val="24"/>
                <w:szCs w:val="24"/>
              </w:rPr>
              <w:t>Hermana</w:t>
            </w:r>
          </w:p>
        </w:tc>
        <w:tc>
          <w:tcPr>
            <w:tcW w:w="2680" w:type="dxa"/>
            <w:tcBorders>
              <w:bottom w:val="single" w:sz="4" w:space="0" w:color="auto"/>
              <w:right w:val="single" w:sz="4" w:space="0" w:color="auto"/>
            </w:tcBorders>
            <w:shd w:val="clear" w:color="auto" w:fill="FFFFFF"/>
            <w:noWrap/>
            <w:vAlign w:val="center"/>
            <w:hideMark/>
          </w:tcPr>
          <w:p w14:paraId="4F1DA12B" w14:textId="77777777" w:rsidR="002D7F73" w:rsidRPr="002D7F73" w:rsidRDefault="002D7F73" w:rsidP="002D7F73">
            <w:pPr>
              <w:jc w:val="both"/>
              <w:rPr>
                <w:rFonts w:cstheme="minorHAnsi"/>
                <w:sz w:val="24"/>
                <w:szCs w:val="24"/>
              </w:rPr>
            </w:pPr>
            <w:r w:rsidRPr="002D7F73">
              <w:rPr>
                <w:rFonts w:cstheme="minorHAnsi"/>
                <w:sz w:val="24"/>
                <w:szCs w:val="24"/>
              </w:rPr>
              <w:t>5</w:t>
            </w:r>
          </w:p>
        </w:tc>
        <w:tc>
          <w:tcPr>
            <w:tcW w:w="2440" w:type="dxa"/>
            <w:tcBorders>
              <w:bottom w:val="single" w:sz="4" w:space="0" w:color="auto"/>
              <w:right w:val="single" w:sz="4" w:space="0" w:color="auto"/>
            </w:tcBorders>
            <w:shd w:val="clear" w:color="auto" w:fill="FFFFFF"/>
            <w:noWrap/>
            <w:vAlign w:val="center"/>
            <w:hideMark/>
          </w:tcPr>
          <w:p w14:paraId="3EBCD1E7" w14:textId="77777777" w:rsidR="002D7F73" w:rsidRPr="002D7F73" w:rsidRDefault="002D7F73" w:rsidP="002D7F73">
            <w:pPr>
              <w:jc w:val="both"/>
              <w:rPr>
                <w:rFonts w:cstheme="minorHAnsi"/>
                <w:sz w:val="24"/>
                <w:szCs w:val="24"/>
              </w:rPr>
            </w:pPr>
            <w:r w:rsidRPr="002D7F73">
              <w:rPr>
                <w:rFonts w:cstheme="minorHAnsi"/>
                <w:sz w:val="24"/>
                <w:szCs w:val="24"/>
              </w:rPr>
              <w:t>0</w:t>
            </w:r>
          </w:p>
        </w:tc>
      </w:tr>
      <w:tr w:rsidR="002D7F73" w:rsidRPr="002D7F73" w14:paraId="5C278A7F" w14:textId="77777777">
        <w:trPr>
          <w:trHeight w:val="450"/>
        </w:trPr>
        <w:tc>
          <w:tcPr>
            <w:tcW w:w="460" w:type="dxa"/>
            <w:tcBorders>
              <w:left w:val="single" w:sz="4" w:space="0" w:color="auto"/>
              <w:bottom w:val="single" w:sz="4" w:space="0" w:color="auto"/>
              <w:right w:val="single" w:sz="4" w:space="0" w:color="auto"/>
            </w:tcBorders>
            <w:shd w:val="clear" w:color="auto" w:fill="FFFFFF"/>
            <w:noWrap/>
            <w:vAlign w:val="bottom"/>
            <w:hideMark/>
          </w:tcPr>
          <w:p w14:paraId="1CBF2DC0" w14:textId="6DB018EF" w:rsidR="002D7F73" w:rsidRPr="002D7F73" w:rsidRDefault="002D7F73" w:rsidP="002D7F73">
            <w:pPr>
              <w:jc w:val="both"/>
              <w:rPr>
                <w:rFonts w:cstheme="minorHAnsi"/>
                <w:sz w:val="24"/>
                <w:szCs w:val="24"/>
              </w:rPr>
            </w:pPr>
          </w:p>
        </w:tc>
        <w:tc>
          <w:tcPr>
            <w:tcW w:w="2340" w:type="dxa"/>
            <w:tcBorders>
              <w:bottom w:val="single" w:sz="4" w:space="0" w:color="auto"/>
              <w:right w:val="single" w:sz="4" w:space="0" w:color="auto"/>
            </w:tcBorders>
            <w:shd w:val="clear" w:color="auto" w:fill="C0E6F5"/>
            <w:vAlign w:val="bottom"/>
            <w:hideMark/>
          </w:tcPr>
          <w:p w14:paraId="6D4ACF87" w14:textId="77777777" w:rsidR="002D7F73" w:rsidRPr="002D7F73" w:rsidRDefault="002D7F73" w:rsidP="002D7F73">
            <w:pPr>
              <w:jc w:val="both"/>
              <w:rPr>
                <w:rFonts w:cstheme="minorHAnsi"/>
                <w:sz w:val="24"/>
                <w:szCs w:val="24"/>
              </w:rPr>
            </w:pPr>
            <w:r w:rsidRPr="002D7F73">
              <w:rPr>
                <w:rFonts w:cstheme="minorHAnsi"/>
                <w:sz w:val="24"/>
                <w:szCs w:val="24"/>
              </w:rPr>
              <w:t>Cuarto Grupo (Lesión de Dayan Ospina)</w:t>
            </w:r>
          </w:p>
        </w:tc>
        <w:tc>
          <w:tcPr>
            <w:tcW w:w="6880" w:type="dxa"/>
            <w:gridSpan w:val="3"/>
            <w:tcBorders>
              <w:top w:val="single" w:sz="4" w:space="0" w:color="auto"/>
              <w:bottom w:val="single" w:sz="4" w:space="0" w:color="auto"/>
              <w:right w:val="single" w:sz="4" w:space="0" w:color="auto"/>
            </w:tcBorders>
            <w:shd w:val="clear" w:color="auto" w:fill="FFFFFF"/>
            <w:vAlign w:val="bottom"/>
            <w:hideMark/>
          </w:tcPr>
          <w:p w14:paraId="6A085165" w14:textId="17B97E77" w:rsidR="002D7F73" w:rsidRPr="002D7F73" w:rsidRDefault="002D7F73" w:rsidP="002D7F73">
            <w:pPr>
              <w:jc w:val="both"/>
              <w:rPr>
                <w:rFonts w:cstheme="minorHAnsi"/>
                <w:sz w:val="24"/>
                <w:szCs w:val="24"/>
              </w:rPr>
            </w:pPr>
          </w:p>
        </w:tc>
      </w:tr>
      <w:tr w:rsidR="002D7F73" w:rsidRPr="002D7F73" w14:paraId="74096AB0" w14:textId="77777777">
        <w:trPr>
          <w:trHeight w:val="225"/>
        </w:trPr>
        <w:tc>
          <w:tcPr>
            <w:tcW w:w="460" w:type="dxa"/>
            <w:tcBorders>
              <w:left w:val="single" w:sz="4" w:space="0" w:color="auto"/>
              <w:bottom w:val="single" w:sz="4" w:space="0" w:color="auto"/>
              <w:right w:val="single" w:sz="4" w:space="0" w:color="auto"/>
            </w:tcBorders>
            <w:shd w:val="clear" w:color="auto" w:fill="FFFFFF"/>
            <w:noWrap/>
            <w:vAlign w:val="bottom"/>
            <w:hideMark/>
          </w:tcPr>
          <w:p w14:paraId="73F91F2C" w14:textId="77777777" w:rsidR="002D7F73" w:rsidRPr="002D7F73" w:rsidRDefault="002D7F73" w:rsidP="002D7F73">
            <w:pPr>
              <w:jc w:val="both"/>
              <w:rPr>
                <w:rFonts w:cstheme="minorHAnsi"/>
                <w:sz w:val="24"/>
                <w:szCs w:val="24"/>
              </w:rPr>
            </w:pPr>
            <w:r w:rsidRPr="002D7F73">
              <w:rPr>
                <w:rFonts w:cstheme="minorHAnsi"/>
                <w:sz w:val="24"/>
                <w:szCs w:val="24"/>
              </w:rPr>
              <w:t>17</w:t>
            </w:r>
          </w:p>
        </w:tc>
        <w:tc>
          <w:tcPr>
            <w:tcW w:w="2340" w:type="dxa"/>
            <w:tcBorders>
              <w:bottom w:val="single" w:sz="4" w:space="0" w:color="auto"/>
              <w:right w:val="single" w:sz="4" w:space="0" w:color="auto"/>
            </w:tcBorders>
            <w:shd w:val="clear" w:color="auto" w:fill="FFFFFF"/>
            <w:noWrap/>
            <w:vAlign w:val="bottom"/>
            <w:hideMark/>
          </w:tcPr>
          <w:p w14:paraId="372DD08C" w14:textId="77777777" w:rsidR="002D7F73" w:rsidRPr="002D7F73" w:rsidRDefault="002D7F73" w:rsidP="002D7F73">
            <w:pPr>
              <w:jc w:val="both"/>
              <w:rPr>
                <w:rFonts w:cstheme="minorHAnsi"/>
                <w:sz w:val="24"/>
                <w:szCs w:val="24"/>
              </w:rPr>
            </w:pPr>
            <w:r w:rsidRPr="002D7F73">
              <w:rPr>
                <w:rFonts w:cstheme="minorHAnsi"/>
                <w:sz w:val="24"/>
                <w:szCs w:val="24"/>
              </w:rPr>
              <w:t>Diana Ospina Gutiérrez</w:t>
            </w:r>
          </w:p>
        </w:tc>
        <w:tc>
          <w:tcPr>
            <w:tcW w:w="1760" w:type="dxa"/>
            <w:tcBorders>
              <w:bottom w:val="single" w:sz="4" w:space="0" w:color="auto"/>
              <w:right w:val="single" w:sz="4" w:space="0" w:color="auto"/>
            </w:tcBorders>
            <w:shd w:val="clear" w:color="auto" w:fill="FFFFFF"/>
            <w:noWrap/>
            <w:vAlign w:val="bottom"/>
            <w:hideMark/>
          </w:tcPr>
          <w:p w14:paraId="73A6648C" w14:textId="77777777" w:rsidR="002D7F73" w:rsidRPr="002D7F73" w:rsidRDefault="002D7F73" w:rsidP="002D7F73">
            <w:pPr>
              <w:jc w:val="both"/>
              <w:rPr>
                <w:rFonts w:cstheme="minorHAnsi"/>
                <w:sz w:val="24"/>
                <w:szCs w:val="24"/>
              </w:rPr>
            </w:pPr>
            <w:r w:rsidRPr="002D7F73">
              <w:rPr>
                <w:rFonts w:cstheme="minorHAnsi"/>
                <w:sz w:val="24"/>
                <w:szCs w:val="24"/>
              </w:rPr>
              <w:t>Madre</w:t>
            </w:r>
          </w:p>
        </w:tc>
        <w:tc>
          <w:tcPr>
            <w:tcW w:w="2680" w:type="dxa"/>
            <w:tcBorders>
              <w:bottom w:val="single" w:sz="4" w:space="0" w:color="auto"/>
              <w:right w:val="single" w:sz="4" w:space="0" w:color="auto"/>
            </w:tcBorders>
            <w:shd w:val="clear" w:color="auto" w:fill="FFFFFF"/>
            <w:noWrap/>
            <w:vAlign w:val="center"/>
            <w:hideMark/>
          </w:tcPr>
          <w:p w14:paraId="516C38F5" w14:textId="77777777" w:rsidR="002D7F73" w:rsidRPr="002D7F73" w:rsidRDefault="002D7F73" w:rsidP="002D7F73">
            <w:pPr>
              <w:jc w:val="both"/>
              <w:rPr>
                <w:rFonts w:cstheme="minorHAnsi"/>
                <w:sz w:val="24"/>
                <w:szCs w:val="24"/>
              </w:rPr>
            </w:pPr>
            <w:r w:rsidRPr="002D7F73">
              <w:rPr>
                <w:rFonts w:cstheme="minorHAnsi"/>
                <w:sz w:val="24"/>
                <w:szCs w:val="24"/>
              </w:rPr>
              <w:t>10</w:t>
            </w:r>
          </w:p>
        </w:tc>
        <w:tc>
          <w:tcPr>
            <w:tcW w:w="2440" w:type="dxa"/>
            <w:tcBorders>
              <w:bottom w:val="single" w:sz="4" w:space="0" w:color="auto"/>
              <w:right w:val="single" w:sz="4" w:space="0" w:color="auto"/>
            </w:tcBorders>
            <w:shd w:val="clear" w:color="auto" w:fill="FFFFFF"/>
            <w:noWrap/>
            <w:vAlign w:val="center"/>
            <w:hideMark/>
          </w:tcPr>
          <w:p w14:paraId="3FD1F0A3" w14:textId="77777777" w:rsidR="002D7F73" w:rsidRPr="002D7F73" w:rsidRDefault="002D7F73" w:rsidP="002D7F73">
            <w:pPr>
              <w:jc w:val="both"/>
              <w:rPr>
                <w:rFonts w:cstheme="minorHAnsi"/>
                <w:sz w:val="24"/>
                <w:szCs w:val="24"/>
              </w:rPr>
            </w:pPr>
            <w:r w:rsidRPr="002D7F73">
              <w:rPr>
                <w:rFonts w:cstheme="minorHAnsi"/>
                <w:sz w:val="24"/>
                <w:szCs w:val="24"/>
              </w:rPr>
              <w:t>0</w:t>
            </w:r>
          </w:p>
        </w:tc>
      </w:tr>
      <w:tr w:rsidR="002D7F73" w:rsidRPr="002D7F73" w14:paraId="6602067F" w14:textId="77777777">
        <w:trPr>
          <w:trHeight w:val="225"/>
        </w:trPr>
        <w:tc>
          <w:tcPr>
            <w:tcW w:w="460" w:type="dxa"/>
            <w:tcBorders>
              <w:left w:val="single" w:sz="4" w:space="0" w:color="auto"/>
              <w:bottom w:val="single" w:sz="4" w:space="0" w:color="auto"/>
              <w:right w:val="single" w:sz="4" w:space="0" w:color="auto"/>
            </w:tcBorders>
            <w:shd w:val="clear" w:color="auto" w:fill="FFFFFF"/>
            <w:noWrap/>
            <w:vAlign w:val="bottom"/>
            <w:hideMark/>
          </w:tcPr>
          <w:p w14:paraId="284EDB19" w14:textId="77777777" w:rsidR="002D7F73" w:rsidRPr="002D7F73" w:rsidRDefault="002D7F73" w:rsidP="002D7F73">
            <w:pPr>
              <w:jc w:val="both"/>
              <w:rPr>
                <w:rFonts w:cstheme="minorHAnsi"/>
                <w:sz w:val="24"/>
                <w:szCs w:val="24"/>
              </w:rPr>
            </w:pPr>
            <w:r w:rsidRPr="002D7F73">
              <w:rPr>
                <w:rFonts w:cstheme="minorHAnsi"/>
                <w:sz w:val="24"/>
                <w:szCs w:val="24"/>
              </w:rPr>
              <w:t>18</w:t>
            </w:r>
          </w:p>
        </w:tc>
        <w:tc>
          <w:tcPr>
            <w:tcW w:w="2340" w:type="dxa"/>
            <w:tcBorders>
              <w:bottom w:val="single" w:sz="4" w:space="0" w:color="auto"/>
              <w:right w:val="single" w:sz="4" w:space="0" w:color="auto"/>
            </w:tcBorders>
            <w:shd w:val="clear" w:color="auto" w:fill="FFFFFF"/>
            <w:noWrap/>
            <w:vAlign w:val="bottom"/>
            <w:hideMark/>
          </w:tcPr>
          <w:p w14:paraId="74381CFB" w14:textId="77777777" w:rsidR="002D7F73" w:rsidRPr="002D7F73" w:rsidRDefault="002D7F73" w:rsidP="002D7F73">
            <w:pPr>
              <w:jc w:val="both"/>
              <w:rPr>
                <w:rFonts w:cstheme="minorHAnsi"/>
                <w:sz w:val="24"/>
                <w:szCs w:val="24"/>
              </w:rPr>
            </w:pPr>
            <w:r w:rsidRPr="002D7F73">
              <w:rPr>
                <w:rFonts w:cstheme="minorHAnsi"/>
                <w:sz w:val="24"/>
                <w:szCs w:val="24"/>
              </w:rPr>
              <w:t>Elsy Gutiérrez</w:t>
            </w:r>
          </w:p>
        </w:tc>
        <w:tc>
          <w:tcPr>
            <w:tcW w:w="1760" w:type="dxa"/>
            <w:tcBorders>
              <w:bottom w:val="single" w:sz="4" w:space="0" w:color="auto"/>
              <w:right w:val="single" w:sz="4" w:space="0" w:color="auto"/>
            </w:tcBorders>
            <w:shd w:val="clear" w:color="auto" w:fill="FFFFFF"/>
            <w:noWrap/>
            <w:vAlign w:val="bottom"/>
            <w:hideMark/>
          </w:tcPr>
          <w:p w14:paraId="27BCAD4A" w14:textId="77777777" w:rsidR="002D7F73" w:rsidRPr="002D7F73" w:rsidRDefault="002D7F73" w:rsidP="002D7F73">
            <w:pPr>
              <w:jc w:val="both"/>
              <w:rPr>
                <w:rFonts w:cstheme="minorHAnsi"/>
                <w:sz w:val="24"/>
                <w:szCs w:val="24"/>
              </w:rPr>
            </w:pPr>
            <w:r w:rsidRPr="002D7F73">
              <w:rPr>
                <w:rFonts w:cstheme="minorHAnsi"/>
                <w:sz w:val="24"/>
                <w:szCs w:val="24"/>
              </w:rPr>
              <w:t>Abuela</w:t>
            </w:r>
          </w:p>
        </w:tc>
        <w:tc>
          <w:tcPr>
            <w:tcW w:w="2680" w:type="dxa"/>
            <w:tcBorders>
              <w:bottom w:val="single" w:sz="4" w:space="0" w:color="auto"/>
              <w:right w:val="single" w:sz="4" w:space="0" w:color="auto"/>
            </w:tcBorders>
            <w:shd w:val="clear" w:color="auto" w:fill="FFFFFF"/>
            <w:noWrap/>
            <w:vAlign w:val="center"/>
            <w:hideMark/>
          </w:tcPr>
          <w:p w14:paraId="0C50BD23" w14:textId="77777777" w:rsidR="002D7F73" w:rsidRPr="002D7F73" w:rsidRDefault="002D7F73" w:rsidP="002D7F73">
            <w:pPr>
              <w:jc w:val="both"/>
              <w:rPr>
                <w:rFonts w:cstheme="minorHAnsi"/>
                <w:sz w:val="24"/>
                <w:szCs w:val="24"/>
              </w:rPr>
            </w:pPr>
            <w:r w:rsidRPr="002D7F73">
              <w:rPr>
                <w:rFonts w:cstheme="minorHAnsi"/>
                <w:sz w:val="24"/>
                <w:szCs w:val="24"/>
              </w:rPr>
              <w:t>5</w:t>
            </w:r>
          </w:p>
        </w:tc>
        <w:tc>
          <w:tcPr>
            <w:tcW w:w="2440" w:type="dxa"/>
            <w:tcBorders>
              <w:bottom w:val="single" w:sz="4" w:space="0" w:color="auto"/>
              <w:right w:val="single" w:sz="4" w:space="0" w:color="auto"/>
            </w:tcBorders>
            <w:shd w:val="clear" w:color="auto" w:fill="FFFFFF"/>
            <w:noWrap/>
            <w:vAlign w:val="center"/>
            <w:hideMark/>
          </w:tcPr>
          <w:p w14:paraId="1074A59C" w14:textId="77777777" w:rsidR="002D7F73" w:rsidRPr="002D7F73" w:rsidRDefault="002D7F73" w:rsidP="002D7F73">
            <w:pPr>
              <w:jc w:val="both"/>
              <w:rPr>
                <w:rFonts w:cstheme="minorHAnsi"/>
                <w:sz w:val="24"/>
                <w:szCs w:val="24"/>
              </w:rPr>
            </w:pPr>
            <w:r w:rsidRPr="002D7F73">
              <w:rPr>
                <w:rFonts w:cstheme="minorHAnsi"/>
                <w:sz w:val="24"/>
                <w:szCs w:val="24"/>
              </w:rPr>
              <w:t>0</w:t>
            </w:r>
          </w:p>
        </w:tc>
      </w:tr>
      <w:tr w:rsidR="002D7F73" w:rsidRPr="002D7F73" w14:paraId="65B43C03" w14:textId="77777777">
        <w:trPr>
          <w:trHeight w:val="225"/>
        </w:trPr>
        <w:tc>
          <w:tcPr>
            <w:tcW w:w="460" w:type="dxa"/>
            <w:tcBorders>
              <w:left w:val="single" w:sz="4" w:space="0" w:color="auto"/>
              <w:bottom w:val="single" w:sz="4" w:space="0" w:color="auto"/>
              <w:right w:val="single" w:sz="4" w:space="0" w:color="auto"/>
            </w:tcBorders>
            <w:shd w:val="clear" w:color="auto" w:fill="FFFFFF"/>
            <w:noWrap/>
            <w:vAlign w:val="bottom"/>
            <w:hideMark/>
          </w:tcPr>
          <w:p w14:paraId="76C01225" w14:textId="77777777" w:rsidR="002D7F73" w:rsidRPr="002D7F73" w:rsidRDefault="002D7F73" w:rsidP="002D7F73">
            <w:pPr>
              <w:jc w:val="both"/>
              <w:rPr>
                <w:rFonts w:cstheme="minorHAnsi"/>
                <w:sz w:val="24"/>
                <w:szCs w:val="24"/>
              </w:rPr>
            </w:pPr>
            <w:r w:rsidRPr="002D7F73">
              <w:rPr>
                <w:rFonts w:cstheme="minorHAnsi"/>
                <w:sz w:val="24"/>
                <w:szCs w:val="24"/>
              </w:rPr>
              <w:t>19</w:t>
            </w:r>
          </w:p>
        </w:tc>
        <w:tc>
          <w:tcPr>
            <w:tcW w:w="2340" w:type="dxa"/>
            <w:tcBorders>
              <w:bottom w:val="single" w:sz="4" w:space="0" w:color="auto"/>
              <w:right w:val="single" w:sz="4" w:space="0" w:color="auto"/>
            </w:tcBorders>
            <w:shd w:val="clear" w:color="auto" w:fill="FFFFFF"/>
            <w:noWrap/>
            <w:vAlign w:val="bottom"/>
            <w:hideMark/>
          </w:tcPr>
          <w:p w14:paraId="418517BE" w14:textId="77777777" w:rsidR="002D7F73" w:rsidRPr="002D7F73" w:rsidRDefault="002D7F73" w:rsidP="002D7F73">
            <w:pPr>
              <w:jc w:val="both"/>
              <w:rPr>
                <w:rFonts w:cstheme="minorHAnsi"/>
                <w:sz w:val="24"/>
                <w:szCs w:val="24"/>
              </w:rPr>
            </w:pPr>
            <w:r w:rsidRPr="002D7F73">
              <w:rPr>
                <w:rFonts w:cstheme="minorHAnsi"/>
                <w:sz w:val="24"/>
                <w:szCs w:val="24"/>
              </w:rPr>
              <w:t>Dayan Ospina Gutiérrez</w:t>
            </w:r>
          </w:p>
        </w:tc>
        <w:tc>
          <w:tcPr>
            <w:tcW w:w="1760" w:type="dxa"/>
            <w:tcBorders>
              <w:bottom w:val="single" w:sz="4" w:space="0" w:color="auto"/>
              <w:right w:val="single" w:sz="4" w:space="0" w:color="auto"/>
            </w:tcBorders>
            <w:shd w:val="clear" w:color="auto" w:fill="FFFFFF"/>
            <w:noWrap/>
            <w:vAlign w:val="bottom"/>
            <w:hideMark/>
          </w:tcPr>
          <w:p w14:paraId="29ECA912" w14:textId="77777777" w:rsidR="002D7F73" w:rsidRPr="002D7F73" w:rsidRDefault="002D7F73" w:rsidP="002D7F73">
            <w:pPr>
              <w:jc w:val="both"/>
              <w:rPr>
                <w:rFonts w:cstheme="minorHAnsi"/>
                <w:sz w:val="24"/>
                <w:szCs w:val="24"/>
              </w:rPr>
            </w:pPr>
            <w:r w:rsidRPr="002D7F73">
              <w:rPr>
                <w:rFonts w:cstheme="minorHAnsi"/>
                <w:sz w:val="24"/>
                <w:szCs w:val="24"/>
              </w:rPr>
              <w:t>víctima</w:t>
            </w:r>
          </w:p>
        </w:tc>
        <w:tc>
          <w:tcPr>
            <w:tcW w:w="2680" w:type="dxa"/>
            <w:tcBorders>
              <w:bottom w:val="single" w:sz="4" w:space="0" w:color="auto"/>
              <w:right w:val="single" w:sz="4" w:space="0" w:color="auto"/>
            </w:tcBorders>
            <w:shd w:val="clear" w:color="auto" w:fill="FFFFFF"/>
            <w:noWrap/>
            <w:vAlign w:val="center"/>
            <w:hideMark/>
          </w:tcPr>
          <w:p w14:paraId="771ED13B" w14:textId="77777777" w:rsidR="002D7F73" w:rsidRPr="002D7F73" w:rsidRDefault="002D7F73" w:rsidP="002D7F73">
            <w:pPr>
              <w:jc w:val="both"/>
              <w:rPr>
                <w:rFonts w:cstheme="minorHAnsi"/>
                <w:sz w:val="24"/>
                <w:szCs w:val="24"/>
              </w:rPr>
            </w:pPr>
            <w:r w:rsidRPr="002D7F73">
              <w:rPr>
                <w:rFonts w:cstheme="minorHAnsi"/>
                <w:sz w:val="24"/>
                <w:szCs w:val="24"/>
              </w:rPr>
              <w:t>10</w:t>
            </w:r>
          </w:p>
        </w:tc>
        <w:tc>
          <w:tcPr>
            <w:tcW w:w="2440" w:type="dxa"/>
            <w:tcBorders>
              <w:bottom w:val="single" w:sz="4" w:space="0" w:color="auto"/>
              <w:right w:val="single" w:sz="4" w:space="0" w:color="auto"/>
            </w:tcBorders>
            <w:shd w:val="clear" w:color="auto" w:fill="FFFFFF"/>
            <w:noWrap/>
            <w:vAlign w:val="center"/>
            <w:hideMark/>
          </w:tcPr>
          <w:p w14:paraId="744DBF63" w14:textId="77777777" w:rsidR="002D7F73" w:rsidRPr="002D7F73" w:rsidRDefault="002D7F73" w:rsidP="002D7F73">
            <w:pPr>
              <w:jc w:val="both"/>
              <w:rPr>
                <w:rFonts w:cstheme="minorHAnsi"/>
                <w:sz w:val="24"/>
                <w:szCs w:val="24"/>
              </w:rPr>
            </w:pPr>
            <w:r w:rsidRPr="002D7F73">
              <w:rPr>
                <w:rFonts w:cstheme="minorHAnsi"/>
                <w:sz w:val="24"/>
                <w:szCs w:val="24"/>
              </w:rPr>
              <w:t>10</w:t>
            </w:r>
          </w:p>
        </w:tc>
      </w:tr>
      <w:tr w:rsidR="002D7F73" w:rsidRPr="002D7F73" w14:paraId="6D839007" w14:textId="77777777">
        <w:trPr>
          <w:trHeight w:val="450"/>
        </w:trPr>
        <w:tc>
          <w:tcPr>
            <w:tcW w:w="460" w:type="dxa"/>
            <w:tcBorders>
              <w:left w:val="single" w:sz="4" w:space="0" w:color="auto"/>
              <w:bottom w:val="single" w:sz="4" w:space="0" w:color="auto"/>
              <w:right w:val="single" w:sz="4" w:space="0" w:color="auto"/>
            </w:tcBorders>
            <w:shd w:val="clear" w:color="auto" w:fill="FFFFFF"/>
            <w:noWrap/>
            <w:vAlign w:val="bottom"/>
            <w:hideMark/>
          </w:tcPr>
          <w:p w14:paraId="4E6F3374" w14:textId="4235559A" w:rsidR="002D7F73" w:rsidRPr="002D7F73" w:rsidRDefault="002D7F73" w:rsidP="002D7F73">
            <w:pPr>
              <w:jc w:val="both"/>
              <w:rPr>
                <w:rFonts w:cstheme="minorHAnsi"/>
                <w:sz w:val="24"/>
                <w:szCs w:val="24"/>
              </w:rPr>
            </w:pPr>
          </w:p>
        </w:tc>
        <w:tc>
          <w:tcPr>
            <w:tcW w:w="2340" w:type="dxa"/>
            <w:tcBorders>
              <w:bottom w:val="single" w:sz="4" w:space="0" w:color="auto"/>
              <w:right w:val="single" w:sz="4" w:space="0" w:color="auto"/>
            </w:tcBorders>
            <w:shd w:val="clear" w:color="auto" w:fill="E49EDD"/>
            <w:vAlign w:val="bottom"/>
            <w:hideMark/>
          </w:tcPr>
          <w:p w14:paraId="1B15C65B" w14:textId="77777777" w:rsidR="002D7F73" w:rsidRPr="002D7F73" w:rsidRDefault="002D7F73" w:rsidP="002D7F73">
            <w:pPr>
              <w:jc w:val="both"/>
              <w:rPr>
                <w:rFonts w:cstheme="minorHAnsi"/>
                <w:sz w:val="24"/>
                <w:szCs w:val="24"/>
              </w:rPr>
            </w:pPr>
            <w:r w:rsidRPr="002D7F73">
              <w:rPr>
                <w:rFonts w:cstheme="minorHAnsi"/>
                <w:sz w:val="24"/>
                <w:szCs w:val="24"/>
              </w:rPr>
              <w:t xml:space="preserve">Quinto grupo (lesión de </w:t>
            </w:r>
            <w:proofErr w:type="spellStart"/>
            <w:r w:rsidRPr="002D7F73">
              <w:rPr>
                <w:rFonts w:cstheme="minorHAnsi"/>
                <w:sz w:val="24"/>
                <w:szCs w:val="24"/>
              </w:rPr>
              <w:t>Fadua</w:t>
            </w:r>
            <w:proofErr w:type="spellEnd"/>
            <w:r w:rsidRPr="002D7F73">
              <w:rPr>
                <w:rFonts w:cstheme="minorHAnsi"/>
                <w:sz w:val="24"/>
                <w:szCs w:val="24"/>
              </w:rPr>
              <w:t xml:space="preserve"> Gutiérrez)</w:t>
            </w:r>
          </w:p>
        </w:tc>
        <w:tc>
          <w:tcPr>
            <w:tcW w:w="6880" w:type="dxa"/>
            <w:gridSpan w:val="3"/>
            <w:tcBorders>
              <w:top w:val="single" w:sz="4" w:space="0" w:color="auto"/>
              <w:bottom w:val="single" w:sz="4" w:space="0" w:color="auto"/>
              <w:right w:val="single" w:sz="4" w:space="0" w:color="auto"/>
            </w:tcBorders>
            <w:shd w:val="clear" w:color="auto" w:fill="FFFFFF"/>
            <w:noWrap/>
            <w:vAlign w:val="bottom"/>
            <w:hideMark/>
          </w:tcPr>
          <w:p w14:paraId="2D67430A" w14:textId="1321BB88" w:rsidR="002D7F73" w:rsidRPr="002D7F73" w:rsidRDefault="002D7F73" w:rsidP="002D7F73">
            <w:pPr>
              <w:jc w:val="both"/>
              <w:rPr>
                <w:rFonts w:cstheme="minorHAnsi"/>
                <w:sz w:val="24"/>
                <w:szCs w:val="24"/>
              </w:rPr>
            </w:pPr>
          </w:p>
        </w:tc>
      </w:tr>
      <w:tr w:rsidR="002D7F73" w:rsidRPr="002D7F73" w14:paraId="53C2B8C1" w14:textId="77777777">
        <w:trPr>
          <w:trHeight w:val="225"/>
        </w:trPr>
        <w:tc>
          <w:tcPr>
            <w:tcW w:w="460" w:type="dxa"/>
            <w:tcBorders>
              <w:left w:val="single" w:sz="4" w:space="0" w:color="auto"/>
              <w:bottom w:val="single" w:sz="4" w:space="0" w:color="auto"/>
              <w:right w:val="single" w:sz="4" w:space="0" w:color="auto"/>
            </w:tcBorders>
            <w:shd w:val="clear" w:color="auto" w:fill="FFFFFF"/>
            <w:noWrap/>
            <w:vAlign w:val="bottom"/>
            <w:hideMark/>
          </w:tcPr>
          <w:p w14:paraId="6B393BA0" w14:textId="77777777" w:rsidR="002D7F73" w:rsidRPr="002D7F73" w:rsidRDefault="002D7F73" w:rsidP="002D7F73">
            <w:pPr>
              <w:jc w:val="both"/>
              <w:rPr>
                <w:rFonts w:cstheme="minorHAnsi"/>
                <w:sz w:val="24"/>
                <w:szCs w:val="24"/>
              </w:rPr>
            </w:pPr>
            <w:r w:rsidRPr="002D7F73">
              <w:rPr>
                <w:rFonts w:cstheme="minorHAnsi"/>
                <w:sz w:val="24"/>
                <w:szCs w:val="24"/>
              </w:rPr>
              <w:t>20</w:t>
            </w:r>
          </w:p>
        </w:tc>
        <w:tc>
          <w:tcPr>
            <w:tcW w:w="2340" w:type="dxa"/>
            <w:tcBorders>
              <w:bottom w:val="single" w:sz="4" w:space="0" w:color="auto"/>
              <w:right w:val="single" w:sz="4" w:space="0" w:color="auto"/>
            </w:tcBorders>
            <w:shd w:val="clear" w:color="auto" w:fill="FFFFFF"/>
            <w:noWrap/>
            <w:vAlign w:val="bottom"/>
            <w:hideMark/>
          </w:tcPr>
          <w:p w14:paraId="0DB1564D" w14:textId="102407EE" w:rsidR="002D7F73" w:rsidRPr="002D7F73" w:rsidRDefault="002D7F73" w:rsidP="002D7F73">
            <w:pPr>
              <w:jc w:val="both"/>
              <w:rPr>
                <w:rFonts w:cstheme="minorHAnsi"/>
                <w:sz w:val="24"/>
                <w:szCs w:val="24"/>
              </w:rPr>
            </w:pPr>
            <w:r w:rsidRPr="002D7F73">
              <w:rPr>
                <w:rFonts w:cstheme="minorHAnsi"/>
                <w:sz w:val="24"/>
                <w:szCs w:val="24"/>
              </w:rPr>
              <w:t>Paola Cortés</w:t>
            </w:r>
          </w:p>
        </w:tc>
        <w:tc>
          <w:tcPr>
            <w:tcW w:w="1760" w:type="dxa"/>
            <w:tcBorders>
              <w:bottom w:val="single" w:sz="4" w:space="0" w:color="auto"/>
              <w:right w:val="single" w:sz="4" w:space="0" w:color="auto"/>
            </w:tcBorders>
            <w:shd w:val="clear" w:color="auto" w:fill="FFFFFF"/>
            <w:noWrap/>
            <w:vAlign w:val="bottom"/>
            <w:hideMark/>
          </w:tcPr>
          <w:p w14:paraId="67486E1C" w14:textId="77777777" w:rsidR="002D7F73" w:rsidRPr="002D7F73" w:rsidRDefault="002D7F73" w:rsidP="002D7F73">
            <w:pPr>
              <w:jc w:val="both"/>
              <w:rPr>
                <w:rFonts w:cstheme="minorHAnsi"/>
                <w:sz w:val="24"/>
                <w:szCs w:val="24"/>
              </w:rPr>
            </w:pPr>
            <w:r w:rsidRPr="002D7F73">
              <w:rPr>
                <w:rFonts w:cstheme="minorHAnsi"/>
                <w:sz w:val="24"/>
                <w:szCs w:val="24"/>
              </w:rPr>
              <w:t>madre</w:t>
            </w:r>
          </w:p>
        </w:tc>
        <w:tc>
          <w:tcPr>
            <w:tcW w:w="2680" w:type="dxa"/>
            <w:tcBorders>
              <w:bottom w:val="single" w:sz="4" w:space="0" w:color="auto"/>
              <w:right w:val="single" w:sz="4" w:space="0" w:color="auto"/>
            </w:tcBorders>
            <w:shd w:val="clear" w:color="auto" w:fill="FFFFFF"/>
            <w:noWrap/>
            <w:vAlign w:val="center"/>
            <w:hideMark/>
          </w:tcPr>
          <w:p w14:paraId="60B51378" w14:textId="77777777" w:rsidR="002D7F73" w:rsidRPr="002D7F73" w:rsidRDefault="002D7F73" w:rsidP="002D7F73">
            <w:pPr>
              <w:jc w:val="both"/>
              <w:rPr>
                <w:rFonts w:cstheme="minorHAnsi"/>
                <w:sz w:val="24"/>
                <w:szCs w:val="24"/>
              </w:rPr>
            </w:pPr>
            <w:r w:rsidRPr="002D7F73">
              <w:rPr>
                <w:rFonts w:cstheme="minorHAnsi"/>
                <w:sz w:val="24"/>
                <w:szCs w:val="24"/>
              </w:rPr>
              <w:t>10</w:t>
            </w:r>
          </w:p>
        </w:tc>
        <w:tc>
          <w:tcPr>
            <w:tcW w:w="2440" w:type="dxa"/>
            <w:tcBorders>
              <w:bottom w:val="single" w:sz="4" w:space="0" w:color="auto"/>
              <w:right w:val="single" w:sz="4" w:space="0" w:color="auto"/>
            </w:tcBorders>
            <w:shd w:val="clear" w:color="auto" w:fill="FFFFFF"/>
            <w:noWrap/>
            <w:vAlign w:val="center"/>
            <w:hideMark/>
          </w:tcPr>
          <w:p w14:paraId="1DB8C0A2" w14:textId="77777777" w:rsidR="002D7F73" w:rsidRPr="002D7F73" w:rsidRDefault="002D7F73" w:rsidP="002D7F73">
            <w:pPr>
              <w:jc w:val="both"/>
              <w:rPr>
                <w:rFonts w:cstheme="minorHAnsi"/>
                <w:sz w:val="24"/>
                <w:szCs w:val="24"/>
              </w:rPr>
            </w:pPr>
            <w:r w:rsidRPr="002D7F73">
              <w:rPr>
                <w:rFonts w:cstheme="minorHAnsi"/>
                <w:sz w:val="24"/>
                <w:szCs w:val="24"/>
              </w:rPr>
              <w:t>0</w:t>
            </w:r>
          </w:p>
        </w:tc>
      </w:tr>
      <w:tr w:rsidR="002D7F73" w:rsidRPr="002D7F73" w14:paraId="24722119" w14:textId="77777777">
        <w:trPr>
          <w:trHeight w:val="225"/>
        </w:trPr>
        <w:tc>
          <w:tcPr>
            <w:tcW w:w="460" w:type="dxa"/>
            <w:tcBorders>
              <w:left w:val="single" w:sz="4" w:space="0" w:color="auto"/>
              <w:bottom w:val="single" w:sz="4" w:space="0" w:color="auto"/>
              <w:right w:val="single" w:sz="4" w:space="0" w:color="auto"/>
            </w:tcBorders>
            <w:shd w:val="clear" w:color="auto" w:fill="FFFFFF"/>
            <w:noWrap/>
            <w:vAlign w:val="bottom"/>
            <w:hideMark/>
          </w:tcPr>
          <w:p w14:paraId="70369CE7" w14:textId="77777777" w:rsidR="002D7F73" w:rsidRPr="002D7F73" w:rsidRDefault="002D7F73" w:rsidP="002D7F73">
            <w:pPr>
              <w:jc w:val="both"/>
              <w:rPr>
                <w:rFonts w:cstheme="minorHAnsi"/>
                <w:sz w:val="24"/>
                <w:szCs w:val="24"/>
              </w:rPr>
            </w:pPr>
            <w:r w:rsidRPr="002D7F73">
              <w:rPr>
                <w:rFonts w:cstheme="minorHAnsi"/>
                <w:sz w:val="24"/>
                <w:szCs w:val="24"/>
              </w:rPr>
              <w:t>21</w:t>
            </w:r>
          </w:p>
        </w:tc>
        <w:tc>
          <w:tcPr>
            <w:tcW w:w="2340" w:type="dxa"/>
            <w:tcBorders>
              <w:bottom w:val="single" w:sz="4" w:space="0" w:color="auto"/>
              <w:right w:val="single" w:sz="4" w:space="0" w:color="auto"/>
            </w:tcBorders>
            <w:shd w:val="clear" w:color="auto" w:fill="FFFFFF"/>
            <w:noWrap/>
            <w:vAlign w:val="bottom"/>
            <w:hideMark/>
          </w:tcPr>
          <w:p w14:paraId="7A2E2D1F" w14:textId="77777777" w:rsidR="002D7F73" w:rsidRPr="002D7F73" w:rsidRDefault="002D7F73" w:rsidP="002D7F73">
            <w:pPr>
              <w:jc w:val="both"/>
              <w:rPr>
                <w:rFonts w:cstheme="minorHAnsi"/>
                <w:sz w:val="24"/>
                <w:szCs w:val="24"/>
              </w:rPr>
            </w:pPr>
            <w:proofErr w:type="spellStart"/>
            <w:r w:rsidRPr="002D7F73">
              <w:rPr>
                <w:rFonts w:cstheme="minorHAnsi"/>
                <w:sz w:val="24"/>
                <w:szCs w:val="24"/>
              </w:rPr>
              <w:t>Fadua</w:t>
            </w:r>
            <w:proofErr w:type="spellEnd"/>
            <w:r w:rsidRPr="002D7F73">
              <w:rPr>
                <w:rFonts w:cstheme="minorHAnsi"/>
                <w:sz w:val="24"/>
                <w:szCs w:val="24"/>
              </w:rPr>
              <w:t xml:space="preserve"> </w:t>
            </w:r>
            <w:proofErr w:type="spellStart"/>
            <w:r w:rsidRPr="002D7F73">
              <w:rPr>
                <w:rFonts w:cstheme="minorHAnsi"/>
                <w:sz w:val="24"/>
                <w:szCs w:val="24"/>
              </w:rPr>
              <w:t>Gutierrez</w:t>
            </w:r>
            <w:proofErr w:type="spellEnd"/>
          </w:p>
        </w:tc>
        <w:tc>
          <w:tcPr>
            <w:tcW w:w="1760" w:type="dxa"/>
            <w:tcBorders>
              <w:bottom w:val="single" w:sz="4" w:space="0" w:color="auto"/>
              <w:right w:val="single" w:sz="4" w:space="0" w:color="auto"/>
            </w:tcBorders>
            <w:shd w:val="clear" w:color="auto" w:fill="FFFFFF"/>
            <w:noWrap/>
            <w:vAlign w:val="bottom"/>
            <w:hideMark/>
          </w:tcPr>
          <w:p w14:paraId="5885EAFB" w14:textId="77777777" w:rsidR="002D7F73" w:rsidRPr="002D7F73" w:rsidRDefault="002D7F73" w:rsidP="002D7F73">
            <w:pPr>
              <w:jc w:val="both"/>
              <w:rPr>
                <w:rFonts w:cstheme="minorHAnsi"/>
                <w:sz w:val="24"/>
                <w:szCs w:val="24"/>
              </w:rPr>
            </w:pPr>
            <w:r w:rsidRPr="002D7F73">
              <w:rPr>
                <w:rFonts w:cstheme="minorHAnsi"/>
                <w:sz w:val="24"/>
                <w:szCs w:val="24"/>
              </w:rPr>
              <w:t>víctima</w:t>
            </w:r>
          </w:p>
        </w:tc>
        <w:tc>
          <w:tcPr>
            <w:tcW w:w="2680" w:type="dxa"/>
            <w:tcBorders>
              <w:bottom w:val="single" w:sz="4" w:space="0" w:color="auto"/>
              <w:right w:val="single" w:sz="4" w:space="0" w:color="auto"/>
            </w:tcBorders>
            <w:shd w:val="clear" w:color="auto" w:fill="FFFFFF"/>
            <w:noWrap/>
            <w:vAlign w:val="center"/>
            <w:hideMark/>
          </w:tcPr>
          <w:p w14:paraId="24948E9B" w14:textId="77777777" w:rsidR="002D7F73" w:rsidRPr="002D7F73" w:rsidRDefault="002D7F73" w:rsidP="002D7F73">
            <w:pPr>
              <w:jc w:val="both"/>
              <w:rPr>
                <w:rFonts w:cstheme="minorHAnsi"/>
                <w:sz w:val="24"/>
                <w:szCs w:val="24"/>
              </w:rPr>
            </w:pPr>
            <w:r w:rsidRPr="002D7F73">
              <w:rPr>
                <w:rFonts w:cstheme="minorHAnsi"/>
                <w:sz w:val="24"/>
                <w:szCs w:val="24"/>
              </w:rPr>
              <w:t>10</w:t>
            </w:r>
          </w:p>
        </w:tc>
        <w:tc>
          <w:tcPr>
            <w:tcW w:w="2440" w:type="dxa"/>
            <w:tcBorders>
              <w:bottom w:val="single" w:sz="4" w:space="0" w:color="auto"/>
              <w:right w:val="single" w:sz="4" w:space="0" w:color="auto"/>
            </w:tcBorders>
            <w:shd w:val="clear" w:color="auto" w:fill="FFFFFF"/>
            <w:noWrap/>
            <w:vAlign w:val="center"/>
            <w:hideMark/>
          </w:tcPr>
          <w:p w14:paraId="722F879A" w14:textId="77777777" w:rsidR="002D7F73" w:rsidRPr="002D7F73" w:rsidRDefault="002D7F73" w:rsidP="002D7F73">
            <w:pPr>
              <w:jc w:val="both"/>
              <w:rPr>
                <w:rFonts w:cstheme="minorHAnsi"/>
                <w:sz w:val="24"/>
                <w:szCs w:val="24"/>
              </w:rPr>
            </w:pPr>
            <w:r w:rsidRPr="002D7F73">
              <w:rPr>
                <w:rFonts w:cstheme="minorHAnsi"/>
                <w:sz w:val="24"/>
                <w:szCs w:val="24"/>
              </w:rPr>
              <w:t>10</w:t>
            </w:r>
          </w:p>
        </w:tc>
      </w:tr>
      <w:tr w:rsidR="002D7F73" w:rsidRPr="002D7F73" w14:paraId="338C799F" w14:textId="77777777">
        <w:trPr>
          <w:trHeight w:val="225"/>
        </w:trPr>
        <w:tc>
          <w:tcPr>
            <w:tcW w:w="460" w:type="dxa"/>
            <w:tcBorders>
              <w:left w:val="single" w:sz="4" w:space="0" w:color="auto"/>
              <w:bottom w:val="single" w:sz="4" w:space="0" w:color="auto"/>
              <w:right w:val="single" w:sz="4" w:space="0" w:color="auto"/>
            </w:tcBorders>
            <w:shd w:val="clear" w:color="auto" w:fill="FFFFFF"/>
            <w:noWrap/>
            <w:vAlign w:val="bottom"/>
            <w:hideMark/>
          </w:tcPr>
          <w:p w14:paraId="496C8330" w14:textId="77777777" w:rsidR="002D7F73" w:rsidRPr="002D7F73" w:rsidRDefault="002D7F73" w:rsidP="002D7F73">
            <w:pPr>
              <w:jc w:val="both"/>
              <w:rPr>
                <w:rFonts w:cstheme="minorHAnsi"/>
                <w:sz w:val="24"/>
                <w:szCs w:val="24"/>
              </w:rPr>
            </w:pPr>
            <w:r w:rsidRPr="002D7F73">
              <w:rPr>
                <w:rFonts w:cstheme="minorHAnsi"/>
                <w:sz w:val="24"/>
                <w:szCs w:val="24"/>
              </w:rPr>
              <w:t>22</w:t>
            </w:r>
          </w:p>
        </w:tc>
        <w:tc>
          <w:tcPr>
            <w:tcW w:w="2340" w:type="dxa"/>
            <w:tcBorders>
              <w:bottom w:val="single" w:sz="4" w:space="0" w:color="auto"/>
              <w:right w:val="single" w:sz="4" w:space="0" w:color="auto"/>
            </w:tcBorders>
            <w:shd w:val="clear" w:color="auto" w:fill="FFFFFF"/>
            <w:noWrap/>
            <w:vAlign w:val="bottom"/>
            <w:hideMark/>
          </w:tcPr>
          <w:p w14:paraId="62F1B0BC" w14:textId="77777777" w:rsidR="002D7F73" w:rsidRPr="002D7F73" w:rsidRDefault="002D7F73" w:rsidP="002D7F73">
            <w:pPr>
              <w:jc w:val="both"/>
              <w:rPr>
                <w:rFonts w:cstheme="minorHAnsi"/>
                <w:sz w:val="24"/>
                <w:szCs w:val="24"/>
              </w:rPr>
            </w:pPr>
            <w:r w:rsidRPr="002D7F73">
              <w:rPr>
                <w:rFonts w:cstheme="minorHAnsi"/>
                <w:sz w:val="24"/>
                <w:szCs w:val="24"/>
              </w:rPr>
              <w:t>Andrés Felipe Cortés</w:t>
            </w:r>
          </w:p>
        </w:tc>
        <w:tc>
          <w:tcPr>
            <w:tcW w:w="1760" w:type="dxa"/>
            <w:tcBorders>
              <w:bottom w:val="single" w:sz="4" w:space="0" w:color="auto"/>
              <w:right w:val="single" w:sz="4" w:space="0" w:color="auto"/>
            </w:tcBorders>
            <w:shd w:val="clear" w:color="auto" w:fill="FFFFFF"/>
            <w:noWrap/>
            <w:vAlign w:val="bottom"/>
            <w:hideMark/>
          </w:tcPr>
          <w:p w14:paraId="6D161681" w14:textId="77777777" w:rsidR="002D7F73" w:rsidRPr="002D7F73" w:rsidRDefault="002D7F73" w:rsidP="002D7F73">
            <w:pPr>
              <w:jc w:val="both"/>
              <w:rPr>
                <w:rFonts w:cstheme="minorHAnsi"/>
                <w:sz w:val="24"/>
                <w:szCs w:val="24"/>
              </w:rPr>
            </w:pPr>
            <w:r w:rsidRPr="002D7F73">
              <w:rPr>
                <w:rFonts w:cstheme="minorHAnsi"/>
                <w:sz w:val="24"/>
                <w:szCs w:val="24"/>
              </w:rPr>
              <w:t>hermano</w:t>
            </w:r>
          </w:p>
        </w:tc>
        <w:tc>
          <w:tcPr>
            <w:tcW w:w="2680" w:type="dxa"/>
            <w:tcBorders>
              <w:bottom w:val="single" w:sz="4" w:space="0" w:color="auto"/>
              <w:right w:val="single" w:sz="4" w:space="0" w:color="auto"/>
            </w:tcBorders>
            <w:shd w:val="clear" w:color="auto" w:fill="FFFFFF"/>
            <w:noWrap/>
            <w:vAlign w:val="center"/>
            <w:hideMark/>
          </w:tcPr>
          <w:p w14:paraId="036A3686" w14:textId="77777777" w:rsidR="002D7F73" w:rsidRPr="002D7F73" w:rsidRDefault="002D7F73" w:rsidP="002D7F73">
            <w:pPr>
              <w:jc w:val="both"/>
              <w:rPr>
                <w:rFonts w:cstheme="minorHAnsi"/>
                <w:sz w:val="24"/>
                <w:szCs w:val="24"/>
              </w:rPr>
            </w:pPr>
            <w:r w:rsidRPr="002D7F73">
              <w:rPr>
                <w:rFonts w:cstheme="minorHAnsi"/>
                <w:sz w:val="24"/>
                <w:szCs w:val="24"/>
              </w:rPr>
              <w:t>5</w:t>
            </w:r>
          </w:p>
        </w:tc>
        <w:tc>
          <w:tcPr>
            <w:tcW w:w="2440" w:type="dxa"/>
            <w:tcBorders>
              <w:bottom w:val="single" w:sz="4" w:space="0" w:color="auto"/>
              <w:right w:val="single" w:sz="4" w:space="0" w:color="auto"/>
            </w:tcBorders>
            <w:shd w:val="clear" w:color="auto" w:fill="FFFFFF"/>
            <w:noWrap/>
            <w:vAlign w:val="center"/>
            <w:hideMark/>
          </w:tcPr>
          <w:p w14:paraId="1CBA5646" w14:textId="77777777" w:rsidR="002D7F73" w:rsidRPr="002D7F73" w:rsidRDefault="002D7F73" w:rsidP="002D7F73">
            <w:pPr>
              <w:jc w:val="both"/>
              <w:rPr>
                <w:rFonts w:cstheme="minorHAnsi"/>
                <w:sz w:val="24"/>
                <w:szCs w:val="24"/>
              </w:rPr>
            </w:pPr>
            <w:r w:rsidRPr="002D7F73">
              <w:rPr>
                <w:rFonts w:cstheme="minorHAnsi"/>
                <w:sz w:val="24"/>
                <w:szCs w:val="24"/>
              </w:rPr>
              <w:t>0</w:t>
            </w:r>
          </w:p>
        </w:tc>
      </w:tr>
      <w:tr w:rsidR="002D7F73" w:rsidRPr="002D7F73" w14:paraId="0DC5B311" w14:textId="77777777">
        <w:trPr>
          <w:trHeight w:val="225"/>
        </w:trPr>
        <w:tc>
          <w:tcPr>
            <w:tcW w:w="460" w:type="dxa"/>
            <w:tcBorders>
              <w:left w:val="single" w:sz="4" w:space="0" w:color="auto"/>
              <w:bottom w:val="single" w:sz="4" w:space="0" w:color="auto"/>
              <w:right w:val="single" w:sz="4" w:space="0" w:color="auto"/>
            </w:tcBorders>
            <w:shd w:val="clear" w:color="auto" w:fill="FFFFFF"/>
            <w:noWrap/>
            <w:vAlign w:val="bottom"/>
            <w:hideMark/>
          </w:tcPr>
          <w:p w14:paraId="2F229976" w14:textId="77777777" w:rsidR="002D7F73" w:rsidRPr="002D7F73" w:rsidRDefault="002D7F73" w:rsidP="002D7F73">
            <w:pPr>
              <w:jc w:val="both"/>
              <w:rPr>
                <w:rFonts w:cstheme="minorHAnsi"/>
                <w:sz w:val="24"/>
                <w:szCs w:val="24"/>
              </w:rPr>
            </w:pPr>
            <w:r w:rsidRPr="002D7F73">
              <w:rPr>
                <w:rFonts w:cstheme="minorHAnsi"/>
                <w:sz w:val="24"/>
                <w:szCs w:val="24"/>
              </w:rPr>
              <w:t>23</w:t>
            </w:r>
          </w:p>
        </w:tc>
        <w:tc>
          <w:tcPr>
            <w:tcW w:w="2340" w:type="dxa"/>
            <w:tcBorders>
              <w:bottom w:val="single" w:sz="4" w:space="0" w:color="auto"/>
              <w:right w:val="single" w:sz="4" w:space="0" w:color="auto"/>
            </w:tcBorders>
            <w:shd w:val="clear" w:color="auto" w:fill="FFFFFF"/>
            <w:noWrap/>
            <w:vAlign w:val="bottom"/>
            <w:hideMark/>
          </w:tcPr>
          <w:p w14:paraId="5D660F65" w14:textId="77777777" w:rsidR="002D7F73" w:rsidRPr="002D7F73" w:rsidRDefault="002D7F73" w:rsidP="002D7F73">
            <w:pPr>
              <w:jc w:val="both"/>
              <w:rPr>
                <w:rFonts w:cstheme="minorHAnsi"/>
                <w:sz w:val="24"/>
                <w:szCs w:val="24"/>
              </w:rPr>
            </w:pPr>
            <w:r w:rsidRPr="002D7F73">
              <w:rPr>
                <w:rFonts w:cstheme="minorHAnsi"/>
                <w:sz w:val="24"/>
                <w:szCs w:val="24"/>
              </w:rPr>
              <w:t>Dilan Ángulo</w:t>
            </w:r>
          </w:p>
        </w:tc>
        <w:tc>
          <w:tcPr>
            <w:tcW w:w="1760" w:type="dxa"/>
            <w:tcBorders>
              <w:bottom w:val="single" w:sz="4" w:space="0" w:color="auto"/>
              <w:right w:val="single" w:sz="4" w:space="0" w:color="auto"/>
            </w:tcBorders>
            <w:shd w:val="clear" w:color="auto" w:fill="FFFFFF"/>
            <w:noWrap/>
            <w:vAlign w:val="bottom"/>
            <w:hideMark/>
          </w:tcPr>
          <w:p w14:paraId="2F697321" w14:textId="77777777" w:rsidR="002D7F73" w:rsidRPr="002D7F73" w:rsidRDefault="002D7F73" w:rsidP="002D7F73">
            <w:pPr>
              <w:jc w:val="both"/>
              <w:rPr>
                <w:rFonts w:cstheme="minorHAnsi"/>
                <w:sz w:val="24"/>
                <w:szCs w:val="24"/>
              </w:rPr>
            </w:pPr>
            <w:r w:rsidRPr="002D7F73">
              <w:rPr>
                <w:rFonts w:cstheme="minorHAnsi"/>
                <w:sz w:val="24"/>
                <w:szCs w:val="24"/>
              </w:rPr>
              <w:t>hermano</w:t>
            </w:r>
          </w:p>
        </w:tc>
        <w:tc>
          <w:tcPr>
            <w:tcW w:w="2680" w:type="dxa"/>
            <w:tcBorders>
              <w:bottom w:val="single" w:sz="4" w:space="0" w:color="auto"/>
              <w:right w:val="single" w:sz="4" w:space="0" w:color="auto"/>
            </w:tcBorders>
            <w:shd w:val="clear" w:color="auto" w:fill="FFFFFF"/>
            <w:noWrap/>
            <w:vAlign w:val="center"/>
            <w:hideMark/>
          </w:tcPr>
          <w:p w14:paraId="7B727FDE" w14:textId="77777777" w:rsidR="002D7F73" w:rsidRPr="002D7F73" w:rsidRDefault="002D7F73" w:rsidP="002D7F73">
            <w:pPr>
              <w:jc w:val="both"/>
              <w:rPr>
                <w:rFonts w:cstheme="minorHAnsi"/>
                <w:sz w:val="24"/>
                <w:szCs w:val="24"/>
              </w:rPr>
            </w:pPr>
            <w:r w:rsidRPr="002D7F73">
              <w:rPr>
                <w:rFonts w:cstheme="minorHAnsi"/>
                <w:sz w:val="24"/>
                <w:szCs w:val="24"/>
              </w:rPr>
              <w:t>5</w:t>
            </w:r>
          </w:p>
        </w:tc>
        <w:tc>
          <w:tcPr>
            <w:tcW w:w="2440" w:type="dxa"/>
            <w:tcBorders>
              <w:bottom w:val="single" w:sz="4" w:space="0" w:color="auto"/>
              <w:right w:val="single" w:sz="4" w:space="0" w:color="auto"/>
            </w:tcBorders>
            <w:shd w:val="clear" w:color="auto" w:fill="FFFFFF"/>
            <w:noWrap/>
            <w:vAlign w:val="center"/>
            <w:hideMark/>
          </w:tcPr>
          <w:p w14:paraId="72A06167" w14:textId="77777777" w:rsidR="002D7F73" w:rsidRPr="002D7F73" w:rsidRDefault="002D7F73" w:rsidP="002D7F73">
            <w:pPr>
              <w:jc w:val="both"/>
              <w:rPr>
                <w:rFonts w:cstheme="minorHAnsi"/>
                <w:sz w:val="24"/>
                <w:szCs w:val="24"/>
              </w:rPr>
            </w:pPr>
            <w:r w:rsidRPr="002D7F73">
              <w:rPr>
                <w:rFonts w:cstheme="minorHAnsi"/>
                <w:sz w:val="24"/>
                <w:szCs w:val="24"/>
              </w:rPr>
              <w:t>0</w:t>
            </w:r>
          </w:p>
        </w:tc>
      </w:tr>
      <w:tr w:rsidR="002D7F73" w:rsidRPr="002D7F73" w14:paraId="245BE40A" w14:textId="77777777">
        <w:trPr>
          <w:trHeight w:val="675"/>
        </w:trPr>
        <w:tc>
          <w:tcPr>
            <w:tcW w:w="460" w:type="dxa"/>
            <w:tcBorders>
              <w:left w:val="single" w:sz="4" w:space="0" w:color="auto"/>
              <w:bottom w:val="single" w:sz="4" w:space="0" w:color="auto"/>
              <w:right w:val="single" w:sz="4" w:space="0" w:color="auto"/>
            </w:tcBorders>
            <w:shd w:val="clear" w:color="auto" w:fill="FFFFFF"/>
            <w:noWrap/>
            <w:vAlign w:val="bottom"/>
            <w:hideMark/>
          </w:tcPr>
          <w:p w14:paraId="74735662" w14:textId="5150FFCA" w:rsidR="002D7F73" w:rsidRPr="002D7F73" w:rsidRDefault="002D7F73" w:rsidP="002D7F73">
            <w:pPr>
              <w:jc w:val="both"/>
              <w:rPr>
                <w:rFonts w:cstheme="minorHAnsi"/>
                <w:sz w:val="24"/>
                <w:szCs w:val="24"/>
              </w:rPr>
            </w:pPr>
          </w:p>
        </w:tc>
        <w:tc>
          <w:tcPr>
            <w:tcW w:w="2340" w:type="dxa"/>
            <w:tcBorders>
              <w:bottom w:val="single" w:sz="4" w:space="0" w:color="auto"/>
              <w:right w:val="single" w:sz="4" w:space="0" w:color="auto"/>
            </w:tcBorders>
            <w:shd w:val="clear" w:color="auto" w:fill="DAF2D0"/>
            <w:vAlign w:val="bottom"/>
            <w:hideMark/>
          </w:tcPr>
          <w:p w14:paraId="07C5EB2F" w14:textId="77777777" w:rsidR="002D7F73" w:rsidRPr="002D7F73" w:rsidRDefault="002D7F73" w:rsidP="002D7F73">
            <w:pPr>
              <w:jc w:val="both"/>
              <w:rPr>
                <w:rFonts w:cstheme="minorHAnsi"/>
                <w:sz w:val="24"/>
                <w:szCs w:val="24"/>
              </w:rPr>
            </w:pPr>
            <w:r w:rsidRPr="002D7F73">
              <w:rPr>
                <w:rFonts w:cstheme="minorHAnsi"/>
                <w:sz w:val="24"/>
                <w:szCs w:val="24"/>
              </w:rPr>
              <w:t xml:space="preserve">Sexto Grupo (lesión de Jerson y </w:t>
            </w:r>
            <w:proofErr w:type="spellStart"/>
            <w:r w:rsidRPr="002D7F73">
              <w:rPr>
                <w:rFonts w:cstheme="minorHAnsi"/>
                <w:sz w:val="24"/>
                <w:szCs w:val="24"/>
              </w:rPr>
              <w:t>Dimirley</w:t>
            </w:r>
            <w:proofErr w:type="spellEnd"/>
            <w:r w:rsidRPr="002D7F73">
              <w:rPr>
                <w:rFonts w:cstheme="minorHAnsi"/>
                <w:sz w:val="24"/>
                <w:szCs w:val="24"/>
              </w:rPr>
              <w:t xml:space="preserve"> </w:t>
            </w:r>
            <w:proofErr w:type="spellStart"/>
            <w:r w:rsidRPr="002D7F73">
              <w:rPr>
                <w:rFonts w:cstheme="minorHAnsi"/>
                <w:sz w:val="24"/>
                <w:szCs w:val="24"/>
              </w:rPr>
              <w:t>Mamiam</w:t>
            </w:r>
            <w:proofErr w:type="spellEnd"/>
            <w:r w:rsidRPr="002D7F73">
              <w:rPr>
                <w:rFonts w:cstheme="minorHAnsi"/>
                <w:sz w:val="24"/>
                <w:szCs w:val="24"/>
              </w:rPr>
              <w:t>)</w:t>
            </w:r>
          </w:p>
        </w:tc>
        <w:tc>
          <w:tcPr>
            <w:tcW w:w="1760" w:type="dxa"/>
            <w:tcBorders>
              <w:bottom w:val="single" w:sz="4" w:space="0" w:color="auto"/>
              <w:right w:val="single" w:sz="4" w:space="0" w:color="auto"/>
            </w:tcBorders>
            <w:shd w:val="clear" w:color="auto" w:fill="FFFFFF"/>
            <w:noWrap/>
            <w:vAlign w:val="bottom"/>
            <w:hideMark/>
          </w:tcPr>
          <w:p w14:paraId="4EDC2E09" w14:textId="2B71C96B" w:rsidR="002D7F73" w:rsidRPr="002D7F73" w:rsidRDefault="002D7F73" w:rsidP="002D7F73">
            <w:pPr>
              <w:jc w:val="both"/>
              <w:rPr>
                <w:rFonts w:cstheme="minorHAnsi"/>
                <w:sz w:val="24"/>
                <w:szCs w:val="24"/>
              </w:rPr>
            </w:pPr>
          </w:p>
        </w:tc>
        <w:tc>
          <w:tcPr>
            <w:tcW w:w="2680" w:type="dxa"/>
            <w:tcBorders>
              <w:bottom w:val="single" w:sz="4" w:space="0" w:color="auto"/>
              <w:right w:val="single" w:sz="4" w:space="0" w:color="auto"/>
            </w:tcBorders>
            <w:shd w:val="clear" w:color="auto" w:fill="FFFFFF"/>
            <w:noWrap/>
            <w:vAlign w:val="bottom"/>
            <w:hideMark/>
          </w:tcPr>
          <w:p w14:paraId="6FDEDF71" w14:textId="4748C9F7" w:rsidR="002D7F73" w:rsidRPr="002D7F73" w:rsidRDefault="002D7F73" w:rsidP="002D7F73">
            <w:pPr>
              <w:jc w:val="both"/>
              <w:rPr>
                <w:rFonts w:cstheme="minorHAnsi"/>
                <w:sz w:val="24"/>
                <w:szCs w:val="24"/>
              </w:rPr>
            </w:pPr>
          </w:p>
        </w:tc>
        <w:tc>
          <w:tcPr>
            <w:tcW w:w="2440" w:type="dxa"/>
            <w:tcBorders>
              <w:bottom w:val="single" w:sz="4" w:space="0" w:color="auto"/>
              <w:right w:val="single" w:sz="4" w:space="0" w:color="auto"/>
            </w:tcBorders>
            <w:shd w:val="clear" w:color="auto" w:fill="FFFFFF"/>
            <w:noWrap/>
            <w:vAlign w:val="bottom"/>
            <w:hideMark/>
          </w:tcPr>
          <w:p w14:paraId="542ED987" w14:textId="4E78D621" w:rsidR="002D7F73" w:rsidRPr="002D7F73" w:rsidRDefault="002D7F73" w:rsidP="002D7F73">
            <w:pPr>
              <w:jc w:val="both"/>
              <w:rPr>
                <w:rFonts w:cstheme="minorHAnsi"/>
                <w:sz w:val="24"/>
                <w:szCs w:val="24"/>
              </w:rPr>
            </w:pPr>
          </w:p>
        </w:tc>
      </w:tr>
      <w:tr w:rsidR="002D7F73" w:rsidRPr="002D7F73" w14:paraId="0438437A" w14:textId="77777777">
        <w:trPr>
          <w:trHeight w:val="225"/>
        </w:trPr>
        <w:tc>
          <w:tcPr>
            <w:tcW w:w="460" w:type="dxa"/>
            <w:tcBorders>
              <w:left w:val="single" w:sz="4" w:space="0" w:color="auto"/>
              <w:bottom w:val="single" w:sz="4" w:space="0" w:color="auto"/>
              <w:right w:val="single" w:sz="4" w:space="0" w:color="auto"/>
            </w:tcBorders>
            <w:shd w:val="clear" w:color="auto" w:fill="FFFFFF"/>
            <w:noWrap/>
            <w:vAlign w:val="bottom"/>
            <w:hideMark/>
          </w:tcPr>
          <w:p w14:paraId="74481EDC" w14:textId="77777777" w:rsidR="002D7F73" w:rsidRPr="002D7F73" w:rsidRDefault="002D7F73" w:rsidP="002D7F73">
            <w:pPr>
              <w:jc w:val="both"/>
              <w:rPr>
                <w:rFonts w:cstheme="minorHAnsi"/>
                <w:sz w:val="24"/>
                <w:szCs w:val="24"/>
              </w:rPr>
            </w:pPr>
            <w:r w:rsidRPr="002D7F73">
              <w:rPr>
                <w:rFonts w:cstheme="minorHAnsi"/>
                <w:sz w:val="24"/>
                <w:szCs w:val="24"/>
              </w:rPr>
              <w:t>24</w:t>
            </w:r>
          </w:p>
        </w:tc>
        <w:tc>
          <w:tcPr>
            <w:tcW w:w="2340" w:type="dxa"/>
            <w:tcBorders>
              <w:bottom w:val="single" w:sz="4" w:space="0" w:color="auto"/>
              <w:right w:val="single" w:sz="4" w:space="0" w:color="auto"/>
            </w:tcBorders>
            <w:shd w:val="clear" w:color="auto" w:fill="FFFFFF"/>
            <w:noWrap/>
            <w:vAlign w:val="bottom"/>
            <w:hideMark/>
          </w:tcPr>
          <w:p w14:paraId="0DD4C5DA" w14:textId="77777777" w:rsidR="002D7F73" w:rsidRPr="002D7F73" w:rsidRDefault="002D7F73" w:rsidP="002D7F73">
            <w:pPr>
              <w:jc w:val="both"/>
              <w:rPr>
                <w:rFonts w:cstheme="minorHAnsi"/>
                <w:sz w:val="24"/>
                <w:szCs w:val="24"/>
              </w:rPr>
            </w:pPr>
            <w:r w:rsidRPr="002D7F73">
              <w:rPr>
                <w:rFonts w:cstheme="minorHAnsi"/>
                <w:sz w:val="24"/>
                <w:szCs w:val="24"/>
              </w:rPr>
              <w:t xml:space="preserve">Rafael </w:t>
            </w:r>
            <w:proofErr w:type="spellStart"/>
            <w:r w:rsidRPr="002D7F73">
              <w:rPr>
                <w:rFonts w:cstheme="minorHAnsi"/>
                <w:sz w:val="24"/>
                <w:szCs w:val="24"/>
              </w:rPr>
              <w:t>Orlay</w:t>
            </w:r>
            <w:proofErr w:type="spellEnd"/>
            <w:r w:rsidRPr="002D7F73">
              <w:rPr>
                <w:rFonts w:cstheme="minorHAnsi"/>
                <w:sz w:val="24"/>
                <w:szCs w:val="24"/>
              </w:rPr>
              <w:t xml:space="preserve"> </w:t>
            </w:r>
            <w:proofErr w:type="spellStart"/>
            <w:r w:rsidRPr="002D7F73">
              <w:rPr>
                <w:rFonts w:cstheme="minorHAnsi"/>
                <w:sz w:val="24"/>
                <w:szCs w:val="24"/>
              </w:rPr>
              <w:t>Mamiam</w:t>
            </w:r>
            <w:proofErr w:type="spellEnd"/>
          </w:p>
        </w:tc>
        <w:tc>
          <w:tcPr>
            <w:tcW w:w="1760" w:type="dxa"/>
            <w:tcBorders>
              <w:bottom w:val="single" w:sz="4" w:space="0" w:color="auto"/>
              <w:right w:val="single" w:sz="4" w:space="0" w:color="auto"/>
            </w:tcBorders>
            <w:shd w:val="clear" w:color="auto" w:fill="FFFFFF"/>
            <w:noWrap/>
            <w:vAlign w:val="bottom"/>
            <w:hideMark/>
          </w:tcPr>
          <w:p w14:paraId="36B6ED46" w14:textId="77777777" w:rsidR="002D7F73" w:rsidRPr="002D7F73" w:rsidRDefault="002D7F73" w:rsidP="002D7F73">
            <w:pPr>
              <w:jc w:val="both"/>
              <w:rPr>
                <w:rFonts w:cstheme="minorHAnsi"/>
                <w:sz w:val="24"/>
                <w:szCs w:val="24"/>
              </w:rPr>
            </w:pPr>
            <w:r w:rsidRPr="002D7F73">
              <w:rPr>
                <w:rFonts w:cstheme="minorHAnsi"/>
                <w:sz w:val="24"/>
                <w:szCs w:val="24"/>
              </w:rPr>
              <w:t>Padre</w:t>
            </w:r>
          </w:p>
        </w:tc>
        <w:tc>
          <w:tcPr>
            <w:tcW w:w="2680" w:type="dxa"/>
            <w:tcBorders>
              <w:bottom w:val="single" w:sz="4" w:space="0" w:color="auto"/>
              <w:right w:val="single" w:sz="4" w:space="0" w:color="auto"/>
            </w:tcBorders>
            <w:shd w:val="clear" w:color="auto" w:fill="FFFFFF"/>
            <w:noWrap/>
            <w:vAlign w:val="center"/>
            <w:hideMark/>
          </w:tcPr>
          <w:p w14:paraId="22B96F4C" w14:textId="77777777" w:rsidR="002D7F73" w:rsidRPr="002D7F73" w:rsidRDefault="002D7F73" w:rsidP="002D7F73">
            <w:pPr>
              <w:jc w:val="both"/>
              <w:rPr>
                <w:rFonts w:cstheme="minorHAnsi"/>
                <w:sz w:val="24"/>
                <w:szCs w:val="24"/>
              </w:rPr>
            </w:pPr>
            <w:r w:rsidRPr="002D7F73">
              <w:rPr>
                <w:rFonts w:cstheme="minorHAnsi"/>
                <w:sz w:val="24"/>
                <w:szCs w:val="24"/>
              </w:rPr>
              <w:t>20</w:t>
            </w:r>
          </w:p>
        </w:tc>
        <w:tc>
          <w:tcPr>
            <w:tcW w:w="2440" w:type="dxa"/>
            <w:tcBorders>
              <w:bottom w:val="single" w:sz="4" w:space="0" w:color="auto"/>
              <w:right w:val="single" w:sz="4" w:space="0" w:color="auto"/>
            </w:tcBorders>
            <w:shd w:val="clear" w:color="auto" w:fill="FFFFFF"/>
            <w:noWrap/>
            <w:vAlign w:val="center"/>
            <w:hideMark/>
          </w:tcPr>
          <w:p w14:paraId="3EEF7A6B" w14:textId="77777777" w:rsidR="002D7F73" w:rsidRPr="002D7F73" w:rsidRDefault="002D7F73" w:rsidP="002D7F73">
            <w:pPr>
              <w:jc w:val="both"/>
              <w:rPr>
                <w:rFonts w:cstheme="minorHAnsi"/>
                <w:sz w:val="24"/>
                <w:szCs w:val="24"/>
              </w:rPr>
            </w:pPr>
            <w:r w:rsidRPr="002D7F73">
              <w:rPr>
                <w:rFonts w:cstheme="minorHAnsi"/>
                <w:sz w:val="24"/>
                <w:szCs w:val="24"/>
              </w:rPr>
              <w:t>0</w:t>
            </w:r>
          </w:p>
        </w:tc>
      </w:tr>
      <w:tr w:rsidR="002D7F73" w:rsidRPr="002D7F73" w14:paraId="68428CDA" w14:textId="77777777">
        <w:trPr>
          <w:trHeight w:val="225"/>
        </w:trPr>
        <w:tc>
          <w:tcPr>
            <w:tcW w:w="460" w:type="dxa"/>
            <w:tcBorders>
              <w:left w:val="single" w:sz="4" w:space="0" w:color="auto"/>
              <w:bottom w:val="single" w:sz="4" w:space="0" w:color="auto"/>
              <w:right w:val="single" w:sz="4" w:space="0" w:color="auto"/>
            </w:tcBorders>
            <w:shd w:val="clear" w:color="auto" w:fill="FFFFFF"/>
            <w:noWrap/>
            <w:vAlign w:val="bottom"/>
            <w:hideMark/>
          </w:tcPr>
          <w:p w14:paraId="7D81424F" w14:textId="77777777" w:rsidR="002D7F73" w:rsidRPr="002D7F73" w:rsidRDefault="002D7F73" w:rsidP="002D7F73">
            <w:pPr>
              <w:jc w:val="both"/>
              <w:rPr>
                <w:rFonts w:cstheme="minorHAnsi"/>
                <w:sz w:val="24"/>
                <w:szCs w:val="24"/>
              </w:rPr>
            </w:pPr>
            <w:r w:rsidRPr="002D7F73">
              <w:rPr>
                <w:rFonts w:cstheme="minorHAnsi"/>
                <w:sz w:val="24"/>
                <w:szCs w:val="24"/>
              </w:rPr>
              <w:t>25</w:t>
            </w:r>
          </w:p>
        </w:tc>
        <w:tc>
          <w:tcPr>
            <w:tcW w:w="2340" w:type="dxa"/>
            <w:tcBorders>
              <w:bottom w:val="single" w:sz="4" w:space="0" w:color="auto"/>
              <w:right w:val="single" w:sz="4" w:space="0" w:color="auto"/>
            </w:tcBorders>
            <w:shd w:val="clear" w:color="auto" w:fill="FFFFFF"/>
            <w:noWrap/>
            <w:vAlign w:val="bottom"/>
            <w:hideMark/>
          </w:tcPr>
          <w:p w14:paraId="62D9CA3B" w14:textId="77777777" w:rsidR="002D7F73" w:rsidRPr="002D7F73" w:rsidRDefault="002D7F73" w:rsidP="002D7F73">
            <w:pPr>
              <w:jc w:val="both"/>
              <w:rPr>
                <w:rFonts w:cstheme="minorHAnsi"/>
                <w:sz w:val="24"/>
                <w:szCs w:val="24"/>
              </w:rPr>
            </w:pPr>
            <w:r w:rsidRPr="002D7F73">
              <w:rPr>
                <w:rFonts w:cstheme="minorHAnsi"/>
                <w:sz w:val="24"/>
                <w:szCs w:val="24"/>
              </w:rPr>
              <w:t xml:space="preserve">Irene </w:t>
            </w:r>
            <w:proofErr w:type="spellStart"/>
            <w:r w:rsidRPr="002D7F73">
              <w:rPr>
                <w:rFonts w:cstheme="minorHAnsi"/>
                <w:sz w:val="24"/>
                <w:szCs w:val="24"/>
              </w:rPr>
              <w:t>Mojomboy</w:t>
            </w:r>
            <w:proofErr w:type="spellEnd"/>
          </w:p>
        </w:tc>
        <w:tc>
          <w:tcPr>
            <w:tcW w:w="1760" w:type="dxa"/>
            <w:tcBorders>
              <w:bottom w:val="single" w:sz="4" w:space="0" w:color="auto"/>
              <w:right w:val="single" w:sz="4" w:space="0" w:color="auto"/>
            </w:tcBorders>
            <w:shd w:val="clear" w:color="auto" w:fill="FFFFFF"/>
            <w:noWrap/>
            <w:vAlign w:val="bottom"/>
            <w:hideMark/>
          </w:tcPr>
          <w:p w14:paraId="58302B40" w14:textId="77777777" w:rsidR="002D7F73" w:rsidRPr="002D7F73" w:rsidRDefault="002D7F73" w:rsidP="002D7F73">
            <w:pPr>
              <w:jc w:val="both"/>
              <w:rPr>
                <w:rFonts w:cstheme="minorHAnsi"/>
                <w:sz w:val="24"/>
                <w:szCs w:val="24"/>
              </w:rPr>
            </w:pPr>
            <w:r w:rsidRPr="002D7F73">
              <w:rPr>
                <w:rFonts w:cstheme="minorHAnsi"/>
                <w:sz w:val="24"/>
                <w:szCs w:val="24"/>
              </w:rPr>
              <w:t>Madre</w:t>
            </w:r>
          </w:p>
        </w:tc>
        <w:tc>
          <w:tcPr>
            <w:tcW w:w="2680" w:type="dxa"/>
            <w:tcBorders>
              <w:bottom w:val="single" w:sz="4" w:space="0" w:color="auto"/>
              <w:right w:val="single" w:sz="4" w:space="0" w:color="auto"/>
            </w:tcBorders>
            <w:shd w:val="clear" w:color="auto" w:fill="FFFFFF"/>
            <w:noWrap/>
            <w:vAlign w:val="center"/>
            <w:hideMark/>
          </w:tcPr>
          <w:p w14:paraId="4AF80CB8" w14:textId="77777777" w:rsidR="002D7F73" w:rsidRPr="002D7F73" w:rsidRDefault="002D7F73" w:rsidP="002D7F73">
            <w:pPr>
              <w:jc w:val="both"/>
              <w:rPr>
                <w:rFonts w:cstheme="minorHAnsi"/>
                <w:sz w:val="24"/>
                <w:szCs w:val="24"/>
              </w:rPr>
            </w:pPr>
            <w:r w:rsidRPr="002D7F73">
              <w:rPr>
                <w:rFonts w:cstheme="minorHAnsi"/>
                <w:sz w:val="24"/>
                <w:szCs w:val="24"/>
              </w:rPr>
              <w:t>20</w:t>
            </w:r>
          </w:p>
        </w:tc>
        <w:tc>
          <w:tcPr>
            <w:tcW w:w="2440" w:type="dxa"/>
            <w:tcBorders>
              <w:bottom w:val="single" w:sz="4" w:space="0" w:color="auto"/>
              <w:right w:val="single" w:sz="4" w:space="0" w:color="auto"/>
            </w:tcBorders>
            <w:shd w:val="clear" w:color="auto" w:fill="FFFFFF"/>
            <w:noWrap/>
            <w:vAlign w:val="center"/>
            <w:hideMark/>
          </w:tcPr>
          <w:p w14:paraId="290CB9D9" w14:textId="77777777" w:rsidR="002D7F73" w:rsidRPr="002D7F73" w:rsidRDefault="002D7F73" w:rsidP="002D7F73">
            <w:pPr>
              <w:jc w:val="both"/>
              <w:rPr>
                <w:rFonts w:cstheme="minorHAnsi"/>
                <w:sz w:val="24"/>
                <w:szCs w:val="24"/>
              </w:rPr>
            </w:pPr>
            <w:r w:rsidRPr="002D7F73">
              <w:rPr>
                <w:rFonts w:cstheme="minorHAnsi"/>
                <w:sz w:val="24"/>
                <w:szCs w:val="24"/>
              </w:rPr>
              <w:t>0</w:t>
            </w:r>
          </w:p>
        </w:tc>
      </w:tr>
      <w:tr w:rsidR="002D7F73" w:rsidRPr="002D7F73" w14:paraId="7A4AE5FC" w14:textId="77777777">
        <w:trPr>
          <w:trHeight w:val="225"/>
        </w:trPr>
        <w:tc>
          <w:tcPr>
            <w:tcW w:w="460" w:type="dxa"/>
            <w:tcBorders>
              <w:left w:val="single" w:sz="4" w:space="0" w:color="auto"/>
              <w:bottom w:val="single" w:sz="4" w:space="0" w:color="auto"/>
              <w:right w:val="single" w:sz="4" w:space="0" w:color="auto"/>
            </w:tcBorders>
            <w:shd w:val="clear" w:color="auto" w:fill="FFFFFF"/>
            <w:noWrap/>
            <w:vAlign w:val="bottom"/>
            <w:hideMark/>
          </w:tcPr>
          <w:p w14:paraId="5C226AEC" w14:textId="77777777" w:rsidR="002D7F73" w:rsidRPr="002D7F73" w:rsidRDefault="002D7F73" w:rsidP="002D7F73">
            <w:pPr>
              <w:jc w:val="both"/>
              <w:rPr>
                <w:rFonts w:cstheme="minorHAnsi"/>
                <w:sz w:val="24"/>
                <w:szCs w:val="24"/>
              </w:rPr>
            </w:pPr>
            <w:r w:rsidRPr="002D7F73">
              <w:rPr>
                <w:rFonts w:cstheme="minorHAnsi"/>
                <w:sz w:val="24"/>
                <w:szCs w:val="24"/>
              </w:rPr>
              <w:t>26</w:t>
            </w:r>
          </w:p>
        </w:tc>
        <w:tc>
          <w:tcPr>
            <w:tcW w:w="2340" w:type="dxa"/>
            <w:tcBorders>
              <w:bottom w:val="single" w:sz="4" w:space="0" w:color="auto"/>
              <w:right w:val="single" w:sz="4" w:space="0" w:color="auto"/>
            </w:tcBorders>
            <w:shd w:val="clear" w:color="auto" w:fill="FFFFFF"/>
            <w:noWrap/>
            <w:vAlign w:val="bottom"/>
            <w:hideMark/>
          </w:tcPr>
          <w:p w14:paraId="2F6CD6DF" w14:textId="77777777" w:rsidR="002D7F73" w:rsidRPr="002D7F73" w:rsidRDefault="002D7F73" w:rsidP="002D7F73">
            <w:pPr>
              <w:jc w:val="both"/>
              <w:rPr>
                <w:rFonts w:cstheme="minorHAnsi"/>
                <w:sz w:val="24"/>
                <w:szCs w:val="24"/>
              </w:rPr>
            </w:pPr>
            <w:r w:rsidRPr="002D7F73">
              <w:rPr>
                <w:rFonts w:cstheme="minorHAnsi"/>
                <w:sz w:val="24"/>
                <w:szCs w:val="24"/>
              </w:rPr>
              <w:t xml:space="preserve">Jerson </w:t>
            </w:r>
            <w:proofErr w:type="spellStart"/>
            <w:r w:rsidRPr="002D7F73">
              <w:rPr>
                <w:rFonts w:cstheme="minorHAnsi"/>
                <w:sz w:val="24"/>
                <w:szCs w:val="24"/>
              </w:rPr>
              <w:t>Mamiam</w:t>
            </w:r>
            <w:proofErr w:type="spellEnd"/>
          </w:p>
        </w:tc>
        <w:tc>
          <w:tcPr>
            <w:tcW w:w="1760" w:type="dxa"/>
            <w:tcBorders>
              <w:bottom w:val="single" w:sz="4" w:space="0" w:color="auto"/>
              <w:right w:val="single" w:sz="4" w:space="0" w:color="auto"/>
            </w:tcBorders>
            <w:shd w:val="clear" w:color="auto" w:fill="FFFFFF"/>
            <w:noWrap/>
            <w:vAlign w:val="bottom"/>
            <w:hideMark/>
          </w:tcPr>
          <w:p w14:paraId="7D7BFB81" w14:textId="77777777" w:rsidR="002D7F73" w:rsidRPr="002D7F73" w:rsidRDefault="002D7F73" w:rsidP="002D7F73">
            <w:pPr>
              <w:jc w:val="both"/>
              <w:rPr>
                <w:rFonts w:cstheme="minorHAnsi"/>
                <w:sz w:val="24"/>
                <w:szCs w:val="24"/>
              </w:rPr>
            </w:pPr>
            <w:r w:rsidRPr="002D7F73">
              <w:rPr>
                <w:rFonts w:cstheme="minorHAnsi"/>
                <w:sz w:val="24"/>
                <w:szCs w:val="24"/>
              </w:rPr>
              <w:t>Víctima / hermano</w:t>
            </w:r>
          </w:p>
        </w:tc>
        <w:tc>
          <w:tcPr>
            <w:tcW w:w="2680" w:type="dxa"/>
            <w:tcBorders>
              <w:bottom w:val="single" w:sz="4" w:space="0" w:color="auto"/>
              <w:right w:val="single" w:sz="4" w:space="0" w:color="auto"/>
            </w:tcBorders>
            <w:shd w:val="clear" w:color="auto" w:fill="FFFFFF"/>
            <w:noWrap/>
            <w:vAlign w:val="center"/>
            <w:hideMark/>
          </w:tcPr>
          <w:p w14:paraId="186C838B" w14:textId="77777777" w:rsidR="002D7F73" w:rsidRPr="002D7F73" w:rsidRDefault="002D7F73" w:rsidP="002D7F73">
            <w:pPr>
              <w:jc w:val="both"/>
              <w:rPr>
                <w:rFonts w:cstheme="minorHAnsi"/>
                <w:sz w:val="24"/>
                <w:szCs w:val="24"/>
              </w:rPr>
            </w:pPr>
            <w:r w:rsidRPr="002D7F73">
              <w:rPr>
                <w:rFonts w:cstheme="minorHAnsi"/>
                <w:sz w:val="24"/>
                <w:szCs w:val="24"/>
              </w:rPr>
              <w:t>15</w:t>
            </w:r>
          </w:p>
        </w:tc>
        <w:tc>
          <w:tcPr>
            <w:tcW w:w="2440" w:type="dxa"/>
            <w:tcBorders>
              <w:bottom w:val="single" w:sz="4" w:space="0" w:color="auto"/>
              <w:right w:val="single" w:sz="4" w:space="0" w:color="auto"/>
            </w:tcBorders>
            <w:shd w:val="clear" w:color="auto" w:fill="FFFFFF"/>
            <w:noWrap/>
            <w:vAlign w:val="center"/>
            <w:hideMark/>
          </w:tcPr>
          <w:p w14:paraId="15FF32C1" w14:textId="77777777" w:rsidR="002D7F73" w:rsidRPr="002D7F73" w:rsidRDefault="002D7F73" w:rsidP="002D7F73">
            <w:pPr>
              <w:jc w:val="both"/>
              <w:rPr>
                <w:rFonts w:cstheme="minorHAnsi"/>
                <w:sz w:val="24"/>
                <w:szCs w:val="24"/>
              </w:rPr>
            </w:pPr>
            <w:r w:rsidRPr="002D7F73">
              <w:rPr>
                <w:rFonts w:cstheme="minorHAnsi"/>
                <w:sz w:val="24"/>
                <w:szCs w:val="24"/>
              </w:rPr>
              <w:t>10</w:t>
            </w:r>
          </w:p>
        </w:tc>
      </w:tr>
      <w:tr w:rsidR="002D7F73" w:rsidRPr="002D7F73" w14:paraId="2EB7BA0D" w14:textId="77777777">
        <w:trPr>
          <w:trHeight w:val="225"/>
        </w:trPr>
        <w:tc>
          <w:tcPr>
            <w:tcW w:w="460" w:type="dxa"/>
            <w:tcBorders>
              <w:left w:val="single" w:sz="4" w:space="0" w:color="auto"/>
              <w:bottom w:val="single" w:sz="4" w:space="0" w:color="auto"/>
              <w:right w:val="single" w:sz="4" w:space="0" w:color="auto"/>
            </w:tcBorders>
            <w:shd w:val="clear" w:color="auto" w:fill="FFFFFF"/>
            <w:noWrap/>
            <w:vAlign w:val="bottom"/>
            <w:hideMark/>
          </w:tcPr>
          <w:p w14:paraId="2665E684" w14:textId="77777777" w:rsidR="002D7F73" w:rsidRPr="002D7F73" w:rsidRDefault="002D7F73" w:rsidP="002D7F73">
            <w:pPr>
              <w:jc w:val="both"/>
              <w:rPr>
                <w:rFonts w:cstheme="minorHAnsi"/>
                <w:sz w:val="24"/>
                <w:szCs w:val="24"/>
              </w:rPr>
            </w:pPr>
            <w:r w:rsidRPr="002D7F73">
              <w:rPr>
                <w:rFonts w:cstheme="minorHAnsi"/>
                <w:sz w:val="24"/>
                <w:szCs w:val="24"/>
              </w:rPr>
              <w:t>27</w:t>
            </w:r>
          </w:p>
        </w:tc>
        <w:tc>
          <w:tcPr>
            <w:tcW w:w="2340" w:type="dxa"/>
            <w:tcBorders>
              <w:bottom w:val="single" w:sz="4" w:space="0" w:color="auto"/>
              <w:right w:val="single" w:sz="4" w:space="0" w:color="auto"/>
            </w:tcBorders>
            <w:shd w:val="clear" w:color="auto" w:fill="FFFFFF"/>
            <w:noWrap/>
            <w:vAlign w:val="bottom"/>
            <w:hideMark/>
          </w:tcPr>
          <w:p w14:paraId="2E491412" w14:textId="77777777" w:rsidR="002D7F73" w:rsidRPr="002D7F73" w:rsidRDefault="002D7F73" w:rsidP="002D7F73">
            <w:pPr>
              <w:jc w:val="both"/>
              <w:rPr>
                <w:rFonts w:cstheme="minorHAnsi"/>
                <w:sz w:val="24"/>
                <w:szCs w:val="24"/>
              </w:rPr>
            </w:pPr>
            <w:proofErr w:type="spellStart"/>
            <w:r w:rsidRPr="002D7F73">
              <w:rPr>
                <w:rFonts w:cstheme="minorHAnsi"/>
                <w:sz w:val="24"/>
                <w:szCs w:val="24"/>
              </w:rPr>
              <w:t>Dimirley</w:t>
            </w:r>
            <w:proofErr w:type="spellEnd"/>
            <w:r w:rsidRPr="002D7F73">
              <w:rPr>
                <w:rFonts w:cstheme="minorHAnsi"/>
                <w:sz w:val="24"/>
                <w:szCs w:val="24"/>
              </w:rPr>
              <w:t xml:space="preserve"> </w:t>
            </w:r>
            <w:proofErr w:type="spellStart"/>
            <w:r w:rsidRPr="002D7F73">
              <w:rPr>
                <w:rFonts w:cstheme="minorHAnsi"/>
                <w:sz w:val="24"/>
                <w:szCs w:val="24"/>
              </w:rPr>
              <w:t>Mamiam</w:t>
            </w:r>
            <w:proofErr w:type="spellEnd"/>
          </w:p>
        </w:tc>
        <w:tc>
          <w:tcPr>
            <w:tcW w:w="1760" w:type="dxa"/>
            <w:tcBorders>
              <w:bottom w:val="single" w:sz="4" w:space="0" w:color="auto"/>
              <w:right w:val="single" w:sz="4" w:space="0" w:color="auto"/>
            </w:tcBorders>
            <w:shd w:val="clear" w:color="auto" w:fill="FFFFFF"/>
            <w:noWrap/>
            <w:vAlign w:val="bottom"/>
            <w:hideMark/>
          </w:tcPr>
          <w:p w14:paraId="4493C045" w14:textId="77777777" w:rsidR="002D7F73" w:rsidRPr="002D7F73" w:rsidRDefault="002D7F73" w:rsidP="002D7F73">
            <w:pPr>
              <w:jc w:val="both"/>
              <w:rPr>
                <w:rFonts w:cstheme="minorHAnsi"/>
                <w:sz w:val="24"/>
                <w:szCs w:val="24"/>
              </w:rPr>
            </w:pPr>
            <w:r w:rsidRPr="002D7F73">
              <w:rPr>
                <w:rFonts w:cstheme="minorHAnsi"/>
                <w:sz w:val="24"/>
                <w:szCs w:val="24"/>
              </w:rPr>
              <w:t>Víctima /hermano</w:t>
            </w:r>
          </w:p>
        </w:tc>
        <w:tc>
          <w:tcPr>
            <w:tcW w:w="2680" w:type="dxa"/>
            <w:tcBorders>
              <w:bottom w:val="single" w:sz="4" w:space="0" w:color="auto"/>
              <w:right w:val="single" w:sz="4" w:space="0" w:color="auto"/>
            </w:tcBorders>
            <w:shd w:val="clear" w:color="auto" w:fill="FFFFFF"/>
            <w:noWrap/>
            <w:vAlign w:val="center"/>
            <w:hideMark/>
          </w:tcPr>
          <w:p w14:paraId="7343E6B6" w14:textId="77777777" w:rsidR="002D7F73" w:rsidRPr="002D7F73" w:rsidRDefault="002D7F73" w:rsidP="002D7F73">
            <w:pPr>
              <w:jc w:val="both"/>
              <w:rPr>
                <w:rFonts w:cstheme="minorHAnsi"/>
                <w:sz w:val="24"/>
                <w:szCs w:val="24"/>
              </w:rPr>
            </w:pPr>
            <w:r w:rsidRPr="002D7F73">
              <w:rPr>
                <w:rFonts w:cstheme="minorHAnsi"/>
                <w:sz w:val="24"/>
                <w:szCs w:val="24"/>
              </w:rPr>
              <w:t>15</w:t>
            </w:r>
          </w:p>
        </w:tc>
        <w:tc>
          <w:tcPr>
            <w:tcW w:w="2440" w:type="dxa"/>
            <w:tcBorders>
              <w:bottom w:val="single" w:sz="4" w:space="0" w:color="auto"/>
              <w:right w:val="single" w:sz="4" w:space="0" w:color="auto"/>
            </w:tcBorders>
            <w:shd w:val="clear" w:color="auto" w:fill="FFFFFF"/>
            <w:noWrap/>
            <w:vAlign w:val="center"/>
            <w:hideMark/>
          </w:tcPr>
          <w:p w14:paraId="0EF6D78B" w14:textId="77777777" w:rsidR="002D7F73" w:rsidRPr="002D7F73" w:rsidRDefault="002D7F73" w:rsidP="002D7F73">
            <w:pPr>
              <w:jc w:val="both"/>
              <w:rPr>
                <w:rFonts w:cstheme="minorHAnsi"/>
                <w:sz w:val="24"/>
                <w:szCs w:val="24"/>
              </w:rPr>
            </w:pPr>
            <w:r w:rsidRPr="002D7F73">
              <w:rPr>
                <w:rFonts w:cstheme="minorHAnsi"/>
                <w:sz w:val="24"/>
                <w:szCs w:val="24"/>
              </w:rPr>
              <w:t>10</w:t>
            </w:r>
          </w:p>
        </w:tc>
      </w:tr>
      <w:tr w:rsidR="002D7F73" w:rsidRPr="002D7F73" w14:paraId="1C807223" w14:textId="77777777">
        <w:trPr>
          <w:trHeight w:val="225"/>
        </w:trPr>
        <w:tc>
          <w:tcPr>
            <w:tcW w:w="460" w:type="dxa"/>
            <w:tcBorders>
              <w:left w:val="single" w:sz="4" w:space="0" w:color="auto"/>
              <w:bottom w:val="single" w:sz="4" w:space="0" w:color="auto"/>
              <w:right w:val="single" w:sz="4" w:space="0" w:color="auto"/>
            </w:tcBorders>
            <w:shd w:val="clear" w:color="auto" w:fill="FFFFFF"/>
            <w:noWrap/>
            <w:vAlign w:val="bottom"/>
            <w:hideMark/>
          </w:tcPr>
          <w:p w14:paraId="5969544C" w14:textId="77777777" w:rsidR="002D7F73" w:rsidRPr="002D7F73" w:rsidRDefault="002D7F73" w:rsidP="002D7F73">
            <w:pPr>
              <w:jc w:val="both"/>
              <w:rPr>
                <w:rFonts w:cstheme="minorHAnsi"/>
                <w:sz w:val="24"/>
                <w:szCs w:val="24"/>
              </w:rPr>
            </w:pPr>
            <w:r w:rsidRPr="002D7F73">
              <w:rPr>
                <w:rFonts w:cstheme="minorHAnsi"/>
                <w:sz w:val="24"/>
                <w:szCs w:val="24"/>
              </w:rPr>
              <w:t>28</w:t>
            </w:r>
          </w:p>
        </w:tc>
        <w:tc>
          <w:tcPr>
            <w:tcW w:w="2340" w:type="dxa"/>
            <w:tcBorders>
              <w:bottom w:val="single" w:sz="4" w:space="0" w:color="auto"/>
              <w:right w:val="single" w:sz="4" w:space="0" w:color="auto"/>
            </w:tcBorders>
            <w:shd w:val="clear" w:color="auto" w:fill="FFFFFF"/>
            <w:noWrap/>
            <w:vAlign w:val="bottom"/>
            <w:hideMark/>
          </w:tcPr>
          <w:p w14:paraId="38D3BDB4" w14:textId="77777777" w:rsidR="002D7F73" w:rsidRPr="002D7F73" w:rsidRDefault="002D7F73" w:rsidP="002D7F73">
            <w:pPr>
              <w:jc w:val="both"/>
              <w:rPr>
                <w:rFonts w:cstheme="minorHAnsi"/>
                <w:sz w:val="24"/>
                <w:szCs w:val="24"/>
              </w:rPr>
            </w:pPr>
            <w:r w:rsidRPr="002D7F73">
              <w:rPr>
                <w:rFonts w:cstheme="minorHAnsi"/>
                <w:sz w:val="24"/>
                <w:szCs w:val="24"/>
              </w:rPr>
              <w:t xml:space="preserve">Leonilde </w:t>
            </w:r>
            <w:proofErr w:type="spellStart"/>
            <w:r w:rsidRPr="002D7F73">
              <w:rPr>
                <w:rFonts w:cstheme="minorHAnsi"/>
                <w:sz w:val="24"/>
                <w:szCs w:val="24"/>
              </w:rPr>
              <w:t>Mamiam</w:t>
            </w:r>
            <w:proofErr w:type="spellEnd"/>
          </w:p>
        </w:tc>
        <w:tc>
          <w:tcPr>
            <w:tcW w:w="1760" w:type="dxa"/>
            <w:tcBorders>
              <w:bottom w:val="single" w:sz="4" w:space="0" w:color="auto"/>
              <w:right w:val="single" w:sz="4" w:space="0" w:color="auto"/>
            </w:tcBorders>
            <w:shd w:val="clear" w:color="auto" w:fill="FFFFFF"/>
            <w:noWrap/>
            <w:vAlign w:val="bottom"/>
            <w:hideMark/>
          </w:tcPr>
          <w:p w14:paraId="2E2170EB" w14:textId="77777777" w:rsidR="002D7F73" w:rsidRPr="002D7F73" w:rsidRDefault="002D7F73" w:rsidP="002D7F73">
            <w:pPr>
              <w:jc w:val="both"/>
              <w:rPr>
                <w:rFonts w:cstheme="minorHAnsi"/>
                <w:sz w:val="24"/>
                <w:szCs w:val="24"/>
              </w:rPr>
            </w:pPr>
            <w:r w:rsidRPr="002D7F73">
              <w:rPr>
                <w:rFonts w:cstheme="minorHAnsi"/>
                <w:sz w:val="24"/>
                <w:szCs w:val="24"/>
              </w:rPr>
              <w:t>abuela</w:t>
            </w:r>
          </w:p>
        </w:tc>
        <w:tc>
          <w:tcPr>
            <w:tcW w:w="2680" w:type="dxa"/>
            <w:tcBorders>
              <w:bottom w:val="single" w:sz="4" w:space="0" w:color="auto"/>
              <w:right w:val="single" w:sz="4" w:space="0" w:color="auto"/>
            </w:tcBorders>
            <w:shd w:val="clear" w:color="auto" w:fill="FFFFFF"/>
            <w:noWrap/>
            <w:vAlign w:val="center"/>
            <w:hideMark/>
          </w:tcPr>
          <w:p w14:paraId="53F5A8A2" w14:textId="77777777" w:rsidR="002D7F73" w:rsidRPr="002D7F73" w:rsidRDefault="002D7F73" w:rsidP="002D7F73">
            <w:pPr>
              <w:jc w:val="both"/>
              <w:rPr>
                <w:rFonts w:cstheme="minorHAnsi"/>
                <w:sz w:val="24"/>
                <w:szCs w:val="24"/>
              </w:rPr>
            </w:pPr>
            <w:r w:rsidRPr="002D7F73">
              <w:rPr>
                <w:rFonts w:cstheme="minorHAnsi"/>
                <w:sz w:val="24"/>
                <w:szCs w:val="24"/>
              </w:rPr>
              <w:t>10</w:t>
            </w:r>
          </w:p>
        </w:tc>
        <w:tc>
          <w:tcPr>
            <w:tcW w:w="2440" w:type="dxa"/>
            <w:tcBorders>
              <w:bottom w:val="single" w:sz="4" w:space="0" w:color="auto"/>
              <w:right w:val="single" w:sz="4" w:space="0" w:color="auto"/>
            </w:tcBorders>
            <w:shd w:val="clear" w:color="auto" w:fill="FFFFFF"/>
            <w:noWrap/>
            <w:vAlign w:val="center"/>
            <w:hideMark/>
          </w:tcPr>
          <w:p w14:paraId="125330B6" w14:textId="77777777" w:rsidR="002D7F73" w:rsidRPr="002D7F73" w:rsidRDefault="002D7F73" w:rsidP="002D7F73">
            <w:pPr>
              <w:jc w:val="both"/>
              <w:rPr>
                <w:rFonts w:cstheme="minorHAnsi"/>
                <w:sz w:val="24"/>
                <w:szCs w:val="24"/>
              </w:rPr>
            </w:pPr>
            <w:r w:rsidRPr="002D7F73">
              <w:rPr>
                <w:rFonts w:cstheme="minorHAnsi"/>
                <w:sz w:val="24"/>
                <w:szCs w:val="24"/>
              </w:rPr>
              <w:t>0</w:t>
            </w:r>
          </w:p>
        </w:tc>
      </w:tr>
      <w:tr w:rsidR="002D7F73" w:rsidRPr="002D7F73" w14:paraId="155E69B3" w14:textId="77777777">
        <w:trPr>
          <w:trHeight w:val="225"/>
        </w:trPr>
        <w:tc>
          <w:tcPr>
            <w:tcW w:w="460" w:type="dxa"/>
            <w:tcBorders>
              <w:left w:val="single" w:sz="4" w:space="0" w:color="auto"/>
              <w:bottom w:val="single" w:sz="4" w:space="0" w:color="auto"/>
              <w:right w:val="single" w:sz="4" w:space="0" w:color="auto"/>
            </w:tcBorders>
            <w:shd w:val="clear" w:color="auto" w:fill="FFFFFF"/>
            <w:noWrap/>
            <w:vAlign w:val="bottom"/>
            <w:hideMark/>
          </w:tcPr>
          <w:p w14:paraId="06A76F27" w14:textId="77777777" w:rsidR="002D7F73" w:rsidRPr="002D7F73" w:rsidRDefault="002D7F73" w:rsidP="002D7F73">
            <w:pPr>
              <w:jc w:val="both"/>
              <w:rPr>
                <w:rFonts w:cstheme="minorHAnsi"/>
                <w:sz w:val="24"/>
                <w:szCs w:val="24"/>
              </w:rPr>
            </w:pPr>
            <w:r w:rsidRPr="002D7F73">
              <w:rPr>
                <w:rFonts w:cstheme="minorHAnsi"/>
                <w:sz w:val="24"/>
                <w:szCs w:val="24"/>
              </w:rPr>
              <w:t>29</w:t>
            </w:r>
          </w:p>
        </w:tc>
        <w:tc>
          <w:tcPr>
            <w:tcW w:w="2340" w:type="dxa"/>
            <w:tcBorders>
              <w:bottom w:val="single" w:sz="4" w:space="0" w:color="auto"/>
              <w:right w:val="single" w:sz="4" w:space="0" w:color="auto"/>
            </w:tcBorders>
            <w:shd w:val="clear" w:color="auto" w:fill="FFFFFF"/>
            <w:noWrap/>
            <w:vAlign w:val="bottom"/>
            <w:hideMark/>
          </w:tcPr>
          <w:p w14:paraId="605FD4C0" w14:textId="77777777" w:rsidR="002D7F73" w:rsidRPr="002D7F73" w:rsidRDefault="002D7F73" w:rsidP="002D7F73">
            <w:pPr>
              <w:jc w:val="both"/>
              <w:rPr>
                <w:rFonts w:cstheme="minorHAnsi"/>
                <w:sz w:val="24"/>
                <w:szCs w:val="24"/>
              </w:rPr>
            </w:pPr>
            <w:r w:rsidRPr="002D7F73">
              <w:rPr>
                <w:rFonts w:cstheme="minorHAnsi"/>
                <w:sz w:val="24"/>
                <w:szCs w:val="24"/>
              </w:rPr>
              <w:t xml:space="preserve">Paula </w:t>
            </w:r>
            <w:proofErr w:type="spellStart"/>
            <w:r w:rsidRPr="002D7F73">
              <w:rPr>
                <w:rFonts w:cstheme="minorHAnsi"/>
                <w:sz w:val="24"/>
                <w:szCs w:val="24"/>
              </w:rPr>
              <w:t>Mamiam</w:t>
            </w:r>
            <w:proofErr w:type="spellEnd"/>
          </w:p>
        </w:tc>
        <w:tc>
          <w:tcPr>
            <w:tcW w:w="1760" w:type="dxa"/>
            <w:tcBorders>
              <w:bottom w:val="single" w:sz="4" w:space="0" w:color="auto"/>
              <w:right w:val="single" w:sz="4" w:space="0" w:color="auto"/>
            </w:tcBorders>
            <w:shd w:val="clear" w:color="auto" w:fill="FFFFFF"/>
            <w:noWrap/>
            <w:vAlign w:val="bottom"/>
            <w:hideMark/>
          </w:tcPr>
          <w:p w14:paraId="5771C2AF" w14:textId="77777777" w:rsidR="002D7F73" w:rsidRPr="002D7F73" w:rsidRDefault="002D7F73" w:rsidP="002D7F73">
            <w:pPr>
              <w:jc w:val="both"/>
              <w:rPr>
                <w:rFonts w:cstheme="minorHAnsi"/>
                <w:sz w:val="24"/>
                <w:szCs w:val="24"/>
              </w:rPr>
            </w:pPr>
            <w:r w:rsidRPr="002D7F73">
              <w:rPr>
                <w:rFonts w:cstheme="minorHAnsi"/>
                <w:sz w:val="24"/>
                <w:szCs w:val="24"/>
              </w:rPr>
              <w:t>hermana</w:t>
            </w:r>
          </w:p>
        </w:tc>
        <w:tc>
          <w:tcPr>
            <w:tcW w:w="2680" w:type="dxa"/>
            <w:tcBorders>
              <w:bottom w:val="single" w:sz="4" w:space="0" w:color="auto"/>
              <w:right w:val="single" w:sz="4" w:space="0" w:color="auto"/>
            </w:tcBorders>
            <w:shd w:val="clear" w:color="auto" w:fill="FFFFFF"/>
            <w:noWrap/>
            <w:vAlign w:val="center"/>
            <w:hideMark/>
          </w:tcPr>
          <w:p w14:paraId="424693DB" w14:textId="77777777" w:rsidR="002D7F73" w:rsidRPr="002D7F73" w:rsidRDefault="002D7F73" w:rsidP="002D7F73">
            <w:pPr>
              <w:jc w:val="both"/>
              <w:rPr>
                <w:rFonts w:cstheme="minorHAnsi"/>
                <w:sz w:val="24"/>
                <w:szCs w:val="24"/>
              </w:rPr>
            </w:pPr>
            <w:r w:rsidRPr="002D7F73">
              <w:rPr>
                <w:rFonts w:cstheme="minorHAnsi"/>
                <w:sz w:val="24"/>
                <w:szCs w:val="24"/>
              </w:rPr>
              <w:t>10</w:t>
            </w:r>
          </w:p>
        </w:tc>
        <w:tc>
          <w:tcPr>
            <w:tcW w:w="2440" w:type="dxa"/>
            <w:tcBorders>
              <w:bottom w:val="single" w:sz="4" w:space="0" w:color="auto"/>
              <w:right w:val="single" w:sz="4" w:space="0" w:color="auto"/>
            </w:tcBorders>
            <w:shd w:val="clear" w:color="auto" w:fill="FFFFFF"/>
            <w:noWrap/>
            <w:vAlign w:val="center"/>
            <w:hideMark/>
          </w:tcPr>
          <w:p w14:paraId="28A3220F" w14:textId="77777777" w:rsidR="002D7F73" w:rsidRPr="002D7F73" w:rsidRDefault="002D7F73" w:rsidP="002D7F73">
            <w:pPr>
              <w:jc w:val="both"/>
              <w:rPr>
                <w:rFonts w:cstheme="minorHAnsi"/>
                <w:sz w:val="24"/>
                <w:szCs w:val="24"/>
              </w:rPr>
            </w:pPr>
            <w:r w:rsidRPr="002D7F73">
              <w:rPr>
                <w:rFonts w:cstheme="minorHAnsi"/>
                <w:sz w:val="24"/>
                <w:szCs w:val="24"/>
              </w:rPr>
              <w:t>0</w:t>
            </w:r>
          </w:p>
        </w:tc>
      </w:tr>
      <w:tr w:rsidR="002D7F73" w:rsidRPr="002D7F73" w14:paraId="52CA56B3" w14:textId="77777777">
        <w:trPr>
          <w:trHeight w:val="225"/>
        </w:trPr>
        <w:tc>
          <w:tcPr>
            <w:tcW w:w="460" w:type="dxa"/>
            <w:tcBorders>
              <w:left w:val="single" w:sz="4" w:space="0" w:color="auto"/>
              <w:bottom w:val="single" w:sz="4" w:space="0" w:color="auto"/>
              <w:right w:val="single" w:sz="4" w:space="0" w:color="auto"/>
            </w:tcBorders>
            <w:shd w:val="clear" w:color="auto" w:fill="FFFFFF"/>
            <w:noWrap/>
            <w:vAlign w:val="bottom"/>
            <w:hideMark/>
          </w:tcPr>
          <w:p w14:paraId="6209C01B" w14:textId="77777777" w:rsidR="002D7F73" w:rsidRPr="002D7F73" w:rsidRDefault="002D7F73" w:rsidP="002D7F73">
            <w:pPr>
              <w:jc w:val="both"/>
              <w:rPr>
                <w:rFonts w:cstheme="minorHAnsi"/>
                <w:sz w:val="24"/>
                <w:szCs w:val="24"/>
              </w:rPr>
            </w:pPr>
            <w:r w:rsidRPr="002D7F73">
              <w:rPr>
                <w:rFonts w:cstheme="minorHAnsi"/>
                <w:sz w:val="24"/>
                <w:szCs w:val="24"/>
              </w:rPr>
              <w:t>30</w:t>
            </w:r>
          </w:p>
        </w:tc>
        <w:tc>
          <w:tcPr>
            <w:tcW w:w="2340" w:type="dxa"/>
            <w:tcBorders>
              <w:bottom w:val="single" w:sz="4" w:space="0" w:color="auto"/>
              <w:right w:val="single" w:sz="4" w:space="0" w:color="auto"/>
            </w:tcBorders>
            <w:shd w:val="clear" w:color="auto" w:fill="FFFFFF"/>
            <w:noWrap/>
            <w:vAlign w:val="bottom"/>
            <w:hideMark/>
          </w:tcPr>
          <w:p w14:paraId="2B1BC1F9" w14:textId="77777777" w:rsidR="002D7F73" w:rsidRPr="002D7F73" w:rsidRDefault="002D7F73" w:rsidP="002D7F73">
            <w:pPr>
              <w:jc w:val="both"/>
              <w:rPr>
                <w:rFonts w:cstheme="minorHAnsi"/>
                <w:sz w:val="24"/>
                <w:szCs w:val="24"/>
              </w:rPr>
            </w:pPr>
            <w:r w:rsidRPr="002D7F73">
              <w:rPr>
                <w:rFonts w:cstheme="minorHAnsi"/>
                <w:sz w:val="24"/>
                <w:szCs w:val="24"/>
              </w:rPr>
              <w:t xml:space="preserve">Andrés </w:t>
            </w:r>
            <w:proofErr w:type="spellStart"/>
            <w:r w:rsidRPr="002D7F73">
              <w:rPr>
                <w:rFonts w:cstheme="minorHAnsi"/>
                <w:sz w:val="24"/>
                <w:szCs w:val="24"/>
              </w:rPr>
              <w:t>Mojomboy</w:t>
            </w:r>
            <w:proofErr w:type="spellEnd"/>
          </w:p>
        </w:tc>
        <w:tc>
          <w:tcPr>
            <w:tcW w:w="1760" w:type="dxa"/>
            <w:tcBorders>
              <w:bottom w:val="single" w:sz="4" w:space="0" w:color="auto"/>
              <w:right w:val="single" w:sz="4" w:space="0" w:color="auto"/>
            </w:tcBorders>
            <w:shd w:val="clear" w:color="auto" w:fill="FFFFFF"/>
            <w:noWrap/>
            <w:vAlign w:val="bottom"/>
            <w:hideMark/>
          </w:tcPr>
          <w:p w14:paraId="62ED3217" w14:textId="77777777" w:rsidR="002D7F73" w:rsidRPr="002D7F73" w:rsidRDefault="002D7F73" w:rsidP="002D7F73">
            <w:pPr>
              <w:jc w:val="both"/>
              <w:rPr>
                <w:rFonts w:cstheme="minorHAnsi"/>
                <w:sz w:val="24"/>
                <w:szCs w:val="24"/>
              </w:rPr>
            </w:pPr>
            <w:r w:rsidRPr="002D7F73">
              <w:rPr>
                <w:rFonts w:cstheme="minorHAnsi"/>
                <w:sz w:val="24"/>
                <w:szCs w:val="24"/>
              </w:rPr>
              <w:t>hermano</w:t>
            </w:r>
          </w:p>
        </w:tc>
        <w:tc>
          <w:tcPr>
            <w:tcW w:w="2680" w:type="dxa"/>
            <w:tcBorders>
              <w:bottom w:val="single" w:sz="4" w:space="0" w:color="auto"/>
              <w:right w:val="single" w:sz="4" w:space="0" w:color="auto"/>
            </w:tcBorders>
            <w:shd w:val="clear" w:color="auto" w:fill="FFFFFF"/>
            <w:noWrap/>
            <w:vAlign w:val="center"/>
            <w:hideMark/>
          </w:tcPr>
          <w:p w14:paraId="40A784E1" w14:textId="77777777" w:rsidR="002D7F73" w:rsidRPr="002D7F73" w:rsidRDefault="002D7F73" w:rsidP="002D7F73">
            <w:pPr>
              <w:jc w:val="both"/>
              <w:rPr>
                <w:rFonts w:cstheme="minorHAnsi"/>
                <w:sz w:val="24"/>
                <w:szCs w:val="24"/>
              </w:rPr>
            </w:pPr>
            <w:r w:rsidRPr="002D7F73">
              <w:rPr>
                <w:rFonts w:cstheme="minorHAnsi"/>
                <w:sz w:val="24"/>
                <w:szCs w:val="24"/>
              </w:rPr>
              <w:t>10</w:t>
            </w:r>
          </w:p>
        </w:tc>
        <w:tc>
          <w:tcPr>
            <w:tcW w:w="2440" w:type="dxa"/>
            <w:tcBorders>
              <w:bottom w:val="single" w:sz="4" w:space="0" w:color="auto"/>
              <w:right w:val="single" w:sz="4" w:space="0" w:color="auto"/>
            </w:tcBorders>
            <w:shd w:val="clear" w:color="auto" w:fill="FFFFFF"/>
            <w:noWrap/>
            <w:vAlign w:val="center"/>
            <w:hideMark/>
          </w:tcPr>
          <w:p w14:paraId="75A1947C" w14:textId="77777777" w:rsidR="002D7F73" w:rsidRPr="002D7F73" w:rsidRDefault="002D7F73" w:rsidP="002D7F73">
            <w:pPr>
              <w:jc w:val="both"/>
              <w:rPr>
                <w:rFonts w:cstheme="minorHAnsi"/>
                <w:sz w:val="24"/>
                <w:szCs w:val="24"/>
              </w:rPr>
            </w:pPr>
            <w:r w:rsidRPr="002D7F73">
              <w:rPr>
                <w:rFonts w:cstheme="minorHAnsi"/>
                <w:sz w:val="24"/>
                <w:szCs w:val="24"/>
              </w:rPr>
              <w:t>0</w:t>
            </w:r>
          </w:p>
        </w:tc>
      </w:tr>
      <w:tr w:rsidR="002D7F73" w:rsidRPr="002D7F73" w14:paraId="0B5FA1AF" w14:textId="77777777">
        <w:trPr>
          <w:trHeight w:val="450"/>
        </w:trPr>
        <w:tc>
          <w:tcPr>
            <w:tcW w:w="460" w:type="dxa"/>
            <w:tcBorders>
              <w:left w:val="single" w:sz="4" w:space="0" w:color="auto"/>
              <w:bottom w:val="single" w:sz="4" w:space="0" w:color="auto"/>
              <w:right w:val="single" w:sz="4" w:space="0" w:color="auto"/>
            </w:tcBorders>
            <w:shd w:val="clear" w:color="auto" w:fill="FFFFFF"/>
            <w:noWrap/>
            <w:vAlign w:val="bottom"/>
            <w:hideMark/>
          </w:tcPr>
          <w:p w14:paraId="376D0265" w14:textId="0CBBA22F" w:rsidR="002D7F73" w:rsidRPr="002D7F73" w:rsidRDefault="002D7F73" w:rsidP="002D7F73">
            <w:pPr>
              <w:jc w:val="both"/>
              <w:rPr>
                <w:rFonts w:cstheme="minorHAnsi"/>
                <w:sz w:val="24"/>
                <w:szCs w:val="24"/>
              </w:rPr>
            </w:pPr>
          </w:p>
        </w:tc>
        <w:tc>
          <w:tcPr>
            <w:tcW w:w="2340" w:type="dxa"/>
            <w:tcBorders>
              <w:bottom w:val="single" w:sz="4" w:space="0" w:color="auto"/>
              <w:right w:val="single" w:sz="4" w:space="0" w:color="auto"/>
            </w:tcBorders>
            <w:shd w:val="clear" w:color="auto" w:fill="D0D0D0"/>
            <w:vAlign w:val="bottom"/>
            <w:hideMark/>
          </w:tcPr>
          <w:p w14:paraId="6C01AFB6" w14:textId="77777777" w:rsidR="002D7F73" w:rsidRPr="002D7F73" w:rsidRDefault="002D7F73" w:rsidP="002D7F73">
            <w:pPr>
              <w:jc w:val="both"/>
              <w:rPr>
                <w:rFonts w:cstheme="minorHAnsi"/>
                <w:sz w:val="24"/>
                <w:szCs w:val="24"/>
              </w:rPr>
            </w:pPr>
            <w:r w:rsidRPr="002D7F73">
              <w:rPr>
                <w:rFonts w:cstheme="minorHAnsi"/>
                <w:sz w:val="24"/>
                <w:szCs w:val="24"/>
              </w:rPr>
              <w:t xml:space="preserve">Séptimo Grupo (Lesión de Juan Pablo </w:t>
            </w:r>
            <w:proofErr w:type="spellStart"/>
            <w:r w:rsidRPr="002D7F73">
              <w:rPr>
                <w:rFonts w:cstheme="minorHAnsi"/>
                <w:sz w:val="24"/>
                <w:szCs w:val="24"/>
              </w:rPr>
              <w:t>Chocué</w:t>
            </w:r>
            <w:proofErr w:type="spellEnd"/>
            <w:r w:rsidRPr="002D7F73">
              <w:rPr>
                <w:rFonts w:cstheme="minorHAnsi"/>
                <w:sz w:val="24"/>
                <w:szCs w:val="24"/>
              </w:rPr>
              <w:t>)</w:t>
            </w:r>
          </w:p>
        </w:tc>
        <w:tc>
          <w:tcPr>
            <w:tcW w:w="6880" w:type="dxa"/>
            <w:gridSpan w:val="3"/>
            <w:tcBorders>
              <w:top w:val="single" w:sz="4" w:space="0" w:color="auto"/>
              <w:bottom w:val="single" w:sz="4" w:space="0" w:color="auto"/>
              <w:right w:val="single" w:sz="4" w:space="0" w:color="auto"/>
            </w:tcBorders>
            <w:shd w:val="clear" w:color="auto" w:fill="FFFFFF"/>
            <w:noWrap/>
            <w:vAlign w:val="bottom"/>
            <w:hideMark/>
          </w:tcPr>
          <w:p w14:paraId="17BEBCD9" w14:textId="154991A9" w:rsidR="002D7F73" w:rsidRPr="002D7F73" w:rsidRDefault="002D7F73" w:rsidP="002D7F73">
            <w:pPr>
              <w:jc w:val="both"/>
              <w:rPr>
                <w:rFonts w:cstheme="minorHAnsi"/>
                <w:sz w:val="24"/>
                <w:szCs w:val="24"/>
              </w:rPr>
            </w:pPr>
          </w:p>
        </w:tc>
      </w:tr>
      <w:tr w:rsidR="002D7F73" w:rsidRPr="002D7F73" w14:paraId="0FC4B0B7" w14:textId="77777777">
        <w:trPr>
          <w:trHeight w:val="225"/>
        </w:trPr>
        <w:tc>
          <w:tcPr>
            <w:tcW w:w="460" w:type="dxa"/>
            <w:tcBorders>
              <w:left w:val="single" w:sz="4" w:space="0" w:color="auto"/>
              <w:bottom w:val="single" w:sz="4" w:space="0" w:color="auto"/>
              <w:right w:val="single" w:sz="4" w:space="0" w:color="auto"/>
            </w:tcBorders>
            <w:shd w:val="clear" w:color="auto" w:fill="FFFFFF"/>
            <w:noWrap/>
            <w:vAlign w:val="bottom"/>
            <w:hideMark/>
          </w:tcPr>
          <w:p w14:paraId="6ECA69AC" w14:textId="77777777" w:rsidR="002D7F73" w:rsidRPr="002D7F73" w:rsidRDefault="002D7F73" w:rsidP="002D7F73">
            <w:pPr>
              <w:jc w:val="both"/>
              <w:rPr>
                <w:rFonts w:cstheme="minorHAnsi"/>
                <w:sz w:val="24"/>
                <w:szCs w:val="24"/>
              </w:rPr>
            </w:pPr>
            <w:r w:rsidRPr="002D7F73">
              <w:rPr>
                <w:rFonts w:cstheme="minorHAnsi"/>
                <w:sz w:val="24"/>
                <w:szCs w:val="24"/>
              </w:rPr>
              <w:t>31</w:t>
            </w:r>
          </w:p>
        </w:tc>
        <w:tc>
          <w:tcPr>
            <w:tcW w:w="2340" w:type="dxa"/>
            <w:tcBorders>
              <w:bottom w:val="single" w:sz="4" w:space="0" w:color="auto"/>
              <w:right w:val="single" w:sz="4" w:space="0" w:color="auto"/>
            </w:tcBorders>
            <w:shd w:val="clear" w:color="auto" w:fill="FFFFFF"/>
            <w:noWrap/>
            <w:vAlign w:val="bottom"/>
            <w:hideMark/>
          </w:tcPr>
          <w:p w14:paraId="6644E70A" w14:textId="77777777" w:rsidR="002D7F73" w:rsidRPr="002D7F73" w:rsidRDefault="002D7F73" w:rsidP="002D7F73">
            <w:pPr>
              <w:jc w:val="both"/>
              <w:rPr>
                <w:rFonts w:cstheme="minorHAnsi"/>
                <w:sz w:val="24"/>
                <w:szCs w:val="24"/>
              </w:rPr>
            </w:pPr>
            <w:r w:rsidRPr="002D7F73">
              <w:rPr>
                <w:rFonts w:cstheme="minorHAnsi"/>
                <w:sz w:val="24"/>
                <w:szCs w:val="24"/>
              </w:rPr>
              <w:t xml:space="preserve">Albeiro </w:t>
            </w:r>
            <w:proofErr w:type="spellStart"/>
            <w:r w:rsidRPr="002D7F73">
              <w:rPr>
                <w:rFonts w:cstheme="minorHAnsi"/>
                <w:sz w:val="24"/>
                <w:szCs w:val="24"/>
              </w:rPr>
              <w:t>Chocué</w:t>
            </w:r>
            <w:proofErr w:type="spellEnd"/>
          </w:p>
        </w:tc>
        <w:tc>
          <w:tcPr>
            <w:tcW w:w="1760" w:type="dxa"/>
            <w:tcBorders>
              <w:bottom w:val="single" w:sz="4" w:space="0" w:color="auto"/>
              <w:right w:val="single" w:sz="4" w:space="0" w:color="auto"/>
            </w:tcBorders>
            <w:shd w:val="clear" w:color="auto" w:fill="FFFFFF"/>
            <w:noWrap/>
            <w:vAlign w:val="bottom"/>
            <w:hideMark/>
          </w:tcPr>
          <w:p w14:paraId="7C6058B3" w14:textId="77777777" w:rsidR="002D7F73" w:rsidRPr="002D7F73" w:rsidRDefault="002D7F73" w:rsidP="002D7F73">
            <w:pPr>
              <w:jc w:val="both"/>
              <w:rPr>
                <w:rFonts w:cstheme="minorHAnsi"/>
                <w:sz w:val="24"/>
                <w:szCs w:val="24"/>
              </w:rPr>
            </w:pPr>
            <w:r w:rsidRPr="002D7F73">
              <w:rPr>
                <w:rFonts w:cstheme="minorHAnsi"/>
                <w:sz w:val="24"/>
                <w:szCs w:val="24"/>
              </w:rPr>
              <w:t>padre</w:t>
            </w:r>
          </w:p>
        </w:tc>
        <w:tc>
          <w:tcPr>
            <w:tcW w:w="2680" w:type="dxa"/>
            <w:tcBorders>
              <w:bottom w:val="single" w:sz="4" w:space="0" w:color="auto"/>
              <w:right w:val="single" w:sz="4" w:space="0" w:color="auto"/>
            </w:tcBorders>
            <w:shd w:val="clear" w:color="auto" w:fill="FFFFFF"/>
            <w:noWrap/>
            <w:vAlign w:val="center"/>
            <w:hideMark/>
          </w:tcPr>
          <w:p w14:paraId="1737C4B7" w14:textId="77777777" w:rsidR="002D7F73" w:rsidRPr="002D7F73" w:rsidRDefault="002D7F73" w:rsidP="002D7F73">
            <w:pPr>
              <w:jc w:val="both"/>
              <w:rPr>
                <w:rFonts w:cstheme="minorHAnsi"/>
                <w:sz w:val="24"/>
                <w:szCs w:val="24"/>
              </w:rPr>
            </w:pPr>
            <w:r w:rsidRPr="002D7F73">
              <w:rPr>
                <w:rFonts w:cstheme="minorHAnsi"/>
                <w:sz w:val="24"/>
                <w:szCs w:val="24"/>
              </w:rPr>
              <w:t>10</w:t>
            </w:r>
          </w:p>
        </w:tc>
        <w:tc>
          <w:tcPr>
            <w:tcW w:w="2440" w:type="dxa"/>
            <w:tcBorders>
              <w:bottom w:val="single" w:sz="4" w:space="0" w:color="auto"/>
              <w:right w:val="single" w:sz="4" w:space="0" w:color="auto"/>
            </w:tcBorders>
            <w:shd w:val="clear" w:color="auto" w:fill="FFFFFF"/>
            <w:noWrap/>
            <w:vAlign w:val="center"/>
            <w:hideMark/>
          </w:tcPr>
          <w:p w14:paraId="5182535B" w14:textId="77777777" w:rsidR="002D7F73" w:rsidRPr="002D7F73" w:rsidRDefault="002D7F73" w:rsidP="002D7F73">
            <w:pPr>
              <w:jc w:val="both"/>
              <w:rPr>
                <w:rFonts w:cstheme="minorHAnsi"/>
                <w:sz w:val="24"/>
                <w:szCs w:val="24"/>
              </w:rPr>
            </w:pPr>
            <w:r w:rsidRPr="002D7F73">
              <w:rPr>
                <w:rFonts w:cstheme="minorHAnsi"/>
                <w:sz w:val="24"/>
                <w:szCs w:val="24"/>
              </w:rPr>
              <w:t>0</w:t>
            </w:r>
          </w:p>
        </w:tc>
      </w:tr>
      <w:tr w:rsidR="002D7F73" w:rsidRPr="002D7F73" w14:paraId="208C441F" w14:textId="77777777">
        <w:trPr>
          <w:trHeight w:val="225"/>
        </w:trPr>
        <w:tc>
          <w:tcPr>
            <w:tcW w:w="460" w:type="dxa"/>
            <w:tcBorders>
              <w:left w:val="single" w:sz="4" w:space="0" w:color="auto"/>
              <w:bottom w:val="single" w:sz="4" w:space="0" w:color="auto"/>
              <w:right w:val="single" w:sz="4" w:space="0" w:color="auto"/>
            </w:tcBorders>
            <w:shd w:val="clear" w:color="auto" w:fill="FFFFFF"/>
            <w:noWrap/>
            <w:vAlign w:val="bottom"/>
            <w:hideMark/>
          </w:tcPr>
          <w:p w14:paraId="07BC0A1E" w14:textId="77777777" w:rsidR="002D7F73" w:rsidRPr="002D7F73" w:rsidRDefault="002D7F73" w:rsidP="002D7F73">
            <w:pPr>
              <w:jc w:val="both"/>
              <w:rPr>
                <w:rFonts w:cstheme="minorHAnsi"/>
                <w:sz w:val="24"/>
                <w:szCs w:val="24"/>
              </w:rPr>
            </w:pPr>
            <w:r w:rsidRPr="002D7F73">
              <w:rPr>
                <w:rFonts w:cstheme="minorHAnsi"/>
                <w:sz w:val="24"/>
                <w:szCs w:val="24"/>
              </w:rPr>
              <w:t>32</w:t>
            </w:r>
          </w:p>
        </w:tc>
        <w:tc>
          <w:tcPr>
            <w:tcW w:w="2340" w:type="dxa"/>
            <w:tcBorders>
              <w:bottom w:val="single" w:sz="4" w:space="0" w:color="auto"/>
              <w:right w:val="single" w:sz="4" w:space="0" w:color="auto"/>
            </w:tcBorders>
            <w:shd w:val="clear" w:color="auto" w:fill="FFFFFF"/>
            <w:noWrap/>
            <w:vAlign w:val="bottom"/>
            <w:hideMark/>
          </w:tcPr>
          <w:p w14:paraId="53DCC5C3" w14:textId="77777777" w:rsidR="002D7F73" w:rsidRPr="002D7F73" w:rsidRDefault="002D7F73" w:rsidP="002D7F73">
            <w:pPr>
              <w:jc w:val="both"/>
              <w:rPr>
                <w:rFonts w:cstheme="minorHAnsi"/>
                <w:sz w:val="24"/>
                <w:szCs w:val="24"/>
              </w:rPr>
            </w:pPr>
            <w:r w:rsidRPr="002D7F73">
              <w:rPr>
                <w:rFonts w:cstheme="minorHAnsi"/>
                <w:sz w:val="24"/>
                <w:szCs w:val="24"/>
              </w:rPr>
              <w:t>Francia Gómez</w:t>
            </w:r>
          </w:p>
        </w:tc>
        <w:tc>
          <w:tcPr>
            <w:tcW w:w="1760" w:type="dxa"/>
            <w:tcBorders>
              <w:bottom w:val="single" w:sz="4" w:space="0" w:color="auto"/>
              <w:right w:val="single" w:sz="4" w:space="0" w:color="auto"/>
            </w:tcBorders>
            <w:shd w:val="clear" w:color="auto" w:fill="FFFFFF"/>
            <w:noWrap/>
            <w:vAlign w:val="bottom"/>
            <w:hideMark/>
          </w:tcPr>
          <w:p w14:paraId="579BB1C4" w14:textId="77777777" w:rsidR="002D7F73" w:rsidRPr="002D7F73" w:rsidRDefault="002D7F73" w:rsidP="002D7F73">
            <w:pPr>
              <w:jc w:val="both"/>
              <w:rPr>
                <w:rFonts w:cstheme="minorHAnsi"/>
                <w:sz w:val="24"/>
                <w:szCs w:val="24"/>
              </w:rPr>
            </w:pPr>
            <w:r w:rsidRPr="002D7F73">
              <w:rPr>
                <w:rFonts w:cstheme="minorHAnsi"/>
                <w:sz w:val="24"/>
                <w:szCs w:val="24"/>
              </w:rPr>
              <w:t>madre</w:t>
            </w:r>
          </w:p>
        </w:tc>
        <w:tc>
          <w:tcPr>
            <w:tcW w:w="2680" w:type="dxa"/>
            <w:tcBorders>
              <w:bottom w:val="single" w:sz="4" w:space="0" w:color="auto"/>
              <w:right w:val="single" w:sz="4" w:space="0" w:color="auto"/>
            </w:tcBorders>
            <w:shd w:val="clear" w:color="auto" w:fill="FFFFFF"/>
            <w:noWrap/>
            <w:vAlign w:val="center"/>
            <w:hideMark/>
          </w:tcPr>
          <w:p w14:paraId="0AFF8393" w14:textId="77777777" w:rsidR="002D7F73" w:rsidRPr="002D7F73" w:rsidRDefault="002D7F73" w:rsidP="002D7F73">
            <w:pPr>
              <w:jc w:val="both"/>
              <w:rPr>
                <w:rFonts w:cstheme="minorHAnsi"/>
                <w:sz w:val="24"/>
                <w:szCs w:val="24"/>
              </w:rPr>
            </w:pPr>
            <w:r w:rsidRPr="002D7F73">
              <w:rPr>
                <w:rFonts w:cstheme="minorHAnsi"/>
                <w:sz w:val="24"/>
                <w:szCs w:val="24"/>
              </w:rPr>
              <w:t>10</w:t>
            </w:r>
          </w:p>
        </w:tc>
        <w:tc>
          <w:tcPr>
            <w:tcW w:w="2440" w:type="dxa"/>
            <w:tcBorders>
              <w:bottom w:val="single" w:sz="4" w:space="0" w:color="auto"/>
              <w:right w:val="single" w:sz="4" w:space="0" w:color="auto"/>
            </w:tcBorders>
            <w:shd w:val="clear" w:color="auto" w:fill="FFFFFF"/>
            <w:noWrap/>
            <w:vAlign w:val="center"/>
            <w:hideMark/>
          </w:tcPr>
          <w:p w14:paraId="076749F1" w14:textId="77777777" w:rsidR="002D7F73" w:rsidRPr="002D7F73" w:rsidRDefault="002D7F73" w:rsidP="002D7F73">
            <w:pPr>
              <w:jc w:val="both"/>
              <w:rPr>
                <w:rFonts w:cstheme="minorHAnsi"/>
                <w:sz w:val="24"/>
                <w:szCs w:val="24"/>
              </w:rPr>
            </w:pPr>
            <w:r w:rsidRPr="002D7F73">
              <w:rPr>
                <w:rFonts w:cstheme="minorHAnsi"/>
                <w:sz w:val="24"/>
                <w:szCs w:val="24"/>
              </w:rPr>
              <w:t>0</w:t>
            </w:r>
          </w:p>
        </w:tc>
      </w:tr>
      <w:tr w:rsidR="002D7F73" w:rsidRPr="002D7F73" w14:paraId="3CB0BA04" w14:textId="77777777">
        <w:trPr>
          <w:trHeight w:val="225"/>
        </w:trPr>
        <w:tc>
          <w:tcPr>
            <w:tcW w:w="460" w:type="dxa"/>
            <w:tcBorders>
              <w:left w:val="single" w:sz="4" w:space="0" w:color="auto"/>
              <w:bottom w:val="single" w:sz="4" w:space="0" w:color="auto"/>
              <w:right w:val="single" w:sz="4" w:space="0" w:color="auto"/>
            </w:tcBorders>
            <w:shd w:val="clear" w:color="auto" w:fill="FFFFFF"/>
            <w:noWrap/>
            <w:vAlign w:val="bottom"/>
            <w:hideMark/>
          </w:tcPr>
          <w:p w14:paraId="401E1B20" w14:textId="77777777" w:rsidR="002D7F73" w:rsidRPr="002D7F73" w:rsidRDefault="002D7F73" w:rsidP="002D7F73">
            <w:pPr>
              <w:jc w:val="both"/>
              <w:rPr>
                <w:rFonts w:cstheme="minorHAnsi"/>
                <w:sz w:val="24"/>
                <w:szCs w:val="24"/>
              </w:rPr>
            </w:pPr>
            <w:r w:rsidRPr="002D7F73">
              <w:rPr>
                <w:rFonts w:cstheme="minorHAnsi"/>
                <w:sz w:val="24"/>
                <w:szCs w:val="24"/>
              </w:rPr>
              <w:t>33</w:t>
            </w:r>
          </w:p>
        </w:tc>
        <w:tc>
          <w:tcPr>
            <w:tcW w:w="2340" w:type="dxa"/>
            <w:tcBorders>
              <w:bottom w:val="single" w:sz="4" w:space="0" w:color="auto"/>
              <w:right w:val="single" w:sz="4" w:space="0" w:color="auto"/>
            </w:tcBorders>
            <w:shd w:val="clear" w:color="auto" w:fill="FFFFFF"/>
            <w:noWrap/>
            <w:vAlign w:val="bottom"/>
            <w:hideMark/>
          </w:tcPr>
          <w:p w14:paraId="5E036780" w14:textId="77777777" w:rsidR="002D7F73" w:rsidRPr="002D7F73" w:rsidRDefault="002D7F73" w:rsidP="002D7F73">
            <w:pPr>
              <w:jc w:val="both"/>
              <w:rPr>
                <w:rFonts w:cstheme="minorHAnsi"/>
                <w:sz w:val="24"/>
                <w:szCs w:val="24"/>
              </w:rPr>
            </w:pPr>
            <w:r w:rsidRPr="002D7F73">
              <w:rPr>
                <w:rFonts w:cstheme="minorHAnsi"/>
                <w:sz w:val="24"/>
                <w:szCs w:val="24"/>
              </w:rPr>
              <w:t xml:space="preserve">Juan Pablo </w:t>
            </w:r>
            <w:proofErr w:type="spellStart"/>
            <w:r w:rsidRPr="002D7F73">
              <w:rPr>
                <w:rFonts w:cstheme="minorHAnsi"/>
                <w:sz w:val="24"/>
                <w:szCs w:val="24"/>
              </w:rPr>
              <w:t>Chocué</w:t>
            </w:r>
            <w:proofErr w:type="spellEnd"/>
          </w:p>
        </w:tc>
        <w:tc>
          <w:tcPr>
            <w:tcW w:w="1760" w:type="dxa"/>
            <w:tcBorders>
              <w:bottom w:val="single" w:sz="4" w:space="0" w:color="auto"/>
              <w:right w:val="single" w:sz="4" w:space="0" w:color="auto"/>
            </w:tcBorders>
            <w:shd w:val="clear" w:color="auto" w:fill="FFFFFF"/>
            <w:noWrap/>
            <w:vAlign w:val="bottom"/>
            <w:hideMark/>
          </w:tcPr>
          <w:p w14:paraId="43A68147" w14:textId="77777777" w:rsidR="002D7F73" w:rsidRPr="002D7F73" w:rsidRDefault="002D7F73" w:rsidP="002D7F73">
            <w:pPr>
              <w:jc w:val="both"/>
              <w:rPr>
                <w:rFonts w:cstheme="minorHAnsi"/>
                <w:sz w:val="24"/>
                <w:szCs w:val="24"/>
              </w:rPr>
            </w:pPr>
            <w:r w:rsidRPr="002D7F73">
              <w:rPr>
                <w:rFonts w:cstheme="minorHAnsi"/>
                <w:sz w:val="24"/>
                <w:szCs w:val="24"/>
              </w:rPr>
              <w:t>víctima</w:t>
            </w:r>
          </w:p>
        </w:tc>
        <w:tc>
          <w:tcPr>
            <w:tcW w:w="2680" w:type="dxa"/>
            <w:tcBorders>
              <w:bottom w:val="single" w:sz="4" w:space="0" w:color="auto"/>
              <w:right w:val="single" w:sz="4" w:space="0" w:color="auto"/>
            </w:tcBorders>
            <w:shd w:val="clear" w:color="auto" w:fill="FFFFFF"/>
            <w:noWrap/>
            <w:vAlign w:val="center"/>
            <w:hideMark/>
          </w:tcPr>
          <w:p w14:paraId="65BA4A39" w14:textId="77777777" w:rsidR="002D7F73" w:rsidRPr="002D7F73" w:rsidRDefault="002D7F73" w:rsidP="002D7F73">
            <w:pPr>
              <w:jc w:val="both"/>
              <w:rPr>
                <w:rFonts w:cstheme="minorHAnsi"/>
                <w:sz w:val="24"/>
                <w:szCs w:val="24"/>
              </w:rPr>
            </w:pPr>
            <w:r w:rsidRPr="002D7F73">
              <w:rPr>
                <w:rFonts w:cstheme="minorHAnsi"/>
                <w:sz w:val="24"/>
                <w:szCs w:val="24"/>
              </w:rPr>
              <w:t>10</w:t>
            </w:r>
          </w:p>
        </w:tc>
        <w:tc>
          <w:tcPr>
            <w:tcW w:w="2440" w:type="dxa"/>
            <w:tcBorders>
              <w:bottom w:val="single" w:sz="4" w:space="0" w:color="auto"/>
              <w:right w:val="single" w:sz="4" w:space="0" w:color="auto"/>
            </w:tcBorders>
            <w:shd w:val="clear" w:color="auto" w:fill="FFFFFF"/>
            <w:noWrap/>
            <w:vAlign w:val="center"/>
            <w:hideMark/>
          </w:tcPr>
          <w:p w14:paraId="36BE46D9" w14:textId="77777777" w:rsidR="002D7F73" w:rsidRPr="002D7F73" w:rsidRDefault="002D7F73" w:rsidP="002D7F73">
            <w:pPr>
              <w:jc w:val="both"/>
              <w:rPr>
                <w:rFonts w:cstheme="minorHAnsi"/>
                <w:sz w:val="24"/>
                <w:szCs w:val="24"/>
              </w:rPr>
            </w:pPr>
            <w:r w:rsidRPr="002D7F73">
              <w:rPr>
                <w:rFonts w:cstheme="minorHAnsi"/>
                <w:sz w:val="24"/>
                <w:szCs w:val="24"/>
              </w:rPr>
              <w:t>0</w:t>
            </w:r>
          </w:p>
        </w:tc>
      </w:tr>
      <w:tr w:rsidR="002D7F73" w:rsidRPr="002D7F73" w14:paraId="6813203D" w14:textId="77777777">
        <w:trPr>
          <w:trHeight w:val="450"/>
        </w:trPr>
        <w:tc>
          <w:tcPr>
            <w:tcW w:w="460" w:type="dxa"/>
            <w:tcBorders>
              <w:left w:val="single" w:sz="4" w:space="0" w:color="auto"/>
              <w:bottom w:val="single" w:sz="4" w:space="0" w:color="auto"/>
              <w:right w:val="single" w:sz="4" w:space="0" w:color="auto"/>
            </w:tcBorders>
            <w:shd w:val="clear" w:color="auto" w:fill="FFFFFF"/>
            <w:noWrap/>
            <w:vAlign w:val="bottom"/>
            <w:hideMark/>
          </w:tcPr>
          <w:p w14:paraId="62DCF45B" w14:textId="4265B6CB" w:rsidR="002D7F73" w:rsidRPr="002D7F73" w:rsidRDefault="002D7F73" w:rsidP="002D7F73">
            <w:pPr>
              <w:jc w:val="both"/>
              <w:rPr>
                <w:rFonts w:cstheme="minorHAnsi"/>
                <w:sz w:val="24"/>
                <w:szCs w:val="24"/>
              </w:rPr>
            </w:pPr>
          </w:p>
        </w:tc>
        <w:tc>
          <w:tcPr>
            <w:tcW w:w="2340" w:type="dxa"/>
            <w:tcBorders>
              <w:bottom w:val="single" w:sz="4" w:space="0" w:color="auto"/>
              <w:right w:val="single" w:sz="4" w:space="0" w:color="auto"/>
            </w:tcBorders>
            <w:shd w:val="clear" w:color="auto" w:fill="FBE2D5"/>
            <w:vAlign w:val="bottom"/>
            <w:hideMark/>
          </w:tcPr>
          <w:p w14:paraId="51973D25" w14:textId="77777777" w:rsidR="002D7F73" w:rsidRPr="002D7F73" w:rsidRDefault="002D7F73" w:rsidP="002D7F73">
            <w:pPr>
              <w:jc w:val="both"/>
              <w:rPr>
                <w:rFonts w:cstheme="minorHAnsi"/>
                <w:sz w:val="24"/>
                <w:szCs w:val="24"/>
              </w:rPr>
            </w:pPr>
            <w:r w:rsidRPr="002D7F73">
              <w:rPr>
                <w:rFonts w:cstheme="minorHAnsi"/>
                <w:sz w:val="24"/>
                <w:szCs w:val="24"/>
              </w:rPr>
              <w:t>Octavo Grupo (Lesión de Juan Carlos Pérez)</w:t>
            </w:r>
          </w:p>
        </w:tc>
        <w:tc>
          <w:tcPr>
            <w:tcW w:w="6880" w:type="dxa"/>
            <w:gridSpan w:val="3"/>
            <w:tcBorders>
              <w:top w:val="single" w:sz="4" w:space="0" w:color="auto"/>
              <w:bottom w:val="single" w:sz="4" w:space="0" w:color="auto"/>
              <w:right w:val="single" w:sz="4" w:space="0" w:color="auto"/>
            </w:tcBorders>
            <w:shd w:val="clear" w:color="auto" w:fill="FFFFFF"/>
            <w:noWrap/>
            <w:vAlign w:val="bottom"/>
            <w:hideMark/>
          </w:tcPr>
          <w:p w14:paraId="32119879" w14:textId="53225EA4" w:rsidR="002D7F73" w:rsidRPr="002D7F73" w:rsidRDefault="002D7F73" w:rsidP="002D7F73">
            <w:pPr>
              <w:jc w:val="both"/>
              <w:rPr>
                <w:rFonts w:cstheme="minorHAnsi"/>
                <w:sz w:val="24"/>
                <w:szCs w:val="24"/>
              </w:rPr>
            </w:pPr>
          </w:p>
        </w:tc>
      </w:tr>
      <w:tr w:rsidR="002D7F73" w:rsidRPr="002D7F73" w14:paraId="5AE358BE" w14:textId="77777777">
        <w:trPr>
          <w:trHeight w:val="225"/>
        </w:trPr>
        <w:tc>
          <w:tcPr>
            <w:tcW w:w="460" w:type="dxa"/>
            <w:tcBorders>
              <w:left w:val="single" w:sz="4" w:space="0" w:color="auto"/>
              <w:bottom w:val="single" w:sz="4" w:space="0" w:color="auto"/>
              <w:right w:val="single" w:sz="4" w:space="0" w:color="auto"/>
            </w:tcBorders>
            <w:shd w:val="clear" w:color="auto" w:fill="FFFFFF"/>
            <w:noWrap/>
            <w:vAlign w:val="bottom"/>
            <w:hideMark/>
          </w:tcPr>
          <w:p w14:paraId="40C8AC89" w14:textId="77777777" w:rsidR="002D7F73" w:rsidRPr="002D7F73" w:rsidRDefault="002D7F73" w:rsidP="002D7F73">
            <w:pPr>
              <w:jc w:val="both"/>
              <w:rPr>
                <w:rFonts w:cstheme="minorHAnsi"/>
                <w:sz w:val="24"/>
                <w:szCs w:val="24"/>
              </w:rPr>
            </w:pPr>
            <w:r w:rsidRPr="002D7F73">
              <w:rPr>
                <w:rFonts w:cstheme="minorHAnsi"/>
                <w:sz w:val="24"/>
                <w:szCs w:val="24"/>
              </w:rPr>
              <w:t>34</w:t>
            </w:r>
          </w:p>
        </w:tc>
        <w:tc>
          <w:tcPr>
            <w:tcW w:w="2340" w:type="dxa"/>
            <w:tcBorders>
              <w:bottom w:val="single" w:sz="4" w:space="0" w:color="auto"/>
              <w:right w:val="single" w:sz="4" w:space="0" w:color="auto"/>
            </w:tcBorders>
            <w:shd w:val="clear" w:color="auto" w:fill="FFFFFF"/>
            <w:noWrap/>
            <w:vAlign w:val="bottom"/>
            <w:hideMark/>
          </w:tcPr>
          <w:p w14:paraId="6D8FDE95" w14:textId="77777777" w:rsidR="002D7F73" w:rsidRPr="002D7F73" w:rsidRDefault="002D7F73" w:rsidP="002D7F73">
            <w:pPr>
              <w:jc w:val="both"/>
              <w:rPr>
                <w:rFonts w:cstheme="minorHAnsi"/>
                <w:sz w:val="24"/>
                <w:szCs w:val="24"/>
              </w:rPr>
            </w:pPr>
            <w:r w:rsidRPr="002D7F73">
              <w:rPr>
                <w:rFonts w:cstheme="minorHAnsi"/>
                <w:sz w:val="24"/>
                <w:szCs w:val="24"/>
              </w:rPr>
              <w:t xml:space="preserve">José Del </w:t>
            </w:r>
            <w:proofErr w:type="spellStart"/>
            <w:r w:rsidRPr="002D7F73">
              <w:rPr>
                <w:rFonts w:cstheme="minorHAnsi"/>
                <w:sz w:val="24"/>
                <w:szCs w:val="24"/>
              </w:rPr>
              <w:t>Carmén</w:t>
            </w:r>
            <w:proofErr w:type="spellEnd"/>
            <w:r w:rsidRPr="002D7F73">
              <w:rPr>
                <w:rFonts w:cstheme="minorHAnsi"/>
                <w:sz w:val="24"/>
                <w:szCs w:val="24"/>
              </w:rPr>
              <w:t xml:space="preserve"> Pérez</w:t>
            </w:r>
          </w:p>
        </w:tc>
        <w:tc>
          <w:tcPr>
            <w:tcW w:w="1760" w:type="dxa"/>
            <w:tcBorders>
              <w:bottom w:val="single" w:sz="4" w:space="0" w:color="auto"/>
              <w:right w:val="single" w:sz="4" w:space="0" w:color="auto"/>
            </w:tcBorders>
            <w:shd w:val="clear" w:color="auto" w:fill="FFFFFF"/>
            <w:noWrap/>
            <w:vAlign w:val="bottom"/>
            <w:hideMark/>
          </w:tcPr>
          <w:p w14:paraId="435AD9AA" w14:textId="77777777" w:rsidR="002D7F73" w:rsidRPr="002D7F73" w:rsidRDefault="002D7F73" w:rsidP="002D7F73">
            <w:pPr>
              <w:jc w:val="both"/>
              <w:rPr>
                <w:rFonts w:cstheme="minorHAnsi"/>
                <w:sz w:val="24"/>
                <w:szCs w:val="24"/>
              </w:rPr>
            </w:pPr>
            <w:r w:rsidRPr="002D7F73">
              <w:rPr>
                <w:rFonts w:cstheme="minorHAnsi"/>
                <w:sz w:val="24"/>
                <w:szCs w:val="24"/>
              </w:rPr>
              <w:t>padre</w:t>
            </w:r>
          </w:p>
        </w:tc>
        <w:tc>
          <w:tcPr>
            <w:tcW w:w="2680" w:type="dxa"/>
            <w:tcBorders>
              <w:bottom w:val="single" w:sz="4" w:space="0" w:color="auto"/>
              <w:right w:val="single" w:sz="4" w:space="0" w:color="auto"/>
            </w:tcBorders>
            <w:shd w:val="clear" w:color="auto" w:fill="FFFFFF"/>
            <w:noWrap/>
            <w:vAlign w:val="center"/>
            <w:hideMark/>
          </w:tcPr>
          <w:p w14:paraId="0F5D1904" w14:textId="77777777" w:rsidR="002D7F73" w:rsidRPr="002D7F73" w:rsidRDefault="002D7F73" w:rsidP="002D7F73">
            <w:pPr>
              <w:jc w:val="both"/>
              <w:rPr>
                <w:rFonts w:cstheme="minorHAnsi"/>
                <w:sz w:val="24"/>
                <w:szCs w:val="24"/>
              </w:rPr>
            </w:pPr>
            <w:r w:rsidRPr="002D7F73">
              <w:rPr>
                <w:rFonts w:cstheme="minorHAnsi"/>
                <w:sz w:val="24"/>
                <w:szCs w:val="24"/>
              </w:rPr>
              <w:t>10</w:t>
            </w:r>
          </w:p>
        </w:tc>
        <w:tc>
          <w:tcPr>
            <w:tcW w:w="2440" w:type="dxa"/>
            <w:tcBorders>
              <w:bottom w:val="single" w:sz="4" w:space="0" w:color="auto"/>
              <w:right w:val="single" w:sz="4" w:space="0" w:color="auto"/>
            </w:tcBorders>
            <w:shd w:val="clear" w:color="auto" w:fill="FFFFFF"/>
            <w:noWrap/>
            <w:vAlign w:val="center"/>
            <w:hideMark/>
          </w:tcPr>
          <w:p w14:paraId="01956228" w14:textId="77777777" w:rsidR="002D7F73" w:rsidRPr="002D7F73" w:rsidRDefault="002D7F73" w:rsidP="002D7F73">
            <w:pPr>
              <w:jc w:val="both"/>
              <w:rPr>
                <w:rFonts w:cstheme="minorHAnsi"/>
                <w:sz w:val="24"/>
                <w:szCs w:val="24"/>
              </w:rPr>
            </w:pPr>
            <w:r w:rsidRPr="002D7F73">
              <w:rPr>
                <w:rFonts w:cstheme="minorHAnsi"/>
                <w:sz w:val="24"/>
                <w:szCs w:val="24"/>
              </w:rPr>
              <w:t>0</w:t>
            </w:r>
          </w:p>
        </w:tc>
      </w:tr>
      <w:tr w:rsidR="002D7F73" w:rsidRPr="002D7F73" w14:paraId="6EFFD00B" w14:textId="77777777">
        <w:trPr>
          <w:trHeight w:val="225"/>
        </w:trPr>
        <w:tc>
          <w:tcPr>
            <w:tcW w:w="460" w:type="dxa"/>
            <w:tcBorders>
              <w:left w:val="single" w:sz="4" w:space="0" w:color="auto"/>
              <w:bottom w:val="single" w:sz="4" w:space="0" w:color="auto"/>
              <w:right w:val="single" w:sz="4" w:space="0" w:color="auto"/>
            </w:tcBorders>
            <w:shd w:val="clear" w:color="auto" w:fill="FFFFFF"/>
            <w:noWrap/>
            <w:vAlign w:val="bottom"/>
            <w:hideMark/>
          </w:tcPr>
          <w:p w14:paraId="5ED0646A" w14:textId="77777777" w:rsidR="002D7F73" w:rsidRPr="002D7F73" w:rsidRDefault="002D7F73" w:rsidP="002D7F73">
            <w:pPr>
              <w:jc w:val="both"/>
              <w:rPr>
                <w:rFonts w:cstheme="minorHAnsi"/>
                <w:sz w:val="24"/>
                <w:szCs w:val="24"/>
              </w:rPr>
            </w:pPr>
            <w:r w:rsidRPr="002D7F73">
              <w:rPr>
                <w:rFonts w:cstheme="minorHAnsi"/>
                <w:sz w:val="24"/>
                <w:szCs w:val="24"/>
              </w:rPr>
              <w:t>35</w:t>
            </w:r>
          </w:p>
        </w:tc>
        <w:tc>
          <w:tcPr>
            <w:tcW w:w="2340" w:type="dxa"/>
            <w:tcBorders>
              <w:bottom w:val="single" w:sz="4" w:space="0" w:color="auto"/>
              <w:right w:val="single" w:sz="4" w:space="0" w:color="auto"/>
            </w:tcBorders>
            <w:shd w:val="clear" w:color="auto" w:fill="FFFFFF"/>
            <w:noWrap/>
            <w:vAlign w:val="bottom"/>
            <w:hideMark/>
          </w:tcPr>
          <w:p w14:paraId="7BA91151" w14:textId="77777777" w:rsidR="002D7F73" w:rsidRPr="002D7F73" w:rsidRDefault="002D7F73" w:rsidP="002D7F73">
            <w:pPr>
              <w:jc w:val="both"/>
              <w:rPr>
                <w:rFonts w:cstheme="minorHAnsi"/>
                <w:sz w:val="24"/>
                <w:szCs w:val="24"/>
              </w:rPr>
            </w:pPr>
            <w:r w:rsidRPr="002D7F73">
              <w:rPr>
                <w:rFonts w:cstheme="minorHAnsi"/>
                <w:sz w:val="24"/>
                <w:szCs w:val="24"/>
              </w:rPr>
              <w:t>Luz Dary Castañeda</w:t>
            </w:r>
          </w:p>
        </w:tc>
        <w:tc>
          <w:tcPr>
            <w:tcW w:w="1760" w:type="dxa"/>
            <w:tcBorders>
              <w:bottom w:val="single" w:sz="4" w:space="0" w:color="auto"/>
              <w:right w:val="single" w:sz="4" w:space="0" w:color="auto"/>
            </w:tcBorders>
            <w:shd w:val="clear" w:color="auto" w:fill="FFFFFF"/>
            <w:noWrap/>
            <w:vAlign w:val="bottom"/>
            <w:hideMark/>
          </w:tcPr>
          <w:p w14:paraId="200A5653" w14:textId="77777777" w:rsidR="002D7F73" w:rsidRPr="002D7F73" w:rsidRDefault="002D7F73" w:rsidP="002D7F73">
            <w:pPr>
              <w:jc w:val="both"/>
              <w:rPr>
                <w:rFonts w:cstheme="minorHAnsi"/>
                <w:sz w:val="24"/>
                <w:szCs w:val="24"/>
              </w:rPr>
            </w:pPr>
            <w:r w:rsidRPr="002D7F73">
              <w:rPr>
                <w:rFonts w:cstheme="minorHAnsi"/>
                <w:sz w:val="24"/>
                <w:szCs w:val="24"/>
              </w:rPr>
              <w:t>madre</w:t>
            </w:r>
          </w:p>
        </w:tc>
        <w:tc>
          <w:tcPr>
            <w:tcW w:w="2680" w:type="dxa"/>
            <w:tcBorders>
              <w:bottom w:val="single" w:sz="4" w:space="0" w:color="auto"/>
              <w:right w:val="single" w:sz="4" w:space="0" w:color="auto"/>
            </w:tcBorders>
            <w:shd w:val="clear" w:color="auto" w:fill="FFFFFF"/>
            <w:noWrap/>
            <w:vAlign w:val="center"/>
            <w:hideMark/>
          </w:tcPr>
          <w:p w14:paraId="479E7868" w14:textId="77777777" w:rsidR="002D7F73" w:rsidRPr="002D7F73" w:rsidRDefault="002D7F73" w:rsidP="002D7F73">
            <w:pPr>
              <w:jc w:val="both"/>
              <w:rPr>
                <w:rFonts w:cstheme="minorHAnsi"/>
                <w:sz w:val="24"/>
                <w:szCs w:val="24"/>
              </w:rPr>
            </w:pPr>
            <w:r w:rsidRPr="002D7F73">
              <w:rPr>
                <w:rFonts w:cstheme="minorHAnsi"/>
                <w:sz w:val="24"/>
                <w:szCs w:val="24"/>
              </w:rPr>
              <w:t>10</w:t>
            </w:r>
          </w:p>
        </w:tc>
        <w:tc>
          <w:tcPr>
            <w:tcW w:w="2440" w:type="dxa"/>
            <w:tcBorders>
              <w:bottom w:val="single" w:sz="4" w:space="0" w:color="auto"/>
              <w:right w:val="single" w:sz="4" w:space="0" w:color="auto"/>
            </w:tcBorders>
            <w:shd w:val="clear" w:color="auto" w:fill="FFFFFF"/>
            <w:noWrap/>
            <w:vAlign w:val="center"/>
            <w:hideMark/>
          </w:tcPr>
          <w:p w14:paraId="257E07D9" w14:textId="77777777" w:rsidR="002D7F73" w:rsidRPr="002D7F73" w:rsidRDefault="002D7F73" w:rsidP="002D7F73">
            <w:pPr>
              <w:jc w:val="both"/>
              <w:rPr>
                <w:rFonts w:cstheme="minorHAnsi"/>
                <w:sz w:val="24"/>
                <w:szCs w:val="24"/>
              </w:rPr>
            </w:pPr>
            <w:r w:rsidRPr="002D7F73">
              <w:rPr>
                <w:rFonts w:cstheme="minorHAnsi"/>
                <w:sz w:val="24"/>
                <w:szCs w:val="24"/>
              </w:rPr>
              <w:t>0</w:t>
            </w:r>
          </w:p>
        </w:tc>
      </w:tr>
      <w:tr w:rsidR="002D7F73" w:rsidRPr="002D7F73" w14:paraId="794FE537" w14:textId="77777777">
        <w:trPr>
          <w:trHeight w:val="225"/>
        </w:trPr>
        <w:tc>
          <w:tcPr>
            <w:tcW w:w="460" w:type="dxa"/>
            <w:tcBorders>
              <w:left w:val="single" w:sz="4" w:space="0" w:color="auto"/>
              <w:bottom w:val="single" w:sz="4" w:space="0" w:color="auto"/>
              <w:right w:val="single" w:sz="4" w:space="0" w:color="auto"/>
            </w:tcBorders>
            <w:shd w:val="clear" w:color="auto" w:fill="FFFFFF"/>
            <w:noWrap/>
            <w:vAlign w:val="bottom"/>
            <w:hideMark/>
          </w:tcPr>
          <w:p w14:paraId="66DD2962" w14:textId="77777777" w:rsidR="002D7F73" w:rsidRPr="002D7F73" w:rsidRDefault="002D7F73" w:rsidP="002D7F73">
            <w:pPr>
              <w:jc w:val="both"/>
              <w:rPr>
                <w:rFonts w:cstheme="minorHAnsi"/>
                <w:sz w:val="24"/>
                <w:szCs w:val="24"/>
              </w:rPr>
            </w:pPr>
            <w:r w:rsidRPr="002D7F73">
              <w:rPr>
                <w:rFonts w:cstheme="minorHAnsi"/>
                <w:sz w:val="24"/>
                <w:szCs w:val="24"/>
              </w:rPr>
              <w:t>36</w:t>
            </w:r>
          </w:p>
        </w:tc>
        <w:tc>
          <w:tcPr>
            <w:tcW w:w="2340" w:type="dxa"/>
            <w:tcBorders>
              <w:bottom w:val="single" w:sz="4" w:space="0" w:color="auto"/>
              <w:right w:val="single" w:sz="4" w:space="0" w:color="auto"/>
            </w:tcBorders>
            <w:shd w:val="clear" w:color="auto" w:fill="FFFFFF"/>
            <w:noWrap/>
            <w:vAlign w:val="bottom"/>
            <w:hideMark/>
          </w:tcPr>
          <w:p w14:paraId="4D898A50" w14:textId="77777777" w:rsidR="002D7F73" w:rsidRPr="002D7F73" w:rsidRDefault="002D7F73" w:rsidP="002D7F73">
            <w:pPr>
              <w:jc w:val="both"/>
              <w:rPr>
                <w:rFonts w:cstheme="minorHAnsi"/>
                <w:sz w:val="24"/>
                <w:szCs w:val="24"/>
              </w:rPr>
            </w:pPr>
            <w:r w:rsidRPr="002D7F73">
              <w:rPr>
                <w:rFonts w:cstheme="minorHAnsi"/>
                <w:sz w:val="24"/>
                <w:szCs w:val="24"/>
              </w:rPr>
              <w:t>Juan Carlos Pérez</w:t>
            </w:r>
          </w:p>
        </w:tc>
        <w:tc>
          <w:tcPr>
            <w:tcW w:w="1760" w:type="dxa"/>
            <w:tcBorders>
              <w:bottom w:val="single" w:sz="4" w:space="0" w:color="auto"/>
              <w:right w:val="single" w:sz="4" w:space="0" w:color="auto"/>
            </w:tcBorders>
            <w:shd w:val="clear" w:color="auto" w:fill="FFFFFF"/>
            <w:noWrap/>
            <w:vAlign w:val="bottom"/>
            <w:hideMark/>
          </w:tcPr>
          <w:p w14:paraId="308C069D" w14:textId="77777777" w:rsidR="002D7F73" w:rsidRPr="002D7F73" w:rsidRDefault="002D7F73" w:rsidP="002D7F73">
            <w:pPr>
              <w:jc w:val="both"/>
              <w:rPr>
                <w:rFonts w:cstheme="minorHAnsi"/>
                <w:sz w:val="24"/>
                <w:szCs w:val="24"/>
              </w:rPr>
            </w:pPr>
            <w:r w:rsidRPr="002D7F73">
              <w:rPr>
                <w:rFonts w:cstheme="minorHAnsi"/>
                <w:sz w:val="24"/>
                <w:szCs w:val="24"/>
              </w:rPr>
              <w:t>víctima</w:t>
            </w:r>
          </w:p>
        </w:tc>
        <w:tc>
          <w:tcPr>
            <w:tcW w:w="2680" w:type="dxa"/>
            <w:tcBorders>
              <w:bottom w:val="single" w:sz="4" w:space="0" w:color="auto"/>
              <w:right w:val="single" w:sz="4" w:space="0" w:color="auto"/>
            </w:tcBorders>
            <w:shd w:val="clear" w:color="auto" w:fill="FFFFFF"/>
            <w:noWrap/>
            <w:vAlign w:val="center"/>
            <w:hideMark/>
          </w:tcPr>
          <w:p w14:paraId="06E68FED" w14:textId="77777777" w:rsidR="002D7F73" w:rsidRPr="002D7F73" w:rsidRDefault="002D7F73" w:rsidP="002D7F73">
            <w:pPr>
              <w:jc w:val="both"/>
              <w:rPr>
                <w:rFonts w:cstheme="minorHAnsi"/>
                <w:sz w:val="24"/>
                <w:szCs w:val="24"/>
              </w:rPr>
            </w:pPr>
            <w:r w:rsidRPr="002D7F73">
              <w:rPr>
                <w:rFonts w:cstheme="minorHAnsi"/>
                <w:sz w:val="24"/>
                <w:szCs w:val="24"/>
              </w:rPr>
              <w:t>10</w:t>
            </w:r>
          </w:p>
        </w:tc>
        <w:tc>
          <w:tcPr>
            <w:tcW w:w="2440" w:type="dxa"/>
            <w:tcBorders>
              <w:bottom w:val="single" w:sz="4" w:space="0" w:color="auto"/>
              <w:right w:val="single" w:sz="4" w:space="0" w:color="auto"/>
            </w:tcBorders>
            <w:shd w:val="clear" w:color="auto" w:fill="FFFFFF"/>
            <w:noWrap/>
            <w:vAlign w:val="center"/>
            <w:hideMark/>
          </w:tcPr>
          <w:p w14:paraId="562C373C" w14:textId="77777777" w:rsidR="002D7F73" w:rsidRPr="002D7F73" w:rsidRDefault="002D7F73" w:rsidP="002D7F73">
            <w:pPr>
              <w:jc w:val="both"/>
              <w:rPr>
                <w:rFonts w:cstheme="minorHAnsi"/>
                <w:sz w:val="24"/>
                <w:szCs w:val="24"/>
              </w:rPr>
            </w:pPr>
            <w:r w:rsidRPr="002D7F73">
              <w:rPr>
                <w:rFonts w:cstheme="minorHAnsi"/>
                <w:sz w:val="24"/>
                <w:szCs w:val="24"/>
              </w:rPr>
              <w:t>10</w:t>
            </w:r>
          </w:p>
        </w:tc>
      </w:tr>
    </w:tbl>
    <w:p w14:paraId="091968D1" w14:textId="77777777" w:rsidR="002D7F73" w:rsidRPr="002D7F73" w:rsidRDefault="002D7F73" w:rsidP="002D7F73">
      <w:pPr>
        <w:jc w:val="both"/>
        <w:rPr>
          <w:rFonts w:cstheme="minorHAnsi"/>
          <w:sz w:val="24"/>
          <w:szCs w:val="24"/>
        </w:rPr>
      </w:pPr>
    </w:p>
    <w:p w14:paraId="2ED6DAE4" w14:textId="77777777" w:rsidR="002D7F73" w:rsidRPr="002D7F73" w:rsidRDefault="002D7F73" w:rsidP="002D7F73">
      <w:pPr>
        <w:jc w:val="both"/>
        <w:rPr>
          <w:rFonts w:cstheme="minorHAnsi"/>
          <w:sz w:val="24"/>
          <w:szCs w:val="24"/>
        </w:rPr>
      </w:pPr>
    </w:p>
    <w:tbl>
      <w:tblPr>
        <w:tblW w:w="6880" w:type="dxa"/>
        <w:shd w:val="clear" w:color="auto" w:fill="FFFFFF"/>
        <w:tblCellMar>
          <w:top w:w="15" w:type="dxa"/>
          <w:left w:w="15" w:type="dxa"/>
          <w:bottom w:w="15" w:type="dxa"/>
          <w:right w:w="15" w:type="dxa"/>
        </w:tblCellMar>
        <w:tblLook w:val="04A0" w:firstRow="1" w:lastRow="0" w:firstColumn="1" w:lastColumn="0" w:noHBand="0" w:noVBand="1"/>
      </w:tblPr>
      <w:tblGrid>
        <w:gridCol w:w="1760"/>
        <w:gridCol w:w="2996"/>
        <w:gridCol w:w="2440"/>
      </w:tblGrid>
      <w:tr w:rsidR="002D7F73" w:rsidRPr="002D7F73" w14:paraId="7BCDDF34" w14:textId="77777777">
        <w:trPr>
          <w:trHeight w:val="225"/>
        </w:trPr>
        <w:tc>
          <w:tcPr>
            <w:tcW w:w="1760" w:type="dxa"/>
            <w:tcBorders>
              <w:top w:val="single" w:sz="4" w:space="0" w:color="auto"/>
              <w:left w:val="single" w:sz="4" w:space="0" w:color="auto"/>
              <w:bottom w:val="single" w:sz="4" w:space="0" w:color="auto"/>
              <w:right w:val="single" w:sz="4" w:space="0" w:color="auto"/>
            </w:tcBorders>
            <w:shd w:val="clear" w:color="auto" w:fill="C0E6F5"/>
            <w:noWrap/>
            <w:vAlign w:val="bottom"/>
            <w:hideMark/>
          </w:tcPr>
          <w:p w14:paraId="039822D1" w14:textId="68958BB3" w:rsidR="002D7F73" w:rsidRPr="002D7F73" w:rsidRDefault="002D7F73" w:rsidP="002D7F73">
            <w:pPr>
              <w:jc w:val="both"/>
              <w:rPr>
                <w:rFonts w:cstheme="minorHAnsi"/>
                <w:sz w:val="24"/>
                <w:szCs w:val="24"/>
              </w:rPr>
            </w:pPr>
          </w:p>
        </w:tc>
        <w:tc>
          <w:tcPr>
            <w:tcW w:w="2680" w:type="dxa"/>
            <w:tcBorders>
              <w:top w:val="single" w:sz="4" w:space="0" w:color="auto"/>
              <w:bottom w:val="single" w:sz="4" w:space="0" w:color="auto"/>
              <w:right w:val="single" w:sz="4" w:space="0" w:color="auto"/>
            </w:tcBorders>
            <w:shd w:val="clear" w:color="auto" w:fill="C0E6F5"/>
            <w:noWrap/>
            <w:vAlign w:val="bottom"/>
            <w:hideMark/>
          </w:tcPr>
          <w:p w14:paraId="7E7C5210" w14:textId="77777777" w:rsidR="002D7F73" w:rsidRPr="002D7F73" w:rsidRDefault="002D7F73" w:rsidP="002D7F73">
            <w:pPr>
              <w:jc w:val="both"/>
              <w:rPr>
                <w:rFonts w:cstheme="minorHAnsi"/>
                <w:sz w:val="24"/>
                <w:szCs w:val="24"/>
              </w:rPr>
            </w:pPr>
            <w:r w:rsidRPr="002D7F73">
              <w:rPr>
                <w:rFonts w:cstheme="minorHAnsi"/>
                <w:sz w:val="24"/>
                <w:szCs w:val="24"/>
              </w:rPr>
              <w:t>Daño moral</w:t>
            </w:r>
          </w:p>
        </w:tc>
        <w:tc>
          <w:tcPr>
            <w:tcW w:w="2440" w:type="dxa"/>
            <w:tcBorders>
              <w:top w:val="single" w:sz="4" w:space="0" w:color="auto"/>
              <w:bottom w:val="single" w:sz="4" w:space="0" w:color="auto"/>
              <w:right w:val="single" w:sz="4" w:space="0" w:color="auto"/>
            </w:tcBorders>
            <w:shd w:val="clear" w:color="auto" w:fill="C0E6F5"/>
            <w:noWrap/>
            <w:vAlign w:val="bottom"/>
            <w:hideMark/>
          </w:tcPr>
          <w:p w14:paraId="02651B1D" w14:textId="77777777" w:rsidR="002D7F73" w:rsidRPr="002D7F73" w:rsidRDefault="002D7F73" w:rsidP="002D7F73">
            <w:pPr>
              <w:jc w:val="both"/>
              <w:rPr>
                <w:rFonts w:cstheme="minorHAnsi"/>
                <w:sz w:val="24"/>
                <w:szCs w:val="24"/>
              </w:rPr>
            </w:pPr>
            <w:r w:rsidRPr="002D7F73">
              <w:rPr>
                <w:rFonts w:cstheme="minorHAnsi"/>
                <w:sz w:val="24"/>
                <w:szCs w:val="24"/>
              </w:rPr>
              <w:t>Daño a la salud</w:t>
            </w:r>
          </w:p>
        </w:tc>
      </w:tr>
      <w:tr w:rsidR="002D7F73" w:rsidRPr="002D7F73" w14:paraId="5048D422" w14:textId="77777777">
        <w:trPr>
          <w:trHeight w:val="225"/>
        </w:trPr>
        <w:tc>
          <w:tcPr>
            <w:tcW w:w="1760" w:type="dxa"/>
            <w:tcBorders>
              <w:left w:val="single" w:sz="4" w:space="0" w:color="auto"/>
              <w:bottom w:val="single" w:sz="4" w:space="0" w:color="auto"/>
              <w:right w:val="single" w:sz="4" w:space="0" w:color="auto"/>
            </w:tcBorders>
            <w:shd w:val="clear" w:color="auto" w:fill="FFFFFF"/>
            <w:noWrap/>
            <w:vAlign w:val="bottom"/>
            <w:hideMark/>
          </w:tcPr>
          <w:p w14:paraId="23F8CC86" w14:textId="77777777" w:rsidR="002D7F73" w:rsidRPr="002D7F73" w:rsidRDefault="002D7F73" w:rsidP="002D7F73">
            <w:pPr>
              <w:jc w:val="both"/>
              <w:rPr>
                <w:rFonts w:cstheme="minorHAnsi"/>
                <w:sz w:val="24"/>
                <w:szCs w:val="24"/>
              </w:rPr>
            </w:pPr>
            <w:r w:rsidRPr="002D7F73">
              <w:rPr>
                <w:rFonts w:cstheme="minorHAnsi"/>
                <w:sz w:val="24"/>
                <w:szCs w:val="24"/>
              </w:rPr>
              <w:t>Subtotal</w:t>
            </w:r>
          </w:p>
        </w:tc>
        <w:tc>
          <w:tcPr>
            <w:tcW w:w="2680" w:type="dxa"/>
            <w:tcBorders>
              <w:bottom w:val="single" w:sz="4" w:space="0" w:color="auto"/>
              <w:right w:val="single" w:sz="4" w:space="0" w:color="auto"/>
            </w:tcBorders>
            <w:shd w:val="clear" w:color="auto" w:fill="FFFFFF"/>
            <w:noWrap/>
            <w:vAlign w:val="bottom"/>
            <w:hideMark/>
          </w:tcPr>
          <w:p w14:paraId="1ACAFA30" w14:textId="77777777" w:rsidR="002D7F73" w:rsidRPr="002D7F73" w:rsidRDefault="002D7F73" w:rsidP="002D7F73">
            <w:pPr>
              <w:jc w:val="both"/>
              <w:rPr>
                <w:rFonts w:cstheme="minorHAnsi"/>
                <w:sz w:val="24"/>
                <w:szCs w:val="24"/>
              </w:rPr>
            </w:pPr>
            <w:r w:rsidRPr="002D7F73">
              <w:rPr>
                <w:rFonts w:cstheme="minorHAnsi"/>
                <w:sz w:val="24"/>
                <w:szCs w:val="24"/>
              </w:rPr>
              <w:t>445</w:t>
            </w:r>
          </w:p>
        </w:tc>
        <w:tc>
          <w:tcPr>
            <w:tcW w:w="2440" w:type="dxa"/>
            <w:tcBorders>
              <w:bottom w:val="single" w:sz="4" w:space="0" w:color="auto"/>
              <w:right w:val="single" w:sz="4" w:space="0" w:color="auto"/>
            </w:tcBorders>
            <w:shd w:val="clear" w:color="auto" w:fill="FFFFFF"/>
            <w:noWrap/>
            <w:vAlign w:val="bottom"/>
            <w:hideMark/>
          </w:tcPr>
          <w:p w14:paraId="77ECBE2E" w14:textId="77777777" w:rsidR="002D7F73" w:rsidRPr="002D7F73" w:rsidRDefault="002D7F73" w:rsidP="002D7F73">
            <w:pPr>
              <w:jc w:val="both"/>
              <w:rPr>
                <w:rFonts w:cstheme="minorHAnsi"/>
                <w:sz w:val="24"/>
                <w:szCs w:val="24"/>
              </w:rPr>
            </w:pPr>
            <w:r w:rsidRPr="002D7F73">
              <w:rPr>
                <w:rFonts w:cstheme="minorHAnsi"/>
                <w:sz w:val="24"/>
                <w:szCs w:val="24"/>
              </w:rPr>
              <w:t>130</w:t>
            </w:r>
          </w:p>
        </w:tc>
      </w:tr>
      <w:tr w:rsidR="002D7F73" w:rsidRPr="002D7F73" w14:paraId="68ECCDC3" w14:textId="77777777">
        <w:trPr>
          <w:trHeight w:val="675"/>
        </w:trPr>
        <w:tc>
          <w:tcPr>
            <w:tcW w:w="1760" w:type="dxa"/>
            <w:tcBorders>
              <w:left w:val="single" w:sz="4" w:space="0" w:color="auto"/>
              <w:bottom w:val="single" w:sz="4" w:space="0" w:color="auto"/>
              <w:right w:val="single" w:sz="4" w:space="0" w:color="auto"/>
            </w:tcBorders>
            <w:shd w:val="clear" w:color="auto" w:fill="FFFFFF"/>
            <w:vAlign w:val="bottom"/>
            <w:hideMark/>
          </w:tcPr>
          <w:p w14:paraId="14FF0C13" w14:textId="77777777" w:rsidR="002D7F73" w:rsidRPr="002D7F73" w:rsidRDefault="002D7F73" w:rsidP="002D7F73">
            <w:pPr>
              <w:jc w:val="both"/>
              <w:rPr>
                <w:rFonts w:cstheme="minorHAnsi"/>
                <w:sz w:val="24"/>
                <w:szCs w:val="24"/>
              </w:rPr>
            </w:pPr>
            <w:proofErr w:type="gramStart"/>
            <w:r w:rsidRPr="002D7F73">
              <w:rPr>
                <w:rFonts w:cstheme="minorHAnsi"/>
                <w:sz w:val="24"/>
                <w:szCs w:val="24"/>
              </w:rPr>
              <w:t>Total</w:t>
            </w:r>
            <w:proofErr w:type="gramEnd"/>
            <w:r w:rsidRPr="002D7F73">
              <w:rPr>
                <w:rFonts w:cstheme="minorHAnsi"/>
                <w:sz w:val="24"/>
                <w:szCs w:val="24"/>
              </w:rPr>
              <w:t xml:space="preserve"> inmateriales (</w:t>
            </w:r>
            <w:proofErr w:type="spellStart"/>
            <w:r w:rsidRPr="002D7F73">
              <w:rPr>
                <w:rFonts w:cstheme="minorHAnsi"/>
                <w:sz w:val="24"/>
                <w:szCs w:val="24"/>
              </w:rPr>
              <w:t>smlmv</w:t>
            </w:r>
            <w:proofErr w:type="spellEnd"/>
            <w:r w:rsidRPr="002D7F73">
              <w:rPr>
                <w:rFonts w:cstheme="minorHAnsi"/>
                <w:sz w:val="24"/>
                <w:szCs w:val="24"/>
              </w:rPr>
              <w:t>)</w:t>
            </w:r>
          </w:p>
        </w:tc>
        <w:tc>
          <w:tcPr>
            <w:tcW w:w="2680" w:type="dxa"/>
            <w:tcBorders>
              <w:bottom w:val="single" w:sz="4" w:space="0" w:color="auto"/>
              <w:right w:val="single" w:sz="4" w:space="0" w:color="auto"/>
            </w:tcBorders>
            <w:shd w:val="clear" w:color="auto" w:fill="FFFFFF"/>
            <w:noWrap/>
            <w:vAlign w:val="bottom"/>
            <w:hideMark/>
          </w:tcPr>
          <w:p w14:paraId="177EE1B6" w14:textId="77777777" w:rsidR="002D7F73" w:rsidRPr="002D7F73" w:rsidRDefault="002D7F73" w:rsidP="002D7F73">
            <w:pPr>
              <w:jc w:val="both"/>
              <w:rPr>
                <w:rFonts w:cstheme="minorHAnsi"/>
                <w:sz w:val="24"/>
                <w:szCs w:val="24"/>
              </w:rPr>
            </w:pPr>
            <w:r w:rsidRPr="002D7F73">
              <w:rPr>
                <w:rFonts w:cstheme="minorHAnsi"/>
                <w:sz w:val="24"/>
                <w:szCs w:val="24"/>
              </w:rPr>
              <w:t>575</w:t>
            </w:r>
          </w:p>
        </w:tc>
        <w:tc>
          <w:tcPr>
            <w:tcW w:w="2440" w:type="dxa"/>
            <w:tcBorders>
              <w:bottom w:val="single" w:sz="4" w:space="0" w:color="auto"/>
              <w:right w:val="single" w:sz="4" w:space="0" w:color="auto"/>
            </w:tcBorders>
            <w:shd w:val="clear" w:color="auto" w:fill="FFFFFF"/>
            <w:noWrap/>
            <w:vAlign w:val="bottom"/>
            <w:hideMark/>
          </w:tcPr>
          <w:p w14:paraId="79A5CE6B" w14:textId="4C1D2EDD" w:rsidR="002D7F73" w:rsidRPr="002D7F73" w:rsidRDefault="002D7F73" w:rsidP="002D7F73">
            <w:pPr>
              <w:jc w:val="both"/>
              <w:rPr>
                <w:rFonts w:cstheme="minorHAnsi"/>
                <w:sz w:val="24"/>
                <w:szCs w:val="24"/>
              </w:rPr>
            </w:pPr>
          </w:p>
        </w:tc>
      </w:tr>
      <w:tr w:rsidR="002D7F73" w:rsidRPr="002D7F73" w14:paraId="5034BBF9" w14:textId="77777777">
        <w:trPr>
          <w:trHeight w:val="675"/>
        </w:trPr>
        <w:tc>
          <w:tcPr>
            <w:tcW w:w="1760" w:type="dxa"/>
            <w:tcBorders>
              <w:left w:val="single" w:sz="4" w:space="0" w:color="auto"/>
              <w:bottom w:val="single" w:sz="4" w:space="0" w:color="auto"/>
              <w:right w:val="single" w:sz="4" w:space="0" w:color="auto"/>
            </w:tcBorders>
            <w:shd w:val="clear" w:color="auto" w:fill="FFFFFF"/>
            <w:vAlign w:val="bottom"/>
            <w:hideMark/>
          </w:tcPr>
          <w:p w14:paraId="5F9EAB72" w14:textId="77777777" w:rsidR="002D7F73" w:rsidRPr="002D7F73" w:rsidRDefault="002D7F73" w:rsidP="002D7F73">
            <w:pPr>
              <w:jc w:val="both"/>
              <w:rPr>
                <w:rFonts w:cstheme="minorHAnsi"/>
                <w:sz w:val="24"/>
                <w:szCs w:val="24"/>
              </w:rPr>
            </w:pPr>
            <w:proofErr w:type="gramStart"/>
            <w:r w:rsidRPr="002D7F73">
              <w:rPr>
                <w:rFonts w:cstheme="minorHAnsi"/>
                <w:sz w:val="24"/>
                <w:szCs w:val="24"/>
              </w:rPr>
              <w:t>Total</w:t>
            </w:r>
            <w:proofErr w:type="gramEnd"/>
            <w:r w:rsidRPr="002D7F73">
              <w:rPr>
                <w:rFonts w:cstheme="minorHAnsi"/>
                <w:sz w:val="24"/>
                <w:szCs w:val="24"/>
              </w:rPr>
              <w:t xml:space="preserve"> inmateriales (en pesos)</w:t>
            </w:r>
          </w:p>
        </w:tc>
        <w:tc>
          <w:tcPr>
            <w:tcW w:w="2680" w:type="dxa"/>
            <w:tcBorders>
              <w:bottom w:val="single" w:sz="4" w:space="0" w:color="auto"/>
              <w:right w:val="single" w:sz="4" w:space="0" w:color="auto"/>
            </w:tcBorders>
            <w:shd w:val="clear" w:color="auto" w:fill="FFFFFF"/>
            <w:noWrap/>
            <w:vAlign w:val="bottom"/>
            <w:hideMark/>
          </w:tcPr>
          <w:p w14:paraId="65242D0C" w14:textId="169BB026" w:rsidR="002D7F73" w:rsidRPr="002D7F73" w:rsidRDefault="002D7F73" w:rsidP="002D7F73">
            <w:pPr>
              <w:jc w:val="both"/>
              <w:rPr>
                <w:rFonts w:cstheme="minorHAnsi"/>
                <w:sz w:val="24"/>
                <w:szCs w:val="24"/>
              </w:rPr>
            </w:pPr>
            <w:r w:rsidRPr="002D7F73">
              <w:rPr>
                <w:rFonts w:cstheme="minorHAnsi"/>
                <w:sz w:val="24"/>
                <w:szCs w:val="24"/>
              </w:rPr>
              <w:t>$                              818.512.500</w:t>
            </w:r>
          </w:p>
        </w:tc>
        <w:tc>
          <w:tcPr>
            <w:tcW w:w="2440" w:type="dxa"/>
            <w:tcBorders>
              <w:bottom w:val="single" w:sz="4" w:space="0" w:color="auto"/>
              <w:right w:val="single" w:sz="4" w:space="0" w:color="auto"/>
            </w:tcBorders>
            <w:shd w:val="clear" w:color="auto" w:fill="FFFFFF"/>
            <w:noWrap/>
            <w:vAlign w:val="bottom"/>
            <w:hideMark/>
          </w:tcPr>
          <w:p w14:paraId="37E11022" w14:textId="6DC16FCD" w:rsidR="002D7F73" w:rsidRPr="002D7F73" w:rsidRDefault="002D7F73" w:rsidP="002D7F73">
            <w:pPr>
              <w:jc w:val="both"/>
              <w:rPr>
                <w:rFonts w:cstheme="minorHAnsi"/>
                <w:sz w:val="24"/>
                <w:szCs w:val="24"/>
              </w:rPr>
            </w:pPr>
          </w:p>
        </w:tc>
      </w:tr>
    </w:tbl>
    <w:p w14:paraId="121C0E36" w14:textId="77777777" w:rsidR="002D7F73" w:rsidRPr="002D7F73" w:rsidRDefault="002D7F73" w:rsidP="002D7F73">
      <w:pPr>
        <w:jc w:val="both"/>
        <w:rPr>
          <w:rFonts w:cstheme="minorHAnsi"/>
          <w:sz w:val="24"/>
          <w:szCs w:val="24"/>
        </w:rPr>
      </w:pPr>
    </w:p>
    <w:p w14:paraId="5959DD6C" w14:textId="77777777" w:rsidR="002D7F73" w:rsidRPr="002D7F73" w:rsidRDefault="002D7F73" w:rsidP="002D7F73">
      <w:pPr>
        <w:jc w:val="both"/>
        <w:rPr>
          <w:rFonts w:cstheme="minorHAnsi"/>
          <w:sz w:val="24"/>
          <w:szCs w:val="24"/>
        </w:rPr>
      </w:pPr>
    </w:p>
    <w:tbl>
      <w:tblPr>
        <w:tblW w:w="4440" w:type="dxa"/>
        <w:tblCellMar>
          <w:top w:w="15" w:type="dxa"/>
          <w:left w:w="15" w:type="dxa"/>
          <w:bottom w:w="15" w:type="dxa"/>
          <w:right w:w="15" w:type="dxa"/>
        </w:tblCellMar>
        <w:tblLook w:val="04A0" w:firstRow="1" w:lastRow="0" w:firstColumn="1" w:lastColumn="0" w:noHBand="0" w:noVBand="1"/>
      </w:tblPr>
      <w:tblGrid>
        <w:gridCol w:w="1760"/>
        <w:gridCol w:w="2973"/>
      </w:tblGrid>
      <w:tr w:rsidR="002D7F73" w:rsidRPr="002D7F73" w14:paraId="51F60722" w14:textId="77777777">
        <w:trPr>
          <w:trHeight w:val="450"/>
        </w:trPr>
        <w:tc>
          <w:tcPr>
            <w:tcW w:w="1760" w:type="dxa"/>
            <w:tcBorders>
              <w:top w:val="single" w:sz="4" w:space="0" w:color="auto"/>
              <w:left w:val="single" w:sz="4" w:space="0" w:color="auto"/>
              <w:bottom w:val="single" w:sz="4" w:space="0" w:color="auto"/>
              <w:right w:val="single" w:sz="4" w:space="0" w:color="auto"/>
            </w:tcBorders>
            <w:shd w:val="clear" w:color="auto" w:fill="FBE2D5"/>
            <w:vAlign w:val="bottom"/>
            <w:hideMark/>
          </w:tcPr>
          <w:p w14:paraId="67904DBA" w14:textId="77777777" w:rsidR="002D7F73" w:rsidRPr="002D7F73" w:rsidRDefault="002D7F73" w:rsidP="002D7F73">
            <w:pPr>
              <w:jc w:val="both"/>
              <w:rPr>
                <w:rFonts w:cstheme="minorHAnsi"/>
                <w:sz w:val="24"/>
                <w:szCs w:val="24"/>
              </w:rPr>
            </w:pPr>
            <w:r w:rsidRPr="002D7F73">
              <w:rPr>
                <w:rFonts w:cstheme="minorHAnsi"/>
                <w:sz w:val="24"/>
                <w:szCs w:val="24"/>
              </w:rPr>
              <w:t>Póliza Seguros del Estado</w:t>
            </w:r>
          </w:p>
        </w:tc>
        <w:tc>
          <w:tcPr>
            <w:tcW w:w="2680" w:type="dxa"/>
            <w:tcBorders>
              <w:top w:val="single" w:sz="4" w:space="0" w:color="auto"/>
              <w:bottom w:val="single" w:sz="4" w:space="0" w:color="auto"/>
              <w:right w:val="single" w:sz="4" w:space="0" w:color="auto"/>
            </w:tcBorders>
            <w:shd w:val="clear" w:color="auto" w:fill="FBE2D5"/>
            <w:noWrap/>
            <w:vAlign w:val="bottom"/>
            <w:hideMark/>
          </w:tcPr>
          <w:p w14:paraId="2602BC14" w14:textId="77777777" w:rsidR="002D7F73" w:rsidRPr="002D7F73" w:rsidRDefault="002D7F73" w:rsidP="002D7F73">
            <w:pPr>
              <w:jc w:val="both"/>
              <w:rPr>
                <w:rFonts w:cstheme="minorHAnsi"/>
                <w:sz w:val="24"/>
                <w:szCs w:val="24"/>
              </w:rPr>
            </w:pPr>
            <w:r w:rsidRPr="002D7F73">
              <w:rPr>
                <w:rFonts w:cstheme="minorHAnsi"/>
                <w:sz w:val="24"/>
                <w:szCs w:val="24"/>
              </w:rPr>
              <w:t>$ 137.891.000</w:t>
            </w:r>
          </w:p>
        </w:tc>
      </w:tr>
      <w:tr w:rsidR="002D7F73" w:rsidRPr="002D7F73" w14:paraId="6EFCBC05" w14:textId="77777777">
        <w:trPr>
          <w:trHeight w:val="225"/>
        </w:trPr>
        <w:tc>
          <w:tcPr>
            <w:tcW w:w="1760" w:type="dxa"/>
            <w:tcBorders>
              <w:left w:val="single" w:sz="4" w:space="0" w:color="auto"/>
              <w:bottom w:val="single" w:sz="4" w:space="0" w:color="auto"/>
              <w:right w:val="single" w:sz="4" w:space="0" w:color="auto"/>
            </w:tcBorders>
            <w:vAlign w:val="bottom"/>
            <w:hideMark/>
          </w:tcPr>
          <w:p w14:paraId="667C8235" w14:textId="77777777" w:rsidR="002D7F73" w:rsidRPr="002D7F73" w:rsidRDefault="002D7F73" w:rsidP="002D7F73">
            <w:pPr>
              <w:jc w:val="both"/>
              <w:rPr>
                <w:rFonts w:cstheme="minorHAnsi"/>
                <w:sz w:val="24"/>
                <w:szCs w:val="24"/>
              </w:rPr>
            </w:pPr>
            <w:r w:rsidRPr="002D7F73">
              <w:rPr>
                <w:rFonts w:cstheme="minorHAnsi"/>
                <w:sz w:val="24"/>
                <w:szCs w:val="24"/>
              </w:rPr>
              <w:t>Deducible</w:t>
            </w:r>
          </w:p>
        </w:tc>
        <w:tc>
          <w:tcPr>
            <w:tcW w:w="2680" w:type="dxa"/>
            <w:tcBorders>
              <w:bottom w:val="single" w:sz="4" w:space="0" w:color="auto"/>
              <w:right w:val="single" w:sz="4" w:space="0" w:color="auto"/>
            </w:tcBorders>
            <w:noWrap/>
            <w:vAlign w:val="bottom"/>
            <w:hideMark/>
          </w:tcPr>
          <w:p w14:paraId="519C29CF" w14:textId="77777777" w:rsidR="002D7F73" w:rsidRPr="002D7F73" w:rsidRDefault="002D7F73" w:rsidP="002D7F73">
            <w:pPr>
              <w:jc w:val="both"/>
              <w:rPr>
                <w:rFonts w:cstheme="minorHAnsi"/>
                <w:sz w:val="24"/>
                <w:szCs w:val="24"/>
              </w:rPr>
            </w:pPr>
            <w:r w:rsidRPr="002D7F73">
              <w:rPr>
                <w:rFonts w:cstheme="minorHAnsi"/>
                <w:sz w:val="24"/>
                <w:szCs w:val="24"/>
              </w:rPr>
              <w:t>10%</w:t>
            </w:r>
          </w:p>
        </w:tc>
      </w:tr>
      <w:tr w:rsidR="002D7F73" w:rsidRPr="002D7F73" w14:paraId="25A03A0C" w14:textId="77777777">
        <w:trPr>
          <w:trHeight w:val="450"/>
        </w:trPr>
        <w:tc>
          <w:tcPr>
            <w:tcW w:w="1760" w:type="dxa"/>
            <w:tcBorders>
              <w:left w:val="single" w:sz="4" w:space="0" w:color="auto"/>
              <w:bottom w:val="single" w:sz="4" w:space="0" w:color="auto"/>
              <w:right w:val="single" w:sz="4" w:space="0" w:color="auto"/>
            </w:tcBorders>
            <w:vAlign w:val="bottom"/>
            <w:hideMark/>
          </w:tcPr>
          <w:p w14:paraId="70C5F324" w14:textId="77777777" w:rsidR="002D7F73" w:rsidRPr="002D7F73" w:rsidRDefault="002D7F73" w:rsidP="002D7F73">
            <w:pPr>
              <w:jc w:val="both"/>
              <w:rPr>
                <w:rFonts w:cstheme="minorHAnsi"/>
                <w:sz w:val="24"/>
                <w:szCs w:val="24"/>
              </w:rPr>
            </w:pPr>
            <w:r w:rsidRPr="002D7F73">
              <w:rPr>
                <w:rFonts w:cstheme="minorHAnsi"/>
                <w:sz w:val="24"/>
                <w:szCs w:val="24"/>
              </w:rPr>
              <w:t>por Seguros del Estado</w:t>
            </w:r>
          </w:p>
        </w:tc>
        <w:tc>
          <w:tcPr>
            <w:tcW w:w="2680" w:type="dxa"/>
            <w:tcBorders>
              <w:bottom w:val="single" w:sz="4" w:space="0" w:color="auto"/>
              <w:right w:val="single" w:sz="4" w:space="0" w:color="auto"/>
            </w:tcBorders>
            <w:noWrap/>
            <w:vAlign w:val="bottom"/>
            <w:hideMark/>
          </w:tcPr>
          <w:p w14:paraId="750D987F" w14:textId="30EB0F0C" w:rsidR="002D7F73" w:rsidRPr="002D7F73" w:rsidRDefault="002D7F73" w:rsidP="002D7F73">
            <w:pPr>
              <w:jc w:val="both"/>
              <w:rPr>
                <w:rFonts w:cstheme="minorHAnsi"/>
                <w:sz w:val="24"/>
                <w:szCs w:val="24"/>
              </w:rPr>
            </w:pPr>
            <w:r w:rsidRPr="002D7F73">
              <w:rPr>
                <w:rFonts w:cstheme="minorHAnsi"/>
                <w:sz w:val="24"/>
                <w:szCs w:val="24"/>
              </w:rPr>
              <w:t>$                        124.101.900,00</w:t>
            </w:r>
          </w:p>
        </w:tc>
      </w:tr>
      <w:tr w:rsidR="002D7F73" w:rsidRPr="002D7F73" w14:paraId="39838E29" w14:textId="77777777">
        <w:trPr>
          <w:trHeight w:val="1125"/>
        </w:trPr>
        <w:tc>
          <w:tcPr>
            <w:tcW w:w="1760" w:type="dxa"/>
            <w:tcBorders>
              <w:left w:val="single" w:sz="4" w:space="0" w:color="auto"/>
              <w:bottom w:val="single" w:sz="4" w:space="0" w:color="auto"/>
              <w:right w:val="single" w:sz="4" w:space="0" w:color="auto"/>
            </w:tcBorders>
            <w:vAlign w:val="bottom"/>
            <w:hideMark/>
          </w:tcPr>
          <w:p w14:paraId="0EDFA638" w14:textId="77777777" w:rsidR="002D7F73" w:rsidRPr="002D7F73" w:rsidRDefault="002D7F73" w:rsidP="002D7F73">
            <w:pPr>
              <w:jc w:val="both"/>
              <w:rPr>
                <w:rFonts w:cstheme="minorHAnsi"/>
                <w:sz w:val="24"/>
                <w:szCs w:val="24"/>
              </w:rPr>
            </w:pPr>
            <w:r w:rsidRPr="002D7F73">
              <w:rPr>
                <w:rFonts w:cstheme="minorHAnsi"/>
                <w:sz w:val="24"/>
                <w:szCs w:val="24"/>
              </w:rPr>
              <w:t>saldo después de aplicación de póliza de Seguros del Estado</w:t>
            </w:r>
          </w:p>
        </w:tc>
        <w:tc>
          <w:tcPr>
            <w:tcW w:w="2680" w:type="dxa"/>
            <w:tcBorders>
              <w:bottom w:val="single" w:sz="4" w:space="0" w:color="auto"/>
              <w:right w:val="single" w:sz="4" w:space="0" w:color="auto"/>
            </w:tcBorders>
            <w:noWrap/>
            <w:vAlign w:val="bottom"/>
            <w:hideMark/>
          </w:tcPr>
          <w:p w14:paraId="34F86D3D" w14:textId="44AD17B3" w:rsidR="002D7F73" w:rsidRPr="002D7F73" w:rsidRDefault="002D7F73" w:rsidP="002D7F73">
            <w:pPr>
              <w:jc w:val="both"/>
              <w:rPr>
                <w:rFonts w:cstheme="minorHAnsi"/>
                <w:sz w:val="24"/>
                <w:szCs w:val="24"/>
              </w:rPr>
            </w:pPr>
            <w:r w:rsidRPr="002D7F73">
              <w:rPr>
                <w:rFonts w:cstheme="minorHAnsi"/>
                <w:sz w:val="24"/>
                <w:szCs w:val="24"/>
              </w:rPr>
              <w:t>$                        694.410.600,00</w:t>
            </w:r>
          </w:p>
        </w:tc>
      </w:tr>
      <w:tr w:rsidR="002D7F73" w:rsidRPr="002D7F73" w14:paraId="338A36AD" w14:textId="77777777">
        <w:trPr>
          <w:trHeight w:val="225"/>
        </w:trPr>
        <w:tc>
          <w:tcPr>
            <w:tcW w:w="1760" w:type="dxa"/>
            <w:noWrap/>
            <w:vAlign w:val="bottom"/>
            <w:hideMark/>
          </w:tcPr>
          <w:p w14:paraId="06F17BF0" w14:textId="77777777" w:rsidR="002D7F73" w:rsidRPr="002D7F73" w:rsidRDefault="002D7F73" w:rsidP="002D7F73">
            <w:pPr>
              <w:jc w:val="both"/>
              <w:rPr>
                <w:rFonts w:cstheme="minorHAnsi"/>
                <w:sz w:val="24"/>
                <w:szCs w:val="24"/>
              </w:rPr>
            </w:pPr>
          </w:p>
        </w:tc>
        <w:tc>
          <w:tcPr>
            <w:tcW w:w="2680" w:type="dxa"/>
            <w:noWrap/>
            <w:vAlign w:val="bottom"/>
            <w:hideMark/>
          </w:tcPr>
          <w:p w14:paraId="792C4CC6" w14:textId="77777777" w:rsidR="002D7F73" w:rsidRPr="002D7F73" w:rsidRDefault="002D7F73" w:rsidP="002D7F73">
            <w:pPr>
              <w:jc w:val="both"/>
              <w:rPr>
                <w:rFonts w:cstheme="minorHAnsi"/>
                <w:sz w:val="24"/>
                <w:szCs w:val="24"/>
              </w:rPr>
            </w:pPr>
          </w:p>
        </w:tc>
      </w:tr>
      <w:tr w:rsidR="002D7F73" w:rsidRPr="002D7F73" w14:paraId="485908CD" w14:textId="77777777">
        <w:trPr>
          <w:trHeight w:val="450"/>
        </w:trPr>
        <w:tc>
          <w:tcPr>
            <w:tcW w:w="1760" w:type="dxa"/>
            <w:tcBorders>
              <w:top w:val="single" w:sz="4" w:space="0" w:color="auto"/>
              <w:left w:val="single" w:sz="4" w:space="0" w:color="auto"/>
              <w:bottom w:val="single" w:sz="4" w:space="0" w:color="auto"/>
              <w:right w:val="single" w:sz="4" w:space="0" w:color="auto"/>
            </w:tcBorders>
            <w:shd w:val="clear" w:color="auto" w:fill="DAF2D0"/>
            <w:vAlign w:val="bottom"/>
            <w:hideMark/>
          </w:tcPr>
          <w:p w14:paraId="5860504E" w14:textId="77777777" w:rsidR="002D7F73" w:rsidRPr="002D7F73" w:rsidRDefault="002D7F73" w:rsidP="002D7F73">
            <w:pPr>
              <w:jc w:val="both"/>
              <w:rPr>
                <w:rFonts w:cstheme="minorHAnsi"/>
                <w:sz w:val="24"/>
                <w:szCs w:val="24"/>
              </w:rPr>
            </w:pPr>
            <w:r w:rsidRPr="002D7F73">
              <w:rPr>
                <w:rFonts w:cstheme="minorHAnsi"/>
                <w:sz w:val="24"/>
                <w:szCs w:val="24"/>
              </w:rPr>
              <w:t>Póliza RCE Distrito de Cali</w:t>
            </w:r>
          </w:p>
        </w:tc>
        <w:tc>
          <w:tcPr>
            <w:tcW w:w="2680" w:type="dxa"/>
            <w:tcBorders>
              <w:top w:val="single" w:sz="4" w:space="0" w:color="auto"/>
              <w:bottom w:val="single" w:sz="4" w:space="0" w:color="auto"/>
              <w:right w:val="single" w:sz="4" w:space="0" w:color="auto"/>
            </w:tcBorders>
            <w:shd w:val="clear" w:color="auto" w:fill="DAF2D0"/>
            <w:noWrap/>
            <w:vAlign w:val="bottom"/>
            <w:hideMark/>
          </w:tcPr>
          <w:p w14:paraId="01F5A8CA" w14:textId="77777777" w:rsidR="002D7F73" w:rsidRPr="002D7F73" w:rsidRDefault="002D7F73" w:rsidP="002D7F73">
            <w:pPr>
              <w:jc w:val="both"/>
              <w:rPr>
                <w:rFonts w:cstheme="minorHAnsi"/>
                <w:sz w:val="24"/>
                <w:szCs w:val="24"/>
              </w:rPr>
            </w:pPr>
            <w:r w:rsidRPr="002D7F73">
              <w:rPr>
                <w:rFonts w:cstheme="minorHAnsi"/>
                <w:sz w:val="24"/>
                <w:szCs w:val="24"/>
              </w:rPr>
              <w:t>1501215001154</w:t>
            </w:r>
          </w:p>
        </w:tc>
      </w:tr>
      <w:tr w:rsidR="002D7F73" w:rsidRPr="002D7F73" w14:paraId="2EF5CDB0" w14:textId="77777777">
        <w:trPr>
          <w:trHeight w:val="225"/>
        </w:trPr>
        <w:tc>
          <w:tcPr>
            <w:tcW w:w="1760" w:type="dxa"/>
            <w:tcBorders>
              <w:left w:val="single" w:sz="4" w:space="0" w:color="auto"/>
              <w:bottom w:val="single" w:sz="4" w:space="0" w:color="auto"/>
              <w:right w:val="single" w:sz="4" w:space="0" w:color="auto"/>
            </w:tcBorders>
            <w:noWrap/>
            <w:vAlign w:val="bottom"/>
            <w:hideMark/>
          </w:tcPr>
          <w:p w14:paraId="1AB37BE4" w14:textId="77777777" w:rsidR="002D7F73" w:rsidRPr="002D7F73" w:rsidRDefault="002D7F73" w:rsidP="002D7F73">
            <w:pPr>
              <w:jc w:val="both"/>
              <w:rPr>
                <w:rFonts w:cstheme="minorHAnsi"/>
                <w:sz w:val="24"/>
                <w:szCs w:val="24"/>
              </w:rPr>
            </w:pPr>
            <w:r w:rsidRPr="002D7F73">
              <w:rPr>
                <w:rFonts w:cstheme="minorHAnsi"/>
                <w:sz w:val="24"/>
                <w:szCs w:val="24"/>
              </w:rPr>
              <w:t>Valor Asegurado por evento</w:t>
            </w:r>
          </w:p>
        </w:tc>
        <w:tc>
          <w:tcPr>
            <w:tcW w:w="2680" w:type="dxa"/>
            <w:tcBorders>
              <w:bottom w:val="single" w:sz="4" w:space="0" w:color="auto"/>
              <w:right w:val="single" w:sz="4" w:space="0" w:color="auto"/>
            </w:tcBorders>
            <w:noWrap/>
            <w:vAlign w:val="bottom"/>
            <w:hideMark/>
          </w:tcPr>
          <w:p w14:paraId="72A49505" w14:textId="77777777" w:rsidR="002D7F73" w:rsidRPr="002D7F73" w:rsidRDefault="002D7F73" w:rsidP="002D7F73">
            <w:pPr>
              <w:jc w:val="both"/>
              <w:rPr>
                <w:rFonts w:cstheme="minorHAnsi"/>
                <w:sz w:val="24"/>
                <w:szCs w:val="24"/>
              </w:rPr>
            </w:pPr>
            <w:r w:rsidRPr="002D7F73">
              <w:rPr>
                <w:rFonts w:cstheme="minorHAnsi"/>
                <w:sz w:val="24"/>
                <w:szCs w:val="24"/>
              </w:rPr>
              <w:t>$ 800.000.000</w:t>
            </w:r>
          </w:p>
        </w:tc>
      </w:tr>
      <w:tr w:rsidR="002D7F73" w:rsidRPr="002D7F73" w14:paraId="27431E47" w14:textId="77777777">
        <w:trPr>
          <w:trHeight w:val="900"/>
        </w:trPr>
        <w:tc>
          <w:tcPr>
            <w:tcW w:w="1760" w:type="dxa"/>
            <w:tcBorders>
              <w:left w:val="single" w:sz="4" w:space="0" w:color="auto"/>
              <w:bottom w:val="single" w:sz="4" w:space="0" w:color="auto"/>
              <w:right w:val="single" w:sz="4" w:space="0" w:color="auto"/>
            </w:tcBorders>
            <w:vAlign w:val="bottom"/>
            <w:hideMark/>
          </w:tcPr>
          <w:p w14:paraId="26E0AFEE" w14:textId="77777777" w:rsidR="002D7F73" w:rsidRPr="002D7F73" w:rsidRDefault="002D7F73" w:rsidP="002D7F73">
            <w:pPr>
              <w:jc w:val="both"/>
              <w:rPr>
                <w:rFonts w:cstheme="minorHAnsi"/>
                <w:sz w:val="24"/>
                <w:szCs w:val="24"/>
              </w:rPr>
            </w:pPr>
            <w:r w:rsidRPr="002D7F73">
              <w:rPr>
                <w:rFonts w:cstheme="minorHAnsi"/>
                <w:sz w:val="24"/>
                <w:szCs w:val="24"/>
              </w:rPr>
              <w:t xml:space="preserve">Sublimite </w:t>
            </w:r>
            <w:proofErr w:type="spellStart"/>
            <w:r w:rsidRPr="002D7F73">
              <w:rPr>
                <w:rFonts w:cstheme="minorHAnsi"/>
                <w:sz w:val="24"/>
                <w:szCs w:val="24"/>
              </w:rPr>
              <w:t>vehiculos</w:t>
            </w:r>
            <w:proofErr w:type="spellEnd"/>
            <w:r w:rsidRPr="002D7F73">
              <w:rPr>
                <w:rFonts w:cstheme="minorHAnsi"/>
                <w:sz w:val="24"/>
                <w:szCs w:val="24"/>
              </w:rPr>
              <w:t xml:space="preserve"> propios y no propios</w:t>
            </w:r>
          </w:p>
        </w:tc>
        <w:tc>
          <w:tcPr>
            <w:tcW w:w="2680" w:type="dxa"/>
            <w:tcBorders>
              <w:bottom w:val="single" w:sz="4" w:space="0" w:color="auto"/>
              <w:right w:val="single" w:sz="4" w:space="0" w:color="auto"/>
            </w:tcBorders>
            <w:noWrap/>
            <w:vAlign w:val="bottom"/>
            <w:hideMark/>
          </w:tcPr>
          <w:p w14:paraId="14CA12E2" w14:textId="77777777" w:rsidR="002D7F73" w:rsidRPr="002D7F73" w:rsidRDefault="002D7F73" w:rsidP="002D7F73">
            <w:pPr>
              <w:jc w:val="both"/>
              <w:rPr>
                <w:rFonts w:cstheme="minorHAnsi"/>
                <w:sz w:val="24"/>
                <w:szCs w:val="24"/>
              </w:rPr>
            </w:pPr>
            <w:r w:rsidRPr="002D7F73">
              <w:rPr>
                <w:rFonts w:cstheme="minorHAnsi"/>
                <w:sz w:val="24"/>
                <w:szCs w:val="24"/>
              </w:rPr>
              <w:t>0,16</w:t>
            </w:r>
          </w:p>
        </w:tc>
      </w:tr>
      <w:tr w:rsidR="002D7F73" w:rsidRPr="002D7F73" w14:paraId="29BFACCB" w14:textId="77777777">
        <w:trPr>
          <w:trHeight w:val="225"/>
        </w:trPr>
        <w:tc>
          <w:tcPr>
            <w:tcW w:w="1760" w:type="dxa"/>
            <w:tcBorders>
              <w:left w:val="single" w:sz="4" w:space="0" w:color="auto"/>
              <w:bottom w:val="single" w:sz="4" w:space="0" w:color="auto"/>
              <w:right w:val="single" w:sz="4" w:space="0" w:color="auto"/>
            </w:tcBorders>
            <w:noWrap/>
            <w:vAlign w:val="bottom"/>
            <w:hideMark/>
          </w:tcPr>
          <w:p w14:paraId="54ED49C8" w14:textId="77777777" w:rsidR="002D7F73" w:rsidRPr="002D7F73" w:rsidRDefault="002D7F73" w:rsidP="002D7F73">
            <w:pPr>
              <w:jc w:val="both"/>
              <w:rPr>
                <w:rFonts w:cstheme="minorHAnsi"/>
                <w:sz w:val="24"/>
                <w:szCs w:val="24"/>
              </w:rPr>
            </w:pPr>
            <w:r w:rsidRPr="002D7F73">
              <w:rPr>
                <w:rFonts w:cstheme="minorHAnsi"/>
                <w:sz w:val="24"/>
                <w:szCs w:val="24"/>
              </w:rPr>
              <w:t>subtotal</w:t>
            </w:r>
          </w:p>
        </w:tc>
        <w:tc>
          <w:tcPr>
            <w:tcW w:w="2680" w:type="dxa"/>
            <w:tcBorders>
              <w:bottom w:val="single" w:sz="4" w:space="0" w:color="auto"/>
              <w:right w:val="single" w:sz="4" w:space="0" w:color="auto"/>
            </w:tcBorders>
            <w:noWrap/>
            <w:vAlign w:val="bottom"/>
            <w:hideMark/>
          </w:tcPr>
          <w:p w14:paraId="2E345C24" w14:textId="77777777" w:rsidR="002D7F73" w:rsidRPr="002D7F73" w:rsidRDefault="002D7F73" w:rsidP="002D7F73">
            <w:pPr>
              <w:jc w:val="both"/>
              <w:rPr>
                <w:rFonts w:cstheme="minorHAnsi"/>
                <w:sz w:val="24"/>
                <w:szCs w:val="24"/>
              </w:rPr>
            </w:pPr>
            <w:r w:rsidRPr="002D7F73">
              <w:rPr>
                <w:rFonts w:cstheme="minorHAnsi"/>
                <w:b/>
                <w:bCs/>
                <w:sz w:val="24"/>
                <w:szCs w:val="24"/>
              </w:rPr>
              <w:t>$ 128.000.000</w:t>
            </w:r>
          </w:p>
        </w:tc>
      </w:tr>
      <w:tr w:rsidR="002D7F73" w:rsidRPr="002D7F73" w14:paraId="1A97FF43" w14:textId="77777777">
        <w:trPr>
          <w:trHeight w:val="450"/>
        </w:trPr>
        <w:tc>
          <w:tcPr>
            <w:tcW w:w="1760" w:type="dxa"/>
            <w:tcBorders>
              <w:left w:val="single" w:sz="4" w:space="0" w:color="auto"/>
              <w:bottom w:val="single" w:sz="4" w:space="0" w:color="auto"/>
              <w:right w:val="single" w:sz="4" w:space="0" w:color="auto"/>
            </w:tcBorders>
            <w:vAlign w:val="bottom"/>
            <w:hideMark/>
          </w:tcPr>
          <w:p w14:paraId="3954A7CF" w14:textId="77777777" w:rsidR="002D7F73" w:rsidRPr="002D7F73" w:rsidRDefault="002D7F73" w:rsidP="002D7F73">
            <w:pPr>
              <w:jc w:val="both"/>
              <w:rPr>
                <w:rFonts w:cstheme="minorHAnsi"/>
                <w:sz w:val="24"/>
                <w:szCs w:val="24"/>
              </w:rPr>
            </w:pPr>
            <w:r w:rsidRPr="002D7F73">
              <w:rPr>
                <w:rFonts w:cstheme="minorHAnsi"/>
                <w:sz w:val="24"/>
                <w:szCs w:val="24"/>
              </w:rPr>
              <w:t>Deducible</w:t>
            </w:r>
          </w:p>
        </w:tc>
        <w:tc>
          <w:tcPr>
            <w:tcW w:w="2680" w:type="dxa"/>
            <w:tcBorders>
              <w:bottom w:val="single" w:sz="4" w:space="0" w:color="auto"/>
              <w:right w:val="single" w:sz="4" w:space="0" w:color="auto"/>
            </w:tcBorders>
            <w:vAlign w:val="bottom"/>
            <w:hideMark/>
          </w:tcPr>
          <w:p w14:paraId="7FB695A6" w14:textId="77777777" w:rsidR="002D7F73" w:rsidRPr="002D7F73" w:rsidRDefault="002D7F73" w:rsidP="002D7F73">
            <w:pPr>
              <w:jc w:val="both"/>
              <w:rPr>
                <w:rFonts w:cstheme="minorHAnsi"/>
                <w:sz w:val="24"/>
                <w:szCs w:val="24"/>
              </w:rPr>
            </w:pPr>
            <w:r w:rsidRPr="002D7F73">
              <w:rPr>
                <w:rFonts w:cstheme="minorHAnsi"/>
                <w:sz w:val="24"/>
                <w:szCs w:val="24"/>
              </w:rPr>
              <w:t>15% de la pérdida </w:t>
            </w:r>
            <w:r w:rsidRPr="002D7F73">
              <w:rPr>
                <w:rFonts w:cstheme="minorHAnsi"/>
                <w:b/>
                <w:bCs/>
                <w:sz w:val="24"/>
                <w:szCs w:val="24"/>
              </w:rPr>
              <w:t xml:space="preserve">mínimo 40 </w:t>
            </w:r>
            <w:proofErr w:type="spellStart"/>
            <w:r w:rsidRPr="002D7F73">
              <w:rPr>
                <w:rFonts w:cstheme="minorHAnsi"/>
                <w:b/>
                <w:bCs/>
                <w:sz w:val="24"/>
                <w:szCs w:val="24"/>
              </w:rPr>
              <w:t>smlmv</w:t>
            </w:r>
            <w:proofErr w:type="spellEnd"/>
            <w:r w:rsidRPr="002D7F73">
              <w:rPr>
                <w:rFonts w:cstheme="minorHAnsi"/>
                <w:sz w:val="24"/>
                <w:szCs w:val="24"/>
              </w:rPr>
              <w:t> ($27,578,200)</w:t>
            </w:r>
          </w:p>
        </w:tc>
      </w:tr>
      <w:tr w:rsidR="002D7F73" w:rsidRPr="002D7F73" w14:paraId="7DCDD6F2" w14:textId="77777777">
        <w:trPr>
          <w:trHeight w:val="450"/>
        </w:trPr>
        <w:tc>
          <w:tcPr>
            <w:tcW w:w="1760" w:type="dxa"/>
            <w:tcBorders>
              <w:left w:val="single" w:sz="4" w:space="0" w:color="auto"/>
              <w:bottom w:val="single" w:sz="4" w:space="0" w:color="auto"/>
              <w:right w:val="single" w:sz="4" w:space="0" w:color="auto"/>
            </w:tcBorders>
            <w:vAlign w:val="bottom"/>
            <w:hideMark/>
          </w:tcPr>
          <w:p w14:paraId="54286DDA" w14:textId="77777777" w:rsidR="002D7F73" w:rsidRPr="002D7F73" w:rsidRDefault="002D7F73" w:rsidP="002D7F73">
            <w:pPr>
              <w:jc w:val="both"/>
              <w:rPr>
                <w:rFonts w:cstheme="minorHAnsi"/>
                <w:sz w:val="24"/>
                <w:szCs w:val="24"/>
              </w:rPr>
            </w:pPr>
            <w:r w:rsidRPr="002D7F73">
              <w:rPr>
                <w:rFonts w:cstheme="minorHAnsi"/>
                <w:sz w:val="24"/>
                <w:szCs w:val="24"/>
              </w:rPr>
              <w:t>Saldo aplicado el deducible</w:t>
            </w:r>
          </w:p>
        </w:tc>
        <w:tc>
          <w:tcPr>
            <w:tcW w:w="2680" w:type="dxa"/>
            <w:tcBorders>
              <w:bottom w:val="single" w:sz="4" w:space="0" w:color="auto"/>
              <w:right w:val="single" w:sz="4" w:space="0" w:color="auto"/>
            </w:tcBorders>
            <w:noWrap/>
            <w:vAlign w:val="bottom"/>
            <w:hideMark/>
          </w:tcPr>
          <w:p w14:paraId="2E0B2D19" w14:textId="77777777" w:rsidR="002D7F73" w:rsidRPr="002D7F73" w:rsidRDefault="002D7F73" w:rsidP="002D7F73">
            <w:pPr>
              <w:jc w:val="both"/>
              <w:rPr>
                <w:rFonts w:cstheme="minorHAnsi"/>
                <w:sz w:val="24"/>
                <w:szCs w:val="24"/>
              </w:rPr>
            </w:pPr>
            <w:r w:rsidRPr="002D7F73">
              <w:rPr>
                <w:rFonts w:cstheme="minorHAnsi"/>
                <w:sz w:val="24"/>
                <w:szCs w:val="24"/>
              </w:rPr>
              <w:t>$ 100.421.800</w:t>
            </w:r>
          </w:p>
        </w:tc>
      </w:tr>
      <w:tr w:rsidR="002D7F73" w:rsidRPr="002D7F73" w14:paraId="026C4BF6" w14:textId="77777777">
        <w:trPr>
          <w:trHeight w:val="225"/>
        </w:trPr>
        <w:tc>
          <w:tcPr>
            <w:tcW w:w="1760" w:type="dxa"/>
            <w:tcBorders>
              <w:left w:val="single" w:sz="4" w:space="0" w:color="auto"/>
              <w:bottom w:val="single" w:sz="4" w:space="0" w:color="auto"/>
              <w:right w:val="single" w:sz="4" w:space="0" w:color="auto"/>
            </w:tcBorders>
            <w:vAlign w:val="bottom"/>
            <w:hideMark/>
          </w:tcPr>
          <w:p w14:paraId="5CBBEAF6" w14:textId="77777777" w:rsidR="002D7F73" w:rsidRPr="002D7F73" w:rsidRDefault="002D7F73" w:rsidP="002D7F73">
            <w:pPr>
              <w:jc w:val="both"/>
              <w:rPr>
                <w:rFonts w:cstheme="minorHAnsi"/>
                <w:sz w:val="24"/>
                <w:szCs w:val="24"/>
              </w:rPr>
            </w:pPr>
            <w:r w:rsidRPr="002D7F73">
              <w:rPr>
                <w:rFonts w:cstheme="minorHAnsi"/>
                <w:sz w:val="24"/>
                <w:szCs w:val="24"/>
              </w:rPr>
              <w:t>Mapfre (34%)</w:t>
            </w:r>
          </w:p>
        </w:tc>
        <w:tc>
          <w:tcPr>
            <w:tcW w:w="2680" w:type="dxa"/>
            <w:tcBorders>
              <w:bottom w:val="single" w:sz="4" w:space="0" w:color="auto"/>
              <w:right w:val="single" w:sz="4" w:space="0" w:color="auto"/>
            </w:tcBorders>
            <w:noWrap/>
            <w:vAlign w:val="bottom"/>
            <w:hideMark/>
          </w:tcPr>
          <w:p w14:paraId="3031D2AF" w14:textId="77777777" w:rsidR="002D7F73" w:rsidRPr="002D7F73" w:rsidRDefault="002D7F73" w:rsidP="002D7F73">
            <w:pPr>
              <w:jc w:val="both"/>
              <w:rPr>
                <w:rFonts w:cstheme="minorHAnsi"/>
                <w:sz w:val="24"/>
                <w:szCs w:val="24"/>
              </w:rPr>
            </w:pPr>
            <w:r w:rsidRPr="002D7F73">
              <w:rPr>
                <w:rFonts w:cstheme="minorHAnsi"/>
                <w:sz w:val="24"/>
                <w:szCs w:val="24"/>
              </w:rPr>
              <w:t>$ 34.143.412</w:t>
            </w:r>
          </w:p>
        </w:tc>
      </w:tr>
      <w:tr w:rsidR="002D7F73" w:rsidRPr="002D7F73" w14:paraId="012EF66F" w14:textId="77777777">
        <w:trPr>
          <w:trHeight w:val="225"/>
        </w:trPr>
        <w:tc>
          <w:tcPr>
            <w:tcW w:w="1760" w:type="dxa"/>
            <w:tcBorders>
              <w:left w:val="single" w:sz="4" w:space="0" w:color="auto"/>
              <w:bottom w:val="single" w:sz="4" w:space="0" w:color="auto"/>
              <w:right w:val="single" w:sz="4" w:space="0" w:color="auto"/>
            </w:tcBorders>
            <w:shd w:val="clear" w:color="auto" w:fill="FFFF00"/>
            <w:vAlign w:val="bottom"/>
            <w:hideMark/>
          </w:tcPr>
          <w:p w14:paraId="0FAABB51" w14:textId="77777777" w:rsidR="002D7F73" w:rsidRPr="002D7F73" w:rsidRDefault="002D7F73" w:rsidP="002D7F73">
            <w:pPr>
              <w:jc w:val="both"/>
              <w:rPr>
                <w:rFonts w:cstheme="minorHAnsi"/>
                <w:sz w:val="24"/>
                <w:szCs w:val="24"/>
              </w:rPr>
            </w:pPr>
            <w:r w:rsidRPr="002D7F73">
              <w:rPr>
                <w:rFonts w:cstheme="minorHAnsi"/>
                <w:sz w:val="24"/>
                <w:szCs w:val="24"/>
              </w:rPr>
              <w:t>Allianz (23%)</w:t>
            </w:r>
          </w:p>
        </w:tc>
        <w:tc>
          <w:tcPr>
            <w:tcW w:w="2680" w:type="dxa"/>
            <w:tcBorders>
              <w:bottom w:val="single" w:sz="4" w:space="0" w:color="auto"/>
              <w:right w:val="single" w:sz="4" w:space="0" w:color="auto"/>
            </w:tcBorders>
            <w:shd w:val="clear" w:color="auto" w:fill="FFFF00"/>
            <w:noWrap/>
            <w:vAlign w:val="bottom"/>
            <w:hideMark/>
          </w:tcPr>
          <w:p w14:paraId="23E0C695" w14:textId="77777777" w:rsidR="002D7F73" w:rsidRPr="002D7F73" w:rsidRDefault="002D7F73" w:rsidP="002D7F73">
            <w:pPr>
              <w:jc w:val="both"/>
              <w:rPr>
                <w:rFonts w:cstheme="minorHAnsi"/>
                <w:sz w:val="24"/>
                <w:szCs w:val="24"/>
              </w:rPr>
            </w:pPr>
            <w:r w:rsidRPr="002D7F73">
              <w:rPr>
                <w:rFonts w:cstheme="minorHAnsi"/>
                <w:sz w:val="24"/>
                <w:szCs w:val="24"/>
              </w:rPr>
              <w:t>$ 23.097.014</w:t>
            </w:r>
          </w:p>
        </w:tc>
      </w:tr>
      <w:tr w:rsidR="002D7F73" w:rsidRPr="002D7F73" w14:paraId="63019D5B" w14:textId="77777777">
        <w:trPr>
          <w:trHeight w:val="225"/>
        </w:trPr>
        <w:tc>
          <w:tcPr>
            <w:tcW w:w="1760" w:type="dxa"/>
            <w:tcBorders>
              <w:left w:val="single" w:sz="4" w:space="0" w:color="auto"/>
              <w:bottom w:val="single" w:sz="4" w:space="0" w:color="auto"/>
              <w:right w:val="single" w:sz="4" w:space="0" w:color="auto"/>
            </w:tcBorders>
            <w:vAlign w:val="bottom"/>
            <w:hideMark/>
          </w:tcPr>
          <w:p w14:paraId="01B0AB90" w14:textId="77777777" w:rsidR="002D7F73" w:rsidRPr="002D7F73" w:rsidRDefault="002D7F73" w:rsidP="002D7F73">
            <w:pPr>
              <w:jc w:val="both"/>
              <w:rPr>
                <w:rFonts w:cstheme="minorHAnsi"/>
                <w:sz w:val="24"/>
                <w:szCs w:val="24"/>
              </w:rPr>
            </w:pPr>
            <w:proofErr w:type="spellStart"/>
            <w:r w:rsidRPr="002D7F73">
              <w:rPr>
                <w:rFonts w:cstheme="minorHAnsi"/>
                <w:sz w:val="24"/>
                <w:szCs w:val="24"/>
              </w:rPr>
              <w:t>Zurich</w:t>
            </w:r>
            <w:proofErr w:type="spellEnd"/>
            <w:r w:rsidRPr="002D7F73">
              <w:rPr>
                <w:rFonts w:cstheme="minorHAnsi"/>
                <w:sz w:val="24"/>
                <w:szCs w:val="24"/>
              </w:rPr>
              <w:t xml:space="preserve"> (22%)</w:t>
            </w:r>
          </w:p>
        </w:tc>
        <w:tc>
          <w:tcPr>
            <w:tcW w:w="2680" w:type="dxa"/>
            <w:tcBorders>
              <w:bottom w:val="single" w:sz="4" w:space="0" w:color="auto"/>
              <w:right w:val="single" w:sz="4" w:space="0" w:color="auto"/>
            </w:tcBorders>
            <w:noWrap/>
            <w:vAlign w:val="bottom"/>
            <w:hideMark/>
          </w:tcPr>
          <w:p w14:paraId="71B25F5E" w14:textId="77777777" w:rsidR="002D7F73" w:rsidRPr="002D7F73" w:rsidRDefault="002D7F73" w:rsidP="002D7F73">
            <w:pPr>
              <w:jc w:val="both"/>
              <w:rPr>
                <w:rFonts w:cstheme="minorHAnsi"/>
                <w:sz w:val="24"/>
                <w:szCs w:val="24"/>
              </w:rPr>
            </w:pPr>
            <w:r w:rsidRPr="002D7F73">
              <w:rPr>
                <w:rFonts w:cstheme="minorHAnsi"/>
                <w:sz w:val="24"/>
                <w:szCs w:val="24"/>
              </w:rPr>
              <w:t>$ 22.092.796</w:t>
            </w:r>
          </w:p>
        </w:tc>
      </w:tr>
      <w:tr w:rsidR="002D7F73" w:rsidRPr="002D7F73" w14:paraId="0B5685B9" w14:textId="77777777">
        <w:trPr>
          <w:trHeight w:val="225"/>
        </w:trPr>
        <w:tc>
          <w:tcPr>
            <w:tcW w:w="1760" w:type="dxa"/>
            <w:tcBorders>
              <w:left w:val="single" w:sz="4" w:space="0" w:color="auto"/>
              <w:bottom w:val="single" w:sz="4" w:space="0" w:color="auto"/>
              <w:right w:val="single" w:sz="4" w:space="0" w:color="auto"/>
            </w:tcBorders>
            <w:vAlign w:val="bottom"/>
            <w:hideMark/>
          </w:tcPr>
          <w:p w14:paraId="4FFE957B" w14:textId="77777777" w:rsidR="002D7F73" w:rsidRPr="002D7F73" w:rsidRDefault="002D7F73" w:rsidP="002D7F73">
            <w:pPr>
              <w:jc w:val="both"/>
              <w:rPr>
                <w:rFonts w:cstheme="minorHAnsi"/>
                <w:sz w:val="24"/>
                <w:szCs w:val="24"/>
              </w:rPr>
            </w:pPr>
            <w:r w:rsidRPr="002D7F73">
              <w:rPr>
                <w:rFonts w:cstheme="minorHAnsi"/>
                <w:sz w:val="24"/>
                <w:szCs w:val="24"/>
              </w:rPr>
              <w:t>AXA (21%)</w:t>
            </w:r>
          </w:p>
        </w:tc>
        <w:tc>
          <w:tcPr>
            <w:tcW w:w="2680" w:type="dxa"/>
            <w:tcBorders>
              <w:bottom w:val="single" w:sz="4" w:space="0" w:color="auto"/>
              <w:right w:val="single" w:sz="4" w:space="0" w:color="auto"/>
            </w:tcBorders>
            <w:noWrap/>
            <w:vAlign w:val="bottom"/>
            <w:hideMark/>
          </w:tcPr>
          <w:p w14:paraId="74B97F53" w14:textId="77777777" w:rsidR="002D7F73" w:rsidRPr="002D7F73" w:rsidRDefault="002D7F73" w:rsidP="002D7F73">
            <w:pPr>
              <w:jc w:val="both"/>
              <w:rPr>
                <w:rFonts w:cstheme="minorHAnsi"/>
                <w:sz w:val="24"/>
                <w:szCs w:val="24"/>
              </w:rPr>
            </w:pPr>
            <w:r w:rsidRPr="002D7F73">
              <w:rPr>
                <w:rFonts w:cstheme="minorHAnsi"/>
                <w:sz w:val="24"/>
                <w:szCs w:val="24"/>
              </w:rPr>
              <w:t>$ 21.088.578</w:t>
            </w:r>
          </w:p>
        </w:tc>
      </w:tr>
    </w:tbl>
    <w:p w14:paraId="1154B359" w14:textId="77777777" w:rsidR="002D7F73" w:rsidRPr="002D7F73" w:rsidRDefault="002D7F73" w:rsidP="002D7F73">
      <w:pPr>
        <w:jc w:val="both"/>
        <w:rPr>
          <w:rFonts w:cstheme="minorHAnsi"/>
          <w:sz w:val="24"/>
          <w:szCs w:val="24"/>
        </w:rPr>
      </w:pPr>
    </w:p>
    <w:p w14:paraId="79710617" w14:textId="77777777" w:rsidR="002D7F73" w:rsidRPr="002D7F73" w:rsidRDefault="002D7F73" w:rsidP="002D7F73">
      <w:pPr>
        <w:jc w:val="both"/>
        <w:rPr>
          <w:rFonts w:cstheme="minorHAnsi"/>
          <w:sz w:val="24"/>
          <w:szCs w:val="24"/>
        </w:rPr>
      </w:pPr>
      <w:r w:rsidRPr="002D7F73">
        <w:rPr>
          <w:rFonts w:cstheme="minorHAnsi"/>
          <w:b/>
          <w:bCs/>
          <w:sz w:val="24"/>
          <w:szCs w:val="24"/>
        </w:rPr>
        <w:t>Liquidación adicional en caso de afectarse el amparo de responsabilidad civil de contratistas y subcontratistas:</w:t>
      </w:r>
    </w:p>
    <w:p w14:paraId="0003995E" w14:textId="3F730DC9" w:rsidR="002D7F73" w:rsidRPr="002D7F73" w:rsidRDefault="002D7F73" w:rsidP="002D7F73">
      <w:pPr>
        <w:jc w:val="both"/>
        <w:rPr>
          <w:rFonts w:cstheme="minorHAnsi"/>
          <w:sz w:val="24"/>
          <w:szCs w:val="24"/>
        </w:rPr>
      </w:pPr>
      <w:r w:rsidRPr="002D7F73">
        <w:rPr>
          <w:rFonts w:cstheme="minorHAnsi"/>
          <w:sz w:val="24"/>
          <w:szCs w:val="24"/>
        </w:rPr>
        <w:t>Teniendo en cuenta los argumentos expuestos en la recalificación, relacionados con el saldo no cubierto por el amparo de vehículos propios y no propios, así como la eventual ineficacia del llamamiento realizado a la Compañía Mundial de Seguros, se realiza una liquidación adicional frente a los $593.988.800 no cubiertos:</w:t>
      </w:r>
    </w:p>
    <w:p w14:paraId="251F6C1D" w14:textId="77777777" w:rsidR="002D7F73" w:rsidRPr="002D7F73" w:rsidRDefault="002D7F73" w:rsidP="002D7F73">
      <w:pPr>
        <w:jc w:val="both"/>
        <w:rPr>
          <w:rFonts w:cstheme="minorHAnsi"/>
          <w:sz w:val="24"/>
          <w:szCs w:val="24"/>
        </w:rPr>
      </w:pPr>
    </w:p>
    <w:tbl>
      <w:tblPr>
        <w:tblW w:w="5120" w:type="dxa"/>
        <w:tblCellMar>
          <w:left w:w="0" w:type="dxa"/>
          <w:right w:w="0" w:type="dxa"/>
        </w:tblCellMar>
        <w:tblLook w:val="04A0" w:firstRow="1" w:lastRow="0" w:firstColumn="1" w:lastColumn="0" w:noHBand="0" w:noVBand="1"/>
      </w:tblPr>
      <w:tblGrid>
        <w:gridCol w:w="3260"/>
        <w:gridCol w:w="1860"/>
      </w:tblGrid>
      <w:tr w:rsidR="002D7F73" w:rsidRPr="002D7F73" w14:paraId="6351D153" w14:textId="77777777">
        <w:trPr>
          <w:trHeight w:val="225"/>
        </w:trPr>
        <w:tc>
          <w:tcPr>
            <w:tcW w:w="3260" w:type="dxa"/>
            <w:tcBorders>
              <w:top w:val="single" w:sz="4" w:space="0" w:color="auto"/>
              <w:left w:val="single" w:sz="4" w:space="0" w:color="auto"/>
              <w:bottom w:val="single" w:sz="4" w:space="0" w:color="auto"/>
              <w:right w:val="single" w:sz="4" w:space="0" w:color="auto"/>
            </w:tcBorders>
            <w:shd w:val="clear" w:color="auto" w:fill="C0E6F5"/>
            <w:noWrap/>
            <w:tcMar>
              <w:top w:w="15" w:type="dxa"/>
              <w:left w:w="15" w:type="dxa"/>
              <w:bottom w:w="0" w:type="dxa"/>
              <w:right w:w="15" w:type="dxa"/>
            </w:tcMar>
            <w:vAlign w:val="bottom"/>
            <w:hideMark/>
          </w:tcPr>
          <w:p w14:paraId="41835A85" w14:textId="77777777" w:rsidR="002D7F73" w:rsidRPr="002D7F73" w:rsidRDefault="002D7F73" w:rsidP="002D7F73">
            <w:pPr>
              <w:jc w:val="both"/>
              <w:rPr>
                <w:rFonts w:cstheme="minorHAnsi"/>
                <w:sz w:val="24"/>
                <w:szCs w:val="24"/>
              </w:rPr>
            </w:pPr>
            <w:r w:rsidRPr="002D7F73">
              <w:rPr>
                <w:rFonts w:cstheme="minorHAnsi"/>
                <w:sz w:val="24"/>
                <w:szCs w:val="24"/>
              </w:rPr>
              <w:t>Saldo</w:t>
            </w:r>
          </w:p>
        </w:tc>
        <w:tc>
          <w:tcPr>
            <w:tcW w:w="1860" w:type="dxa"/>
            <w:tcBorders>
              <w:top w:val="single" w:sz="4" w:space="0" w:color="auto"/>
              <w:bottom w:val="single" w:sz="4" w:space="0" w:color="auto"/>
              <w:right w:val="single" w:sz="4" w:space="0" w:color="auto"/>
            </w:tcBorders>
            <w:shd w:val="clear" w:color="auto" w:fill="C0E6F5"/>
            <w:noWrap/>
            <w:tcMar>
              <w:top w:w="15" w:type="dxa"/>
              <w:left w:w="15" w:type="dxa"/>
              <w:bottom w:w="0" w:type="dxa"/>
              <w:right w:w="15" w:type="dxa"/>
            </w:tcMar>
            <w:vAlign w:val="bottom"/>
            <w:hideMark/>
          </w:tcPr>
          <w:p w14:paraId="67347AA4" w14:textId="77777777" w:rsidR="002D7F73" w:rsidRPr="002D7F73" w:rsidRDefault="002D7F73" w:rsidP="002D7F73">
            <w:pPr>
              <w:jc w:val="both"/>
              <w:rPr>
                <w:rFonts w:cstheme="minorHAnsi"/>
                <w:sz w:val="24"/>
                <w:szCs w:val="24"/>
              </w:rPr>
            </w:pPr>
            <w:r w:rsidRPr="002D7F73">
              <w:rPr>
                <w:rFonts w:cstheme="minorHAnsi"/>
                <w:sz w:val="24"/>
                <w:szCs w:val="24"/>
              </w:rPr>
              <w:t>$ 593.988.800</w:t>
            </w:r>
          </w:p>
        </w:tc>
      </w:tr>
      <w:tr w:rsidR="002D7F73" w:rsidRPr="002D7F73" w14:paraId="01C17128" w14:textId="77777777">
        <w:trPr>
          <w:trHeight w:val="225"/>
        </w:trPr>
        <w:tc>
          <w:tcPr>
            <w:tcW w:w="3260" w:type="dxa"/>
            <w:tcBorders>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54D83EA2" w14:textId="77777777" w:rsidR="002D7F73" w:rsidRPr="002D7F73" w:rsidRDefault="002D7F73" w:rsidP="002D7F73">
            <w:pPr>
              <w:jc w:val="both"/>
              <w:rPr>
                <w:rFonts w:cstheme="minorHAnsi"/>
                <w:sz w:val="24"/>
                <w:szCs w:val="24"/>
              </w:rPr>
            </w:pPr>
            <w:r w:rsidRPr="002D7F73">
              <w:rPr>
                <w:rFonts w:cstheme="minorHAnsi"/>
                <w:sz w:val="24"/>
                <w:szCs w:val="24"/>
              </w:rPr>
              <w:t>Valor máximo por evento</w:t>
            </w:r>
          </w:p>
        </w:tc>
        <w:tc>
          <w:tcPr>
            <w:tcW w:w="1860" w:type="dxa"/>
            <w:tcBorders>
              <w:bottom w:val="single" w:sz="4" w:space="0" w:color="auto"/>
              <w:right w:val="single" w:sz="4" w:space="0" w:color="auto"/>
            </w:tcBorders>
            <w:noWrap/>
            <w:tcMar>
              <w:top w:w="15" w:type="dxa"/>
              <w:left w:w="15" w:type="dxa"/>
              <w:bottom w:w="0" w:type="dxa"/>
              <w:right w:w="15" w:type="dxa"/>
            </w:tcMar>
            <w:vAlign w:val="bottom"/>
            <w:hideMark/>
          </w:tcPr>
          <w:p w14:paraId="06E7B2C2" w14:textId="77777777" w:rsidR="002D7F73" w:rsidRPr="002D7F73" w:rsidRDefault="002D7F73" w:rsidP="002D7F73">
            <w:pPr>
              <w:jc w:val="both"/>
              <w:rPr>
                <w:rFonts w:cstheme="minorHAnsi"/>
                <w:sz w:val="24"/>
                <w:szCs w:val="24"/>
              </w:rPr>
            </w:pPr>
            <w:r w:rsidRPr="002D7F73">
              <w:rPr>
                <w:rFonts w:cstheme="minorHAnsi"/>
                <w:sz w:val="24"/>
                <w:szCs w:val="24"/>
              </w:rPr>
              <w:t>$ 3.250.000.000</w:t>
            </w:r>
          </w:p>
        </w:tc>
      </w:tr>
      <w:tr w:rsidR="002D7F73" w:rsidRPr="002D7F73" w14:paraId="694C259C" w14:textId="77777777">
        <w:trPr>
          <w:trHeight w:val="225"/>
        </w:trPr>
        <w:tc>
          <w:tcPr>
            <w:tcW w:w="3260" w:type="dxa"/>
            <w:tcBorders>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751EB33E" w14:textId="77777777" w:rsidR="002D7F73" w:rsidRPr="002D7F73" w:rsidRDefault="002D7F73" w:rsidP="002D7F73">
            <w:pPr>
              <w:jc w:val="both"/>
              <w:rPr>
                <w:rFonts w:cstheme="minorHAnsi"/>
                <w:sz w:val="24"/>
                <w:szCs w:val="24"/>
              </w:rPr>
            </w:pPr>
            <w:r w:rsidRPr="002D7F73">
              <w:rPr>
                <w:rFonts w:cstheme="minorHAnsi"/>
                <w:sz w:val="24"/>
                <w:szCs w:val="24"/>
              </w:rPr>
              <w:t>Deducible (15%)</w:t>
            </w:r>
          </w:p>
        </w:tc>
        <w:tc>
          <w:tcPr>
            <w:tcW w:w="1860" w:type="dxa"/>
            <w:tcBorders>
              <w:bottom w:val="single" w:sz="4" w:space="0" w:color="auto"/>
              <w:right w:val="single" w:sz="4" w:space="0" w:color="auto"/>
            </w:tcBorders>
            <w:noWrap/>
            <w:tcMar>
              <w:top w:w="15" w:type="dxa"/>
              <w:left w:w="15" w:type="dxa"/>
              <w:bottom w:w="0" w:type="dxa"/>
              <w:right w:w="15" w:type="dxa"/>
            </w:tcMar>
            <w:vAlign w:val="bottom"/>
            <w:hideMark/>
          </w:tcPr>
          <w:p w14:paraId="35CF35B5" w14:textId="77777777" w:rsidR="002D7F73" w:rsidRPr="002D7F73" w:rsidRDefault="002D7F73" w:rsidP="002D7F73">
            <w:pPr>
              <w:jc w:val="both"/>
              <w:rPr>
                <w:rFonts w:cstheme="minorHAnsi"/>
                <w:sz w:val="24"/>
                <w:szCs w:val="24"/>
              </w:rPr>
            </w:pPr>
            <w:r w:rsidRPr="002D7F73">
              <w:rPr>
                <w:rFonts w:cstheme="minorHAnsi"/>
                <w:sz w:val="24"/>
                <w:szCs w:val="24"/>
              </w:rPr>
              <w:t>$ 89.098.320</w:t>
            </w:r>
          </w:p>
        </w:tc>
      </w:tr>
      <w:tr w:rsidR="002D7F73" w:rsidRPr="002D7F73" w14:paraId="424167CB" w14:textId="77777777">
        <w:trPr>
          <w:trHeight w:val="225"/>
        </w:trPr>
        <w:tc>
          <w:tcPr>
            <w:tcW w:w="3260" w:type="dxa"/>
            <w:tcBorders>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294BCF1B" w14:textId="77777777" w:rsidR="002D7F73" w:rsidRPr="002D7F73" w:rsidRDefault="002D7F73" w:rsidP="002D7F73">
            <w:pPr>
              <w:jc w:val="both"/>
              <w:rPr>
                <w:rFonts w:cstheme="minorHAnsi"/>
                <w:sz w:val="24"/>
                <w:szCs w:val="24"/>
              </w:rPr>
            </w:pPr>
            <w:r w:rsidRPr="002D7F73">
              <w:rPr>
                <w:rFonts w:cstheme="minorHAnsi"/>
                <w:sz w:val="24"/>
                <w:szCs w:val="24"/>
              </w:rPr>
              <w:t>Subtotal</w:t>
            </w:r>
          </w:p>
        </w:tc>
        <w:tc>
          <w:tcPr>
            <w:tcW w:w="1860" w:type="dxa"/>
            <w:tcBorders>
              <w:bottom w:val="single" w:sz="4" w:space="0" w:color="auto"/>
              <w:right w:val="single" w:sz="4" w:space="0" w:color="auto"/>
            </w:tcBorders>
            <w:shd w:val="clear" w:color="auto" w:fill="FFFF00"/>
            <w:noWrap/>
            <w:tcMar>
              <w:top w:w="15" w:type="dxa"/>
              <w:left w:w="15" w:type="dxa"/>
              <w:bottom w:w="0" w:type="dxa"/>
              <w:right w:w="15" w:type="dxa"/>
            </w:tcMar>
            <w:vAlign w:val="bottom"/>
            <w:hideMark/>
          </w:tcPr>
          <w:p w14:paraId="5C54F4D5" w14:textId="77777777" w:rsidR="002D7F73" w:rsidRPr="002D7F73" w:rsidRDefault="002D7F73" w:rsidP="002D7F73">
            <w:pPr>
              <w:jc w:val="both"/>
              <w:rPr>
                <w:rFonts w:cstheme="minorHAnsi"/>
                <w:sz w:val="24"/>
                <w:szCs w:val="24"/>
              </w:rPr>
            </w:pPr>
            <w:r w:rsidRPr="002D7F73">
              <w:rPr>
                <w:rFonts w:cstheme="minorHAnsi"/>
                <w:sz w:val="24"/>
                <w:szCs w:val="24"/>
              </w:rPr>
              <w:t>$ 504.890.480</w:t>
            </w:r>
          </w:p>
        </w:tc>
      </w:tr>
      <w:tr w:rsidR="002D7F73" w:rsidRPr="002D7F73" w14:paraId="0F6CA5EC" w14:textId="77777777">
        <w:trPr>
          <w:trHeight w:val="300"/>
        </w:trPr>
        <w:tc>
          <w:tcPr>
            <w:tcW w:w="5120"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hideMark/>
          </w:tcPr>
          <w:p w14:paraId="6237BD79" w14:textId="77777777" w:rsidR="002D7F73" w:rsidRPr="002D7F73" w:rsidRDefault="002D7F73" w:rsidP="002D7F73">
            <w:pPr>
              <w:jc w:val="both"/>
              <w:rPr>
                <w:rFonts w:cstheme="minorHAnsi"/>
                <w:sz w:val="24"/>
                <w:szCs w:val="24"/>
              </w:rPr>
            </w:pPr>
            <w:r w:rsidRPr="002D7F73">
              <w:rPr>
                <w:rFonts w:cstheme="minorHAnsi"/>
                <w:sz w:val="24"/>
                <w:szCs w:val="24"/>
              </w:rPr>
              <w:t>Coaseguro</w:t>
            </w:r>
          </w:p>
        </w:tc>
      </w:tr>
      <w:tr w:rsidR="002D7F73" w:rsidRPr="002D7F73" w14:paraId="19A886A1" w14:textId="77777777">
        <w:trPr>
          <w:trHeight w:val="225"/>
        </w:trPr>
        <w:tc>
          <w:tcPr>
            <w:tcW w:w="3260" w:type="dxa"/>
            <w:tcBorders>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562615D7" w14:textId="77777777" w:rsidR="002D7F73" w:rsidRPr="002D7F73" w:rsidRDefault="002D7F73" w:rsidP="002D7F73">
            <w:pPr>
              <w:jc w:val="both"/>
              <w:rPr>
                <w:rFonts w:cstheme="minorHAnsi"/>
                <w:sz w:val="24"/>
                <w:szCs w:val="24"/>
              </w:rPr>
            </w:pPr>
            <w:r w:rsidRPr="002D7F73">
              <w:rPr>
                <w:rFonts w:cstheme="minorHAnsi"/>
                <w:sz w:val="24"/>
                <w:szCs w:val="24"/>
              </w:rPr>
              <w:t>Mapfre (34%)</w:t>
            </w:r>
          </w:p>
        </w:tc>
        <w:tc>
          <w:tcPr>
            <w:tcW w:w="1860" w:type="dxa"/>
            <w:tcBorders>
              <w:bottom w:val="single" w:sz="4" w:space="0" w:color="auto"/>
              <w:right w:val="single" w:sz="4" w:space="0" w:color="auto"/>
            </w:tcBorders>
            <w:noWrap/>
            <w:tcMar>
              <w:top w:w="15" w:type="dxa"/>
              <w:left w:w="15" w:type="dxa"/>
              <w:bottom w:w="0" w:type="dxa"/>
              <w:right w:w="15" w:type="dxa"/>
            </w:tcMar>
            <w:vAlign w:val="bottom"/>
            <w:hideMark/>
          </w:tcPr>
          <w:p w14:paraId="0E20C169" w14:textId="77777777" w:rsidR="002D7F73" w:rsidRPr="002D7F73" w:rsidRDefault="002D7F73" w:rsidP="002D7F73">
            <w:pPr>
              <w:jc w:val="both"/>
              <w:rPr>
                <w:rFonts w:cstheme="minorHAnsi"/>
                <w:sz w:val="24"/>
                <w:szCs w:val="24"/>
              </w:rPr>
            </w:pPr>
            <w:r w:rsidRPr="002D7F73">
              <w:rPr>
                <w:rFonts w:cstheme="minorHAnsi"/>
                <w:sz w:val="24"/>
                <w:szCs w:val="24"/>
              </w:rPr>
              <w:t>$ 171.662.763</w:t>
            </w:r>
          </w:p>
        </w:tc>
      </w:tr>
      <w:tr w:rsidR="002D7F73" w:rsidRPr="002D7F73" w14:paraId="5788228F" w14:textId="77777777">
        <w:trPr>
          <w:trHeight w:val="225"/>
        </w:trPr>
        <w:tc>
          <w:tcPr>
            <w:tcW w:w="3260" w:type="dxa"/>
            <w:tcBorders>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71418BC7" w14:textId="77777777" w:rsidR="002D7F73" w:rsidRPr="002D7F73" w:rsidRDefault="002D7F73" w:rsidP="002D7F73">
            <w:pPr>
              <w:jc w:val="both"/>
              <w:rPr>
                <w:rFonts w:cstheme="minorHAnsi"/>
                <w:sz w:val="24"/>
                <w:szCs w:val="24"/>
              </w:rPr>
            </w:pPr>
            <w:r w:rsidRPr="002D7F73">
              <w:rPr>
                <w:rFonts w:cstheme="minorHAnsi"/>
                <w:sz w:val="24"/>
                <w:szCs w:val="24"/>
              </w:rPr>
              <w:t>Allianz (23%)</w:t>
            </w:r>
          </w:p>
        </w:tc>
        <w:tc>
          <w:tcPr>
            <w:tcW w:w="1860" w:type="dxa"/>
            <w:tcBorders>
              <w:bottom w:val="single" w:sz="4" w:space="0" w:color="auto"/>
              <w:right w:val="single" w:sz="4" w:space="0" w:color="auto"/>
            </w:tcBorders>
            <w:noWrap/>
            <w:tcMar>
              <w:top w:w="15" w:type="dxa"/>
              <w:left w:w="15" w:type="dxa"/>
              <w:bottom w:w="0" w:type="dxa"/>
              <w:right w:w="15" w:type="dxa"/>
            </w:tcMar>
            <w:vAlign w:val="bottom"/>
            <w:hideMark/>
          </w:tcPr>
          <w:p w14:paraId="7A9C4175" w14:textId="77777777" w:rsidR="002D7F73" w:rsidRPr="002D7F73" w:rsidRDefault="002D7F73" w:rsidP="002D7F73">
            <w:pPr>
              <w:jc w:val="both"/>
              <w:rPr>
                <w:rFonts w:cstheme="minorHAnsi"/>
                <w:sz w:val="24"/>
                <w:szCs w:val="24"/>
              </w:rPr>
            </w:pPr>
            <w:r w:rsidRPr="002D7F73">
              <w:rPr>
                <w:rFonts w:cstheme="minorHAnsi"/>
                <w:sz w:val="24"/>
                <w:szCs w:val="24"/>
                <w:highlight w:val="yellow"/>
              </w:rPr>
              <w:t>$ 116.124.810</w:t>
            </w:r>
          </w:p>
        </w:tc>
      </w:tr>
      <w:tr w:rsidR="002D7F73" w:rsidRPr="002D7F73" w14:paraId="5D3BA182" w14:textId="77777777">
        <w:trPr>
          <w:trHeight w:val="225"/>
        </w:trPr>
        <w:tc>
          <w:tcPr>
            <w:tcW w:w="3260" w:type="dxa"/>
            <w:tcBorders>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1CA2A7EF" w14:textId="77777777" w:rsidR="002D7F73" w:rsidRPr="002D7F73" w:rsidRDefault="002D7F73" w:rsidP="002D7F73">
            <w:pPr>
              <w:jc w:val="both"/>
              <w:rPr>
                <w:rFonts w:cstheme="minorHAnsi"/>
                <w:sz w:val="24"/>
                <w:szCs w:val="24"/>
              </w:rPr>
            </w:pPr>
            <w:proofErr w:type="spellStart"/>
            <w:r w:rsidRPr="002D7F73">
              <w:rPr>
                <w:rFonts w:cstheme="minorHAnsi"/>
                <w:sz w:val="24"/>
                <w:szCs w:val="24"/>
              </w:rPr>
              <w:t>Zurich</w:t>
            </w:r>
            <w:proofErr w:type="spellEnd"/>
            <w:r w:rsidRPr="002D7F73">
              <w:rPr>
                <w:rFonts w:cstheme="minorHAnsi"/>
                <w:sz w:val="24"/>
                <w:szCs w:val="24"/>
              </w:rPr>
              <w:t xml:space="preserve"> (22%)</w:t>
            </w:r>
          </w:p>
        </w:tc>
        <w:tc>
          <w:tcPr>
            <w:tcW w:w="1860" w:type="dxa"/>
            <w:tcBorders>
              <w:bottom w:val="single" w:sz="4" w:space="0" w:color="auto"/>
              <w:right w:val="single" w:sz="4" w:space="0" w:color="auto"/>
            </w:tcBorders>
            <w:noWrap/>
            <w:tcMar>
              <w:top w:w="15" w:type="dxa"/>
              <w:left w:w="15" w:type="dxa"/>
              <w:bottom w:w="0" w:type="dxa"/>
              <w:right w:w="15" w:type="dxa"/>
            </w:tcMar>
            <w:vAlign w:val="bottom"/>
            <w:hideMark/>
          </w:tcPr>
          <w:p w14:paraId="27114974" w14:textId="77777777" w:rsidR="002D7F73" w:rsidRPr="002D7F73" w:rsidRDefault="002D7F73" w:rsidP="002D7F73">
            <w:pPr>
              <w:jc w:val="both"/>
              <w:rPr>
                <w:rFonts w:cstheme="minorHAnsi"/>
                <w:sz w:val="24"/>
                <w:szCs w:val="24"/>
              </w:rPr>
            </w:pPr>
            <w:r w:rsidRPr="002D7F73">
              <w:rPr>
                <w:rFonts w:cstheme="minorHAnsi"/>
                <w:sz w:val="24"/>
                <w:szCs w:val="24"/>
              </w:rPr>
              <w:t>$ 111.075.906</w:t>
            </w:r>
          </w:p>
        </w:tc>
      </w:tr>
      <w:tr w:rsidR="002D7F73" w:rsidRPr="002D7F73" w14:paraId="40C98357" w14:textId="77777777">
        <w:trPr>
          <w:trHeight w:val="225"/>
        </w:trPr>
        <w:tc>
          <w:tcPr>
            <w:tcW w:w="3260" w:type="dxa"/>
            <w:tcBorders>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53AFE52C" w14:textId="77777777" w:rsidR="002D7F73" w:rsidRPr="002D7F73" w:rsidRDefault="002D7F73" w:rsidP="002D7F73">
            <w:pPr>
              <w:jc w:val="both"/>
              <w:rPr>
                <w:rFonts w:cstheme="minorHAnsi"/>
                <w:sz w:val="24"/>
                <w:szCs w:val="24"/>
              </w:rPr>
            </w:pPr>
            <w:r w:rsidRPr="002D7F73">
              <w:rPr>
                <w:rFonts w:cstheme="minorHAnsi"/>
                <w:sz w:val="24"/>
                <w:szCs w:val="24"/>
              </w:rPr>
              <w:t>AXA (21%)</w:t>
            </w:r>
          </w:p>
        </w:tc>
        <w:tc>
          <w:tcPr>
            <w:tcW w:w="1860" w:type="dxa"/>
            <w:tcBorders>
              <w:bottom w:val="single" w:sz="4" w:space="0" w:color="auto"/>
              <w:right w:val="single" w:sz="4" w:space="0" w:color="auto"/>
            </w:tcBorders>
            <w:noWrap/>
            <w:tcMar>
              <w:top w:w="15" w:type="dxa"/>
              <w:left w:w="15" w:type="dxa"/>
              <w:bottom w:w="0" w:type="dxa"/>
              <w:right w:w="15" w:type="dxa"/>
            </w:tcMar>
            <w:vAlign w:val="bottom"/>
            <w:hideMark/>
          </w:tcPr>
          <w:p w14:paraId="1DF7A6DF" w14:textId="77777777" w:rsidR="002D7F73" w:rsidRPr="002D7F73" w:rsidRDefault="002D7F73" w:rsidP="002D7F73">
            <w:pPr>
              <w:jc w:val="both"/>
              <w:rPr>
                <w:rFonts w:cstheme="minorHAnsi"/>
                <w:sz w:val="24"/>
                <w:szCs w:val="24"/>
              </w:rPr>
            </w:pPr>
            <w:r w:rsidRPr="002D7F73">
              <w:rPr>
                <w:rFonts w:cstheme="minorHAnsi"/>
                <w:sz w:val="24"/>
                <w:szCs w:val="24"/>
              </w:rPr>
              <w:t>$ 106.027.001</w:t>
            </w:r>
          </w:p>
        </w:tc>
      </w:tr>
    </w:tbl>
    <w:p w14:paraId="0DC081A4" w14:textId="77777777" w:rsidR="002D7F73" w:rsidRPr="002D7F73" w:rsidRDefault="002D7F73" w:rsidP="002D7F73">
      <w:pPr>
        <w:jc w:val="both"/>
        <w:rPr>
          <w:rFonts w:cstheme="minorHAnsi"/>
          <w:sz w:val="24"/>
          <w:szCs w:val="24"/>
        </w:rPr>
      </w:pPr>
    </w:p>
    <w:p w14:paraId="7F4CE730" w14:textId="7BABB3BB" w:rsidR="002D7F73" w:rsidRPr="002D7F73" w:rsidRDefault="002D7F73" w:rsidP="00442B88">
      <w:pPr>
        <w:jc w:val="both"/>
        <w:rPr>
          <w:rFonts w:cstheme="minorHAnsi"/>
          <w:sz w:val="24"/>
          <w:szCs w:val="24"/>
        </w:rPr>
      </w:pPr>
    </w:p>
    <w:p w14:paraId="2886B3C3" w14:textId="77777777" w:rsidR="001D488D" w:rsidRPr="002D7F73" w:rsidRDefault="001D488D" w:rsidP="002D7F73">
      <w:pPr>
        <w:jc w:val="both"/>
        <w:rPr>
          <w:rFonts w:cstheme="minorHAnsi"/>
          <w:sz w:val="24"/>
          <w:szCs w:val="24"/>
        </w:rPr>
      </w:pPr>
    </w:p>
    <w:sectPr w:rsidR="001D488D" w:rsidRPr="002D7F73" w:rsidSect="002D7F73">
      <w:pgSz w:w="12240" w:h="15840"/>
      <w:pgMar w:top="709" w:right="170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E2E49"/>
    <w:multiLevelType w:val="multilevel"/>
    <w:tmpl w:val="E6529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2D679B5"/>
    <w:multiLevelType w:val="multilevel"/>
    <w:tmpl w:val="980C9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55909533">
    <w:abstractNumId w:val="1"/>
  </w:num>
  <w:num w:numId="2" w16cid:durableId="292250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F73"/>
    <w:rsid w:val="00095E81"/>
    <w:rsid w:val="001D488D"/>
    <w:rsid w:val="002D7F73"/>
    <w:rsid w:val="00442B88"/>
    <w:rsid w:val="004A7C13"/>
    <w:rsid w:val="00732657"/>
    <w:rsid w:val="008027BD"/>
    <w:rsid w:val="008D2EBE"/>
    <w:rsid w:val="00B726E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E6975"/>
  <w15:chartTrackingRefBased/>
  <w15:docId w15:val="{B60BAEA4-74FE-4281-88C1-676F2300E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D7F7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2D7F7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2D7F73"/>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2D7F73"/>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2D7F73"/>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2D7F7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D7F7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D7F7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D7F7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D7F73"/>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2D7F73"/>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2D7F73"/>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2D7F73"/>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2D7F73"/>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2D7F7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D7F7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D7F7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D7F73"/>
    <w:rPr>
      <w:rFonts w:eastAsiaTheme="majorEastAsia" w:cstheme="majorBidi"/>
      <w:color w:val="272727" w:themeColor="text1" w:themeTint="D8"/>
    </w:rPr>
  </w:style>
  <w:style w:type="paragraph" w:styleId="Ttulo">
    <w:name w:val="Title"/>
    <w:basedOn w:val="Normal"/>
    <w:next w:val="Normal"/>
    <w:link w:val="TtuloCar"/>
    <w:uiPriority w:val="10"/>
    <w:qFormat/>
    <w:rsid w:val="002D7F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D7F7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D7F7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D7F7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D7F73"/>
    <w:pPr>
      <w:spacing w:before="160"/>
      <w:jc w:val="center"/>
    </w:pPr>
    <w:rPr>
      <w:i/>
      <w:iCs/>
      <w:color w:val="404040" w:themeColor="text1" w:themeTint="BF"/>
    </w:rPr>
  </w:style>
  <w:style w:type="character" w:customStyle="1" w:styleId="CitaCar">
    <w:name w:val="Cita Car"/>
    <w:basedOn w:val="Fuentedeprrafopredeter"/>
    <w:link w:val="Cita"/>
    <w:uiPriority w:val="29"/>
    <w:rsid w:val="002D7F73"/>
    <w:rPr>
      <w:i/>
      <w:iCs/>
      <w:color w:val="404040" w:themeColor="text1" w:themeTint="BF"/>
    </w:rPr>
  </w:style>
  <w:style w:type="paragraph" w:styleId="Prrafodelista">
    <w:name w:val="List Paragraph"/>
    <w:basedOn w:val="Normal"/>
    <w:uiPriority w:val="34"/>
    <w:qFormat/>
    <w:rsid w:val="002D7F73"/>
    <w:pPr>
      <w:ind w:left="720"/>
      <w:contextualSpacing/>
    </w:pPr>
  </w:style>
  <w:style w:type="character" w:styleId="nfasisintenso">
    <w:name w:val="Intense Emphasis"/>
    <w:basedOn w:val="Fuentedeprrafopredeter"/>
    <w:uiPriority w:val="21"/>
    <w:qFormat/>
    <w:rsid w:val="002D7F73"/>
    <w:rPr>
      <w:i/>
      <w:iCs/>
      <w:color w:val="2F5496" w:themeColor="accent1" w:themeShade="BF"/>
    </w:rPr>
  </w:style>
  <w:style w:type="paragraph" w:styleId="Citadestacada">
    <w:name w:val="Intense Quote"/>
    <w:basedOn w:val="Normal"/>
    <w:next w:val="Normal"/>
    <w:link w:val="CitadestacadaCar"/>
    <w:uiPriority w:val="30"/>
    <w:qFormat/>
    <w:rsid w:val="002D7F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2D7F73"/>
    <w:rPr>
      <w:i/>
      <w:iCs/>
      <w:color w:val="2F5496" w:themeColor="accent1" w:themeShade="BF"/>
    </w:rPr>
  </w:style>
  <w:style w:type="character" w:styleId="Referenciaintensa">
    <w:name w:val="Intense Reference"/>
    <w:basedOn w:val="Fuentedeprrafopredeter"/>
    <w:uiPriority w:val="32"/>
    <w:qFormat/>
    <w:rsid w:val="002D7F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1797</Words>
  <Characters>9889</Characters>
  <Application>Microsoft Office Word</Application>
  <DocSecurity>0</DocSecurity>
  <Lines>82</Lines>
  <Paragraphs>23</Paragraphs>
  <ScaleCrop>false</ScaleCrop>
  <Company/>
  <LinksUpToDate>false</LinksUpToDate>
  <CharactersWithSpaces>11663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Informes GHA</dc:creator>
  <cp:keywords/>
  <dc:description/>
  <cp:lastModifiedBy>Informes GHA</cp:lastModifiedBy>
  <cp:revision>2</cp:revision>
  <dcterms:created xsi:type="dcterms:W3CDTF">2025-09-02T03:23:00Z</dcterms:created>
  <dcterms:modified xsi:type="dcterms:W3CDTF">2025-09-02T03:33:00Z</dcterms:modified>
</cp:coreProperties>
</file>