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45A" w14:textId="77777777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  <w:r>
        <w:rPr>
          <w:rFonts w:ascii="TimesNewRomanPSMT" w:hAnsi="TimesNewRomanPSMT" w:cs="TimesNewRomanPSMT"/>
          <w:kern w:val="0"/>
          <w:sz w:val="20"/>
          <w:szCs w:val="20"/>
          <w:lang w:val="es-CO"/>
        </w:rPr>
        <w:t>22-2021-236-01 BERNARDO CERON DE SOUSA VS COLPENSIONES Y OTROS</w:t>
      </w:r>
    </w:p>
    <w:p w14:paraId="4BD723CF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AF4C83A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7B0A37D7" w14:textId="5A2B57E0" w:rsidR="009D7BA8" w:rsidRDefault="009D7BA8" w:rsidP="000B2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REPUBLICA DE COLOMBIA</w:t>
      </w:r>
    </w:p>
    <w:p w14:paraId="520D2752" w14:textId="77777777" w:rsidR="009D7BA8" w:rsidRDefault="009D7BA8" w:rsidP="000B2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TRIBUNAL SUPERIOR DE BOGOTA D.C.</w:t>
      </w:r>
    </w:p>
    <w:p w14:paraId="5DAA4423" w14:textId="77777777" w:rsidR="009D7BA8" w:rsidRDefault="009D7BA8" w:rsidP="000B2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SALA LABORAL</w:t>
      </w:r>
    </w:p>
    <w:p w14:paraId="2EBD3A85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BD40349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804DA43" w14:textId="0BB22221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PROCESO ORDINARIO No.</w:t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22-2021-236-01</w:t>
      </w:r>
    </w:p>
    <w:p w14:paraId="1D363D98" w14:textId="789BA7AA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ASUNTO: </w:t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APELACIÓN AUTO</w:t>
      </w:r>
    </w:p>
    <w:p w14:paraId="44E5B05B" w14:textId="3CCC2E1E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DEMANDANTE: </w:t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BERNANDO CERON DE SOUSA</w:t>
      </w:r>
    </w:p>
    <w:p w14:paraId="3AAB7F7B" w14:textId="47989A54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DEMANDADOS: </w:t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 w:rsidR="000B2677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ab/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COLPENSIONES Y OTROS</w:t>
      </w:r>
    </w:p>
    <w:p w14:paraId="52ECD16D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0466527" w14:textId="185012C5" w:rsidR="009D7BA8" w:rsidRDefault="009D7BA8" w:rsidP="000B2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MAGISTRADA PONENTE</w:t>
      </w:r>
    </w:p>
    <w:p w14:paraId="07A37059" w14:textId="77777777" w:rsidR="009D7BA8" w:rsidRDefault="009D7BA8" w:rsidP="000B26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7DED6BDE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15E2485" w14:textId="77777777" w:rsidR="000B2677" w:rsidRDefault="000B2677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46DEDA3" w14:textId="77777777" w:rsidR="0093718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RECONÓZCASE PERSONERÍA </w:t>
      </w:r>
      <w:r>
        <w:rPr>
          <w:rFonts w:ascii="ArialMT" w:hAnsi="ArialMT" w:cs="ArialMT"/>
          <w:kern w:val="0"/>
          <w:sz w:val="24"/>
          <w:szCs w:val="24"/>
          <w:lang w:val="es-CO"/>
        </w:rPr>
        <w:t>al Doctor JUAN PABLO MELO ZAPATA,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identificado como aparece al pie de su firma, en documental contentiva de poder; en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calidad de apoderado de la demandada Colpensiones, en los términos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</w:p>
    <w:p w14:paraId="13C53DC6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7B0EEEF" w14:textId="2842550B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Bogotá D.C., a los veintidós (22) días del mes de marzo de dos mil veinticuatro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(2024); previa deliberación de los Magistrados y conforme a los términos acordados en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 Sala de Decisión, se procede a dictar la siguiente,</w:t>
      </w:r>
    </w:p>
    <w:p w14:paraId="4C149AF6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69CB26E1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DECISION</w:t>
      </w:r>
    </w:p>
    <w:p w14:paraId="379CEBDD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19F80B2" w14:textId="4D89B9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Tribunal Superior de Bogotá por conducto de la Sala Laboral, resuelve el recurso</w:t>
      </w:r>
    </w:p>
    <w:p w14:paraId="5119BB9F" w14:textId="22B46DE3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de apelación interpuesto por la apoderada de COLFONDOS SA; contra el auto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proferido por la Juez 22 Laboral del Circuito de Bogotá, el día veintidós (22) de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agosto de dos mil veintitrés (2023), por medio del cual negó el llamamiento en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garantía que hiciera a SEGUROS DE VIDA COLPATRIA SA HOY AXA COLPATRIA</w:t>
      </w:r>
    </w:p>
    <w:p w14:paraId="1BC361F9" w14:textId="35727150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SEGUROS DE VIDA SA, ALLIANZA SEGUROS DE VIDA SA Y MAPFRE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COLOMBIA VIDA SEGUROS SA.</w:t>
      </w:r>
    </w:p>
    <w:p w14:paraId="693BFE11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192408F" w14:textId="10DF7FF1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ALEGACIONES</w:t>
      </w:r>
    </w:p>
    <w:p w14:paraId="2624BEB8" w14:textId="77777777" w:rsidR="00937188" w:rsidRDefault="0093718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18AEA13" w14:textId="35F0AA26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Durante el término concedido en providencia anterior a las partes para presentar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alegaciones, fueron remitidas las de Colpensiones.</w:t>
      </w:r>
    </w:p>
    <w:p w14:paraId="3942A741" w14:textId="6DAA299D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</w:p>
    <w:p w14:paraId="656C3028" w14:textId="77777777" w:rsidR="00937188" w:rsidRDefault="0093718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D1745F9" w14:textId="0271DE5C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HECHOS</w:t>
      </w:r>
    </w:p>
    <w:p w14:paraId="0D6636DA" w14:textId="77777777" w:rsidR="00937188" w:rsidRDefault="0093718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C15C5BF" w14:textId="55E92AE4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El señor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BERNARDO CERON DE SOUSA</w:t>
      </w:r>
      <w:r>
        <w:rPr>
          <w:rFonts w:ascii="ArialMT" w:hAnsi="ArialMT" w:cs="ArialMT"/>
          <w:kern w:val="0"/>
          <w:sz w:val="24"/>
          <w:szCs w:val="24"/>
          <w:lang w:val="es-CO"/>
        </w:rPr>
        <w:t>, instauró demanda a través de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apoderado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en contra de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COLPENSIONES, Y OTROS, para </w:t>
      </w:r>
      <w:r>
        <w:rPr>
          <w:rFonts w:ascii="ArialMT" w:hAnsi="ArialMT" w:cs="ArialMT"/>
          <w:kern w:val="0"/>
          <w:sz w:val="24"/>
          <w:szCs w:val="24"/>
          <w:lang w:val="es-CO"/>
        </w:rPr>
        <w:t>que a través de un proceso ordinario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laboral se declare la ineficacia del traslado efectuado al RAIS, </w:t>
      </w: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en el mes de junio de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2000 y en consecuencia la inoperancia de sus efectos (Expediente Digitalizado).</w:t>
      </w:r>
    </w:p>
    <w:p w14:paraId="63AA8282" w14:textId="77777777" w:rsidR="00937188" w:rsidRDefault="0093718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D4531D0" w14:textId="6D68EBF3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La demandada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COLFONDOS SA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, solicitó llamar en garantía a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SEGUROS DE VIDA</w:t>
      </w:r>
      <w:r w:rsidR="00937188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COLPATRIA SA HOY AXA COLPATRIA SEGUROS DE VIDA SA, </w:t>
      </w:r>
      <w:r w:rsidR="00937188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LLIANZA</w:t>
      </w:r>
      <w:r w:rsidR="00937188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SEGUROS DE VIDA SA Y MAPFRE COLOMBIA VIDA SEGUROS SA.., </w:t>
      </w:r>
      <w:r>
        <w:rPr>
          <w:rFonts w:ascii="ArialMT" w:hAnsi="ArialMT" w:cs="ArialMT"/>
          <w:kern w:val="0"/>
          <w:sz w:val="24"/>
          <w:szCs w:val="24"/>
          <w:lang w:val="es-CO"/>
        </w:rPr>
        <w:t>en virtud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de los contratos de seguro previsional suscritos, sustentando la petición en que una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eventual condena implica devolución de gastos previsionales.</w:t>
      </w:r>
    </w:p>
    <w:p w14:paraId="03D3A3AE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294BF72" w14:textId="14CD3583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Mediante la providencia que hoy revisa la Sala, la Juez negó la solicitud, </w:t>
      </w:r>
      <w:r w:rsidR="00937188">
        <w:rPr>
          <w:rFonts w:ascii="ArialMT" w:hAnsi="ArialMT" w:cs="ArialMT"/>
          <w:kern w:val="0"/>
          <w:sz w:val="24"/>
          <w:szCs w:val="24"/>
          <w:lang w:val="es-CO"/>
        </w:rPr>
        <w:t>m</w:t>
      </w:r>
      <w:r>
        <w:rPr>
          <w:rFonts w:ascii="ArialMT" w:hAnsi="ArialMT" w:cs="ArialMT"/>
          <w:kern w:val="0"/>
          <w:sz w:val="24"/>
          <w:szCs w:val="24"/>
          <w:lang w:val="es-CO"/>
        </w:rPr>
        <w:t>anifestando:</w:t>
      </w:r>
    </w:p>
    <w:p w14:paraId="249485DD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F814BCF" w14:textId="1F8AA2CE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“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Frente al llamamiento en garantía se advierte que el artículo 64 del Código General</w:t>
      </w:r>
    </w:p>
    <w:p w14:paraId="5E462468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del Proceso, señala que es procedente cuando “Quien afirme tener derecho legal o</w:t>
      </w:r>
    </w:p>
    <w:p w14:paraId="43EF8C50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a exigir de otro la indemnización del perjuicio que llegare a sufrir, o el</w:t>
      </w:r>
    </w:p>
    <w:p w14:paraId="47984308" w14:textId="65CFB46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reembolso total o parcial del pago que tuviere que hacer como resultado de la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sentencia que se dicte en el proceso que promueva o se le promueva, o quien de</w:t>
      </w:r>
    </w:p>
    <w:p w14:paraId="1FCE6588" w14:textId="2E78DC2C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acuerdo con la ley sustancial tenga derecho al saneamiento por evicción, podrá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pedir, en la demanda o dentro del término para contestarla, que en el mismo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proceso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 resuelva sobre tal relación”. En ese contexto, para el caso analizado será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entonces el deber legal o contractual el que determina el llamamiento y no el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argumento de haber suscrito un contrato de aseguramiento lo que hace procedente</w:t>
      </w:r>
    </w:p>
    <w:p w14:paraId="4C19D3F8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mismo, pues puede suceder que el hecho que determina la condena de quien</w:t>
      </w:r>
    </w:p>
    <w:p w14:paraId="12978F23" w14:textId="594EC146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llamó en garantía no esté amparado. Al respecto, se advierte que la AFP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COLFONDOS S.A. y las mencionadas aseguradoras, suscribieron pólizas en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diferentes tiempos, de la cuales se puede colegir que las modalidades corresponden</w:t>
      </w:r>
    </w:p>
    <w:p w14:paraId="5B5AF393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 seguros previsionales de invalidez y sobreviviente de los asegurados por el AFP</w:t>
      </w:r>
    </w:p>
    <w:p w14:paraId="4B3F41A4" w14:textId="7777777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demandada y las coberturas corresponde a los riesgos de muerte por riesgo común,</w:t>
      </w:r>
    </w:p>
    <w:p w14:paraId="5FF057AF" w14:textId="7D3A60D5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invalidez y por sus “sumas adicionales”. En ese contexto, queda demostrada la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inexistencia de un derecho y obligación contractual para asumir la devolución de los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gastos previsionales entre la AFP COLFONDOS S.A. y las aseguradoras SEGUROS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VIDA COLPATRIA S.A hoy AXA COLPATRIA SEGUROS DE VIDA S.A,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BOLIVAR S.A, ALLIANZ SEGUROS DE VIDA S.A y MAPFRE</w:t>
      </w:r>
    </w:p>
    <w:p w14:paraId="78C1E443" w14:textId="77777777" w:rsidR="0093718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COLOMBIA VIDA SEGUROS S.A, como quiera que el objeto asegurado corresponde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 las sumas adicionales que se llegaren a efectuar por los riesgos de pensión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sobrevivientes y la invalidez. Circunstancias que no son el objeto de debate en el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presente proceso dado que la intención es la declaratoria de la ineficacia de traslado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entre regímenes pensionales. En otras palabras, el origen contractual de la relación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jurídica entre AFP demandada y las aseguradoras mencionadas, son el posible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reconocimiento de sumas adicionales en prestaciones económicas como la pensión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sobreviviente y la invalidez, más no una posible devolución por concepto de gastos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previsionales, por lo que no se cumplen los supuestos fácticos previstos en el artículo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64 del Código General del Proceso, para realizar el llamamiento en garantía. En ese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contexto, queda demostrada, como se demuestra en el caso jurisprudencial traído a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colación, el cual es similar al que nos ocupa, la inexistencia de un derecho y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obligación contractual para asumir la devolución de los gastos previsionales entre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COLFONDOS S.A y las aseguradoras atrás mencionadas, como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quiera que, el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objeto asegurado corresponde a las sumas adicionales que se llegaren a efectuar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por los riesgos de pensión sobrevivientes y la invalidez. Circunstancias que no es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objeto de debate en el presente proceso dado que la intención es la declaratoria de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la ineficacia de traslado entre regímenes pensionales. </w:t>
      </w:r>
    </w:p>
    <w:p w14:paraId="6B9879C3" w14:textId="77777777" w:rsidR="00937188" w:rsidRDefault="0093718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15D37126" w14:textId="304E47B7" w:rsidR="009D7BA8" w:rsidRDefault="009D7BA8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otras palabras, el origen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contractual de la relación jurídica entre AFP COLFONDOS S.A. y las aseguradoras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DE VIDA COLPATRIA S.A hoy AXA COLPATRIA SEGUROS DE VIDA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S.A, COMPAÑÍA DE SEGUROS BOLIVAR S.A, ALLIANZ SEGUROS DE VIDA S.A y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MAPFRE COLOMBIA VIDA SEGUROS S.A, es el posible reconocimiento de sumas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adicionales en prestaciones económicas como la pensión sobreviviente y la invalidez,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más no una posible devolución por concepto de gastos previsionales, por lo que no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 cumplen los supuestos fácticos previstos en el artículo 64 del Código General del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Proceso, para realizar el llamamiento en garantía. De acuerdo a lo motivado, se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NEGARÁ la solicitud de llamamiento en garantía realizada por la demandada</w:t>
      </w:r>
      <w:r w:rsidR="00937188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COLFONDOS S.A.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”</w:t>
      </w:r>
    </w:p>
    <w:p w14:paraId="203973EB" w14:textId="77777777" w:rsidR="0032291E" w:rsidRDefault="0032291E" w:rsidP="0093718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11BCD361" w14:textId="14F4A40C" w:rsidR="009D7BA8" w:rsidRDefault="009D7BA8" w:rsidP="0032291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Inconforme con esta decisión la apoderada de COLFONDOS SA PENSIONES Y</w:t>
      </w:r>
      <w:r w:rsidR="0032291E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CESANTÍAS interpone recurso afirmando en síntesis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  <w:lang w:val="es-CO"/>
        </w:rPr>
        <w:t>“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objeto de las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pretensiones de la demanda versa sobre “Declarar la nulidad o ineficacia del traslado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señora BERNARDO CERON DE SOUSA hizo del Régimen de Prima Media con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Prestación Definida (Administrado hoy por COLPENSIONES) al Régimen de Ahorro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Individual con Solidaridad” En el evento de declararse la ineficacia de la afiliación, la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consecuencia jurídica de ello implica restituir las cosas al estado al que estarían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como si no hubiese existido el acto o contrato, en consecuencia, todas actos 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contratos que se hubiesen derivado de este vínculo legal deberán igualmente dejarse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sin efecto. Ahora bien, teniendo en cuenta que COLFONDOS S.A., en cumplimiento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su obligación legal (artículo 20 de la Ley 100 de 1993), celebró con las entidades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(1) ALLIANZ SEGUROS DE VIDA S.A., (2) SEGUROS DE VIDA COLPATRIA S.A.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hoy AXA COLPATRIA SEGUROS DE VIDA S.A. y la (3) MAPFRE COLOMBIA VIDA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S.A., (4) ASEGURADORA COMPAÑÍA DE SEGUROS BOLIVAR S.A, un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contrato de seguro previsional destinado a amparar los riesgos de invalidez y muerte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los afiliados a su Fondo Obligatorio de Pensiones (entre ellos la Demandante),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durante la vigencia para cada una de las aseguradoras, es evidente que en caso de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que en la sentencia que ponga fin a este proceso se condene a devolver la prima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pagada como contraprestación legal por ese seguro, las entidades llamada a realizar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esa devolución es la aseguradoras llamadas en Garantía., quienes recibieron la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prima pagada por mi representada, es claro que estas pólizas se pagaron con los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dineros de las cotizaciones que los empleadores en concurso con los trabajadores 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independientes hacen al RAIS, para este caso a COLFONDOS S.A PENSIONES Y</w:t>
      </w:r>
    </w:p>
    <w:p w14:paraId="5074ADE9" w14:textId="3B90EC4D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CESANTÍAS, lo que indica que es legítimo el llamamiento en garantía invocado,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por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cuanto dicha aseguradora ha recibido dineros de contribuciones parafiscales, en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virtud de las pólizas previsionales suscritas, esa es la causa que justifica el presente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llamado en garantía. Es preciso mencionar que existen algunas sentencias de la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Corte Suprema de Justicia en donde se establece que, al existir un vicio del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consentimiento en el Traslado de Régimen Pensional de cualquier ciudadano, las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Administradoras de Fondos de Pensiones deberán devolver a la Administradora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Colombiana de Pensiones–COLPENSIONES- todos los valores contenidos en la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cuenta de ahorro individual del Demandante, incluidos los gastos de administración y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aseguramiento descritos anteriormente. Aun cuando la ratio de esas providencias es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del todo controvertible, según lo previsto en el ordenamiento jurídico vigente, en todo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caso, a la luz de los hechos relatados y de los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f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undamentos de derecho expuestos, si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el Despacho profiere una condena en ese sentido, la misma, en lo que se refiere a la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eventual devolución de la prima del seguro previsional debe ir dirigida contra de las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aseguradoras contratadas por Colfondos S.A., en vista del presente llamamiento en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garantía y de la relación contractual existente entre COLFONDOS S.A. y esa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aseguradora, en razón de la celebración del seguro previsional mencionado, cuyas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vigencias quedaron debidamente acreditadas en los llamamientos radicados, y que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estuvieron vigentes durante la vinculación de la demandante, la cual estuvo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comprendida Desde el 01 de agosto del 2000, vigente hasta la fecha, y cuyas primas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fueron y han sido oportunamente pagadas por mi representada en favor de esas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aseguradoras. Debe tenerse en cuenta lo mencionado en sentencia del Tribunal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Superior de Bogotá en providencia del (19) días de agosto de dos mil veintidós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(2022), MP Magistrado Sustanciador: MILLER ESQUIVEL GAITÁN, dentro del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proceso </w:t>
      </w:r>
      <w:proofErr w:type="spell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Exp</w:t>
      </w:r>
      <w:proofErr w:type="spell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. </w:t>
      </w:r>
      <w:proofErr w:type="spellStart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N°</w:t>
      </w:r>
      <w:proofErr w:type="spellEnd"/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023 2021 00582 01, en el cual indica: (…) Así mismo, téngase en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cuenta, que la Sala de Casación Laboral de la Corte Suprema de Justicia, ha</w:t>
      </w:r>
      <w:r w:rsidR="0032291E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insistido en que, si se dan los supuestos para la ineficacia del traslado de régimen de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ahorro individual con solidaridad, la consecuencia jurídica no es otra que, privar de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todo efecto práctico el traslado, bajo la ficción jurídica de que aquél nunca se dio, por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lo que, la administradora del RAIS debe devolver al sistema todos los valores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recibidos por concepto de cotización y rendimientos financieros, incluidos los gastos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administración, así como los valores utilizados en seguros previsionales y la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garantía de pensión mínima, por lo cual, se debe discutir, entre otras cosas, ante una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eventual condena, cómo la AFP debe devolver esos recursos, esto es, si le es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exigible el reclamo a la aseguradora de los dineros asumidos por el aludido seguro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 o no. De igual manera, resulta necesario traer a colación la sentencia de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17 de agosto de 2011, Rad. 36403, mediante la cual, la Corporación de cierre de la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jurisdicción ordinaria laboral determinó la relevancia que adquieren las aseguradoras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pensiones en su calidad de gestoras de seguros previsionales dentro del proceso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ordinario laboral, al enseñar: “En primer lugar, no puede hacerse una lectura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restringida de la norma acusada como la que plantea el impugnante, orientada a que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cuando se refiere a controversias que vinculen a las “entidades administradoras 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prestadoras” deja por fuera de los litigios de conocimiento de la justicia laboral como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potenciales demandadas a las aseguradoras, pues es indiscutible que ellas también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en sentido amplio hacen parte de las entidades de la seguridad social como se deriva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del artículo 48 de la Constitución Política, que determina que el servicio público de la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seguridad social podrá ser prestado “por entidades públicas o privadas de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conformidad con la ley”. (…) Y es por propia disposición de la Ley 100 en el artículo</w:t>
      </w:r>
    </w:p>
    <w:p w14:paraId="2740A0EF" w14:textId="77777777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108, que las administradoras de pensiones deben contratar seguros previsionales</w:t>
      </w:r>
    </w:p>
    <w:p w14:paraId="756AA9C4" w14:textId="677D4EB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para efectos de las pensiones de invalidez y de sobrevivientes, como una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obligación</w:t>
      </w:r>
    </w:p>
    <w:p w14:paraId="69DB57C6" w14:textId="03C6E320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lastRenderedPageBreak/>
        <w:t>inherente al régimen de ahorro individual concebido por la ley con carácter de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aseguramiento, con la finalidad de garantizar al afiliado o sus beneficiarios las sumas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adicionales indispensables para financiar esas prestaciones. Por lo tanto, las</w:t>
      </w:r>
    </w:p>
    <w:p w14:paraId="1EC34064" w14:textId="7777777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aseguradoras que gestionan seguros pensionales y los seguros previsionales de</w:t>
      </w:r>
    </w:p>
    <w:p w14:paraId="438A00AA" w14:textId="7777777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invalidez y supervivencia y que están llamadas a concurrir al financiamiento de las</w:t>
      </w:r>
    </w:p>
    <w:p w14:paraId="17486AB7" w14:textId="1738A71F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prestaciones por disposición de la ley y en los términos en ella previstos, en aquellos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asuntos que involucran derechos de los afiliados y sus beneficiarios deben ser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consideradas como entidades de la seguridad social, y por ende con vocación natural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para ser partes dentro de la conflictividad en esa materia, de conocimiento de la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justicia ordinaria en la especialidad laboral con arreglo al numeral 4° del artículo 2°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Ley 712 de 2001, que modificó el artículo 2° del Código Procesal del Trabajo y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de la Seguridad Social.” (…) Por lo anterior y conforme lo establecido en el artículo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64 del Código General del Proceso, es procedente Llamar en Garantía a (1)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ALLIANZ SEGUROS DE VIDA S.A., (2) SEGUROS DE VIDA COLPATRIA S.A. hoy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AXA COLPATRIA SEGUROS DE VIDA S.A. y la (3) MAPFRE COLOMBIA VIDA</w:t>
      </w:r>
    </w:p>
    <w:p w14:paraId="50329E82" w14:textId="77777777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SEGUROS S.A., (4) ASEGURADORA COMPAÑÍA DE SEGUROS BOLIVAR S.A,</w:t>
      </w:r>
    </w:p>
    <w:p w14:paraId="40F7CBA0" w14:textId="7777777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toda vez que existe un vínculo contractual en virtud del cual, en caso de condena,</w:t>
      </w:r>
    </w:p>
    <w:p w14:paraId="56EA640F" w14:textId="37AB37BB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esa sociedad debería reembolsar los valores pagados por concepto de seguro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previsional obligatorio. SOLICITUD. Conforme lo expuesto solicito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respetuosamente</w:t>
      </w:r>
    </w:p>
    <w:p w14:paraId="437735FF" w14:textId="176B2FD0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 revoque el auto que rechaza los llamamientos en garantía y se admitan los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mismos. En caso de no reponer su decisión, solicito respetuosamente se conceda el</w:t>
      </w:r>
      <w:r w:rsidR="00311820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recurso de Apelación ante el Honorable Tribunal Superior de Bogotá, D.C., Sala</w:t>
      </w:r>
    </w:p>
    <w:p w14:paraId="4F5F5F30" w14:textId="77777777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Laboral…”</w:t>
      </w:r>
    </w:p>
    <w:p w14:paraId="123583D8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8D38F54" w14:textId="0615ED19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CONSIDERACIONES</w:t>
      </w:r>
    </w:p>
    <w:p w14:paraId="3644186A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6027DDD3" w14:textId="64638960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La Sala resolverá el recurso de acuerdo con lo establecido en el art 66 A del C P del T y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de la S </w:t>
      </w:r>
      <w:proofErr w:type="spellStart"/>
      <w:r>
        <w:rPr>
          <w:rFonts w:ascii="ArialMT" w:hAnsi="ArialMT" w:cs="ArialMT"/>
          <w:kern w:val="0"/>
          <w:sz w:val="24"/>
          <w:szCs w:val="24"/>
          <w:lang w:val="es-CO"/>
        </w:rPr>
        <w:t>S</w:t>
      </w:r>
      <w:proofErr w:type="spell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., advirtiendo desde ya que CONFIRMARÁ la decisión,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siendo varias las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veces en que en casos idénticos se han expresado las razones. </w:t>
      </w:r>
      <w:r>
        <w:rPr>
          <w:rFonts w:ascii="ArialMT" w:hAnsi="ArialMT" w:cs="ArialMT"/>
          <w:kern w:val="0"/>
          <w:sz w:val="24"/>
          <w:szCs w:val="24"/>
          <w:lang w:val="es-CO"/>
        </w:rPr>
        <w:t>Veamos.</w:t>
      </w:r>
    </w:p>
    <w:p w14:paraId="06152613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475CED3" w14:textId="7777777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llamamiento en garantía se encuentra contemplado en el artículo 64 del Código</w:t>
      </w:r>
    </w:p>
    <w:p w14:paraId="668C796C" w14:textId="77777777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General del Proceso, norma que lo define como una facultad que le asiste a </w:t>
      </w:r>
      <w:r>
        <w:rPr>
          <w:rFonts w:ascii="Arial-ItalicMT" w:hAnsi="Arial-ItalicMT" w:cs="Arial-ItalicMT"/>
          <w:i/>
          <w:iCs/>
          <w:kern w:val="0"/>
          <w:lang w:val="es-CO"/>
        </w:rPr>
        <w:t>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</w:t>
      </w:r>
    </w:p>
    <w:p w14:paraId="6FE6B83E" w14:textId="24B3691F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tenga derecho legal o contractual de exigir de otro la indemnización del perjuicio que</w:t>
      </w:r>
      <w:r w:rsidR="00311820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llegare a sufrir, o el reembolso total o parcial del pago que tuviere que hacer como</w:t>
      </w:r>
      <w:r w:rsidR="00311820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resultado de la sentencia”.</w:t>
      </w:r>
    </w:p>
    <w:p w14:paraId="01372401" w14:textId="1F995F7E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</w:p>
    <w:p w14:paraId="7E9F09B3" w14:textId="30A41690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Esta disposición aplicable en materia laboral en virtud del artículo 145 del Código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Procesal del Trabajo y de la Seguridad Social, al igual que las previstas para su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trámite, de acuerdo a la jurisprudencia de la Corte Constitucional “</w:t>
      </w:r>
      <w:r>
        <w:rPr>
          <w:rFonts w:ascii="Arial-ItalicMT" w:hAnsi="Arial-ItalicMT" w:cs="Arial-ItalicMT"/>
          <w:i/>
          <w:iCs/>
          <w:kern w:val="0"/>
          <w:lang w:val="es-CO"/>
        </w:rPr>
        <w:t>debe concebirse</w:t>
      </w:r>
      <w:r w:rsidR="00311820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como un instrumento procesal creado por el legislador con la finalidad de concretar el</w:t>
      </w:r>
      <w:r w:rsidR="00311820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principio de la economía procesal, para vincular al proceso como parte a un tercero</w:t>
      </w:r>
      <w:r w:rsidR="00311820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interviniente que, desde cuando se admite la solicitud por parte del juez, queda vinculado de</w:t>
      </w:r>
      <w:r w:rsidR="00311820">
        <w:rPr>
          <w:rFonts w:ascii="Arial-ItalicMT" w:hAnsi="Arial-ItalicMT" w:cs="Arial-ItalicMT"/>
          <w:i/>
          <w:iCs/>
          <w:kern w:val="0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kern w:val="0"/>
          <w:lang w:val="es-CO"/>
        </w:rPr>
        <w:t>manera forzosa a lo que se resuelva en la sentencia”.</w:t>
      </w:r>
    </w:p>
    <w:p w14:paraId="31D4BF7D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3A127E18" w14:textId="1E7EADD8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El tema del llamamiento en garantía en materia laboral ha sido tratado por la H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Corte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Suprema de Justicia, aceptando la procedencia de esta intervención- antes de la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lastRenderedPageBreak/>
        <w:t>expedición del CGP, denominados terceros, ahora otras partes-; cuando se trata de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situaciones en que se aseguran riesgos derivados de normas del CST.</w:t>
      </w:r>
    </w:p>
    <w:p w14:paraId="39E5624E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7300A8EB" w14:textId="0266B59D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Ahora bien, aunque procedente- se itera-. en materia laboral;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solo lo es cuando se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cumplen los requisitos de la norma, esto es el artículo 64 del CGP;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requisitos,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que no se dan en este caso específico.</w:t>
      </w:r>
    </w:p>
    <w:p w14:paraId="0D6199A0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0ECF84A" w14:textId="16DA7CE8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Por el contrario, se itera, claro resulta la norma cuando expresa: “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>quien tenga</w:t>
      </w:r>
      <w:r w:rsidR="00311820"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lang w:val="es-CO"/>
        </w:rPr>
        <w:t xml:space="preserve">derecho legal o contractual </w:t>
      </w:r>
      <w:r>
        <w:rPr>
          <w:rFonts w:ascii="Arial-ItalicMT" w:hAnsi="Arial-ItalicMT" w:cs="Arial-ItalicMT"/>
          <w:i/>
          <w:iCs/>
          <w:kern w:val="0"/>
          <w:lang w:val="es-CO"/>
        </w:rPr>
        <w:t>de exigir de otro la indemnización del perjuicio que llegare a</w:t>
      </w:r>
    </w:p>
    <w:p w14:paraId="063067F4" w14:textId="73B2A613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lang w:val="es-CO"/>
        </w:rPr>
        <w:t xml:space="preserve">sufrir”, </w:t>
      </w:r>
      <w:r>
        <w:rPr>
          <w:rFonts w:ascii="ArialMT" w:hAnsi="ArialMT" w:cs="ArialMT"/>
          <w:kern w:val="0"/>
          <w:sz w:val="24"/>
          <w:szCs w:val="24"/>
          <w:lang w:val="es-CO"/>
        </w:rPr>
        <w:t>lo que no es claro en este caso toda vez que, si bien se suscribieron unas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pólizas de seguro previsional; de esta relación comercial, no surge el posible derecho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relacionado con las pretensiones de nulidad y/o ineficacia de la afiliación y por el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contrario,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 trata de un tomador de un seguro cuyos beneficiarios son todos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los afiliados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a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COLFONDOS SA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, incluido el demandante sí,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pero en cuyo caso si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se da una condena, se afectarían derechos de terceros, asunto además que no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corresponde al Juez Laboral definir.</w:t>
      </w:r>
    </w:p>
    <w:p w14:paraId="5D7F63B6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E4DE049" w14:textId="35599A46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Ahora la relación contractual a la que se refiere la norma, debe ser del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conocimiento del Juez Laboral, para que en el mismo proceso resuelva el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posible derecho de pago o indemnización del perjuicio, siendo claro que las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primas pagadas y su posible a pago a otra entidad o reembolso escapa a la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jurisdicción del Trabajo y la Seguridad Social,; luego esta relación no es de las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que la norma contenida en el art 64 del CGP indica, esto es que otorgue a quien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llama a exigir indemnización de perjuicios o reembolso de posibles condenas,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pues estas estarán a cargo de la demandada y los posibles, se itera, conflictos que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pudiera tener con quienes contrató y suscribió pólizas, no son del conocimiento del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Juez Laboral.</w:t>
      </w:r>
    </w:p>
    <w:p w14:paraId="2CA2183A" w14:textId="6B3D4B50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0"/>
          <w:szCs w:val="20"/>
          <w:lang w:val="es-CO"/>
        </w:rPr>
      </w:pPr>
    </w:p>
    <w:p w14:paraId="02201E55" w14:textId="3E1E8466" w:rsidR="009D7BA8" w:rsidRDefault="009D7BA8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La Sala reitera que los requisitos contemplados en el artículo 64 del CGP, como</w:t>
      </w:r>
      <w:r w:rsidR="00311820"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sostuvo la providencia atacada no se cumplen en este caso </w:t>
      </w:r>
      <w:proofErr w:type="gramStart"/>
      <w:r>
        <w:rPr>
          <w:rFonts w:ascii="ArialMT" w:hAnsi="ArialMT" w:cs="ArialMT"/>
          <w:kern w:val="0"/>
          <w:sz w:val="24"/>
          <w:szCs w:val="24"/>
          <w:lang w:val="es-CO"/>
        </w:rPr>
        <w:t>y</w:t>
      </w:r>
      <w:proofErr w:type="gramEnd"/>
      <w:r>
        <w:rPr>
          <w:rFonts w:ascii="ArialMT" w:hAnsi="ArialMT" w:cs="ArialMT"/>
          <w:kern w:val="0"/>
          <w:sz w:val="24"/>
          <w:szCs w:val="24"/>
          <w:lang w:val="es-CO"/>
        </w:rPr>
        <w:t xml:space="preserve"> en consecuencia,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se 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CONFIRMARÁ </w:t>
      </w:r>
      <w:r>
        <w:rPr>
          <w:rFonts w:ascii="ArialMT" w:hAnsi="ArialMT" w:cs="ArialMT"/>
          <w:kern w:val="0"/>
          <w:sz w:val="24"/>
          <w:szCs w:val="24"/>
          <w:lang w:val="es-CO"/>
        </w:rPr>
        <w:t>la decisión de la juez de primera instancia.</w:t>
      </w:r>
    </w:p>
    <w:p w14:paraId="67848766" w14:textId="77777777" w:rsidR="00311820" w:rsidRDefault="00311820" w:rsidP="0031182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25385083" w14:textId="33CA0091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Sin costas en esta instancia.</w:t>
      </w:r>
    </w:p>
    <w:p w14:paraId="7EEC39A5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42425CDB" w14:textId="25DF70F7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En mérito de lo expuesto por el Tribunal Superior de Bogotá, por conducto de la Sala</w:t>
      </w:r>
      <w:r w:rsidR="00311820">
        <w:rPr>
          <w:rFonts w:ascii="ArialMT" w:hAnsi="ArialMT" w:cs="ArialMT"/>
          <w:kern w:val="0"/>
          <w:sz w:val="24"/>
          <w:szCs w:val="24"/>
          <w:lang w:val="es-CO"/>
        </w:rPr>
        <w:t xml:space="preserve"> </w:t>
      </w:r>
      <w:r>
        <w:rPr>
          <w:rFonts w:ascii="ArialMT" w:hAnsi="ArialMT" w:cs="ArialMT"/>
          <w:kern w:val="0"/>
          <w:sz w:val="24"/>
          <w:szCs w:val="24"/>
          <w:lang w:val="es-CO"/>
        </w:rPr>
        <w:t>Laboral,</w:t>
      </w:r>
    </w:p>
    <w:p w14:paraId="241BD800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06F10C03" w14:textId="07FD8674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RESUELVE</w:t>
      </w:r>
    </w:p>
    <w:p w14:paraId="62BF4C30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8668962" w14:textId="5B3A32E4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PRIMERO: CONFIRMAR </w:t>
      </w:r>
      <w:r>
        <w:rPr>
          <w:rFonts w:ascii="ArialMT" w:hAnsi="ArialMT" w:cs="ArialMT"/>
          <w:kern w:val="0"/>
          <w:sz w:val="24"/>
          <w:szCs w:val="24"/>
          <w:lang w:val="es-CO"/>
        </w:rPr>
        <w:t>el auto apelado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.</w:t>
      </w:r>
    </w:p>
    <w:p w14:paraId="6458690E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40B15A94" w14:textId="5FDAB4D6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 xml:space="preserve">SEGUNDO: Sin COSTAS </w:t>
      </w:r>
      <w:r>
        <w:rPr>
          <w:rFonts w:ascii="ArialMT" w:hAnsi="ArialMT" w:cs="ArialMT"/>
          <w:kern w:val="0"/>
          <w:sz w:val="24"/>
          <w:szCs w:val="24"/>
          <w:lang w:val="es-CO"/>
        </w:rPr>
        <w:t>en la instancia</w:t>
      </w: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.</w:t>
      </w:r>
    </w:p>
    <w:p w14:paraId="109BACB1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5A11A788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6EECC1C5" w14:textId="2EC32CD5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NOTIFIQUESE Y CUMPLASE</w:t>
      </w:r>
    </w:p>
    <w:p w14:paraId="173043CE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</w:p>
    <w:p w14:paraId="0BD292E3" w14:textId="3F3CB674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s-CO"/>
        </w:rPr>
      </w:pPr>
      <w:r>
        <w:rPr>
          <w:rFonts w:ascii="ArialMT" w:hAnsi="ArialMT" w:cs="ArialMT"/>
          <w:kern w:val="0"/>
          <w:sz w:val="24"/>
          <w:szCs w:val="24"/>
          <w:lang w:val="es-CO"/>
        </w:rPr>
        <w:t>Los Magistrados,</w:t>
      </w:r>
    </w:p>
    <w:p w14:paraId="45141250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2859CCBB" w14:textId="31A5EA23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MARLENY RUEDA OLARTE</w:t>
      </w:r>
    </w:p>
    <w:p w14:paraId="1DE8BC65" w14:textId="77777777" w:rsidR="00311820" w:rsidRDefault="00311820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180FF99A" w14:textId="2E0F597C" w:rsidR="009D7BA8" w:rsidRDefault="009D7BA8" w:rsidP="009D7B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MANUEL EDUARDO SERRANO BAQUERO</w:t>
      </w:r>
    </w:p>
    <w:p w14:paraId="2C10940A" w14:textId="77777777" w:rsidR="00311820" w:rsidRDefault="00311820" w:rsidP="009D7BA8">
      <w:pP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</w:pPr>
    </w:p>
    <w:p w14:paraId="3A25731D" w14:textId="04903A13" w:rsidR="00B9243D" w:rsidRDefault="009D7BA8" w:rsidP="009D7BA8">
      <w:r>
        <w:rPr>
          <w:rFonts w:ascii="Arial-BoldMT" w:hAnsi="Arial-BoldMT" w:cs="Arial-BoldMT"/>
          <w:b/>
          <w:bCs/>
          <w:kern w:val="0"/>
          <w:sz w:val="24"/>
          <w:szCs w:val="24"/>
          <w:lang w:val="es-CO"/>
        </w:rPr>
        <w:t>HUGO ALEXANDER RÍOS GARAY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A8"/>
    <w:rsid w:val="000B2677"/>
    <w:rsid w:val="00311820"/>
    <w:rsid w:val="0032291E"/>
    <w:rsid w:val="00737460"/>
    <w:rsid w:val="00937188"/>
    <w:rsid w:val="009D7BA8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36F7"/>
  <w15:chartTrackingRefBased/>
  <w15:docId w15:val="{C1B24B0A-87EA-4091-B4BE-E65A7A79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2659</Words>
  <Characters>14625</Characters>
  <Application>Microsoft Office Word</Application>
  <DocSecurity>0</DocSecurity>
  <Lines>121</Lines>
  <Paragraphs>34</Paragraphs>
  <ScaleCrop>false</ScaleCrop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2024-04-04T22:15:00Z</dcterms:created>
  <dcterms:modified xsi:type="dcterms:W3CDTF">2024-04-04T22:31:00Z</dcterms:modified>
</cp:coreProperties>
</file>