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4F1D9" w14:textId="77777777" w:rsidR="004C116A" w:rsidRPr="004C116A" w:rsidRDefault="004C116A" w:rsidP="004C116A">
      <w:pPr>
        <w:jc w:val="both"/>
        <w:rPr>
          <w:rFonts w:ascii="Arial" w:hAnsi="Arial" w:cs="Arial"/>
          <w:sz w:val="22"/>
          <w:szCs w:val="22"/>
        </w:rPr>
      </w:pPr>
      <w:r w:rsidRPr="004C116A">
        <w:rPr>
          <w:rFonts w:ascii="Arial" w:hAnsi="Arial" w:cs="Arial"/>
          <w:b/>
          <w:bCs/>
          <w:sz w:val="22"/>
          <w:szCs w:val="22"/>
        </w:rPr>
        <w:t>RECALIFICACIÓN DE LA CONTINGENCIA.</w:t>
      </w:r>
    </w:p>
    <w:p w14:paraId="2B423127" w14:textId="6A27C718" w:rsidR="004C116A" w:rsidRPr="004C116A" w:rsidRDefault="004C116A" w:rsidP="004C116A">
      <w:pPr>
        <w:jc w:val="both"/>
        <w:rPr>
          <w:rFonts w:ascii="Arial" w:hAnsi="Arial" w:cs="Arial"/>
          <w:sz w:val="22"/>
          <w:szCs w:val="22"/>
        </w:rPr>
      </w:pPr>
      <w:r w:rsidRPr="004C116A">
        <w:rPr>
          <w:rFonts w:ascii="Arial" w:hAnsi="Arial" w:cs="Arial"/>
          <w:sz w:val="22"/>
          <w:szCs w:val="22"/>
        </w:rPr>
        <w:t xml:space="preserve">Se sugiere que la calificación de la contingencia pase </w:t>
      </w:r>
      <w:r w:rsidRPr="004C116A">
        <w:rPr>
          <w:rFonts w:ascii="Arial" w:hAnsi="Arial" w:cs="Arial"/>
          <w:b/>
          <w:bCs/>
          <w:sz w:val="22"/>
          <w:szCs w:val="22"/>
        </w:rPr>
        <w:t>a Probable,</w:t>
      </w:r>
      <w:r w:rsidRPr="004C116A">
        <w:rPr>
          <w:rFonts w:ascii="Arial" w:hAnsi="Arial" w:cs="Arial"/>
          <w:sz w:val="22"/>
          <w:szCs w:val="22"/>
        </w:rPr>
        <w:t xml:space="preserve"> dado que, si bien las pólizas no cuentan con cobertura temporal a la fecha existe un fallo con responsabilidad fiscal que declaró a la Aseguradora Solidaria de Colombia como tercero </w:t>
      </w:r>
      <w:r w:rsidR="00E109BD">
        <w:rPr>
          <w:rFonts w:ascii="Arial" w:hAnsi="Arial" w:cs="Arial"/>
          <w:sz w:val="22"/>
          <w:szCs w:val="22"/>
        </w:rPr>
        <w:t xml:space="preserve">civilmente </w:t>
      </w:r>
      <w:r w:rsidRPr="004C116A">
        <w:rPr>
          <w:rFonts w:ascii="Arial" w:hAnsi="Arial" w:cs="Arial"/>
          <w:sz w:val="22"/>
          <w:szCs w:val="22"/>
        </w:rPr>
        <w:t>responsable.</w:t>
      </w:r>
    </w:p>
    <w:p w14:paraId="27AECA84" w14:textId="1FFDD5E5" w:rsidR="00C173AB" w:rsidRDefault="004C116A" w:rsidP="004C116A">
      <w:pPr>
        <w:jc w:val="both"/>
        <w:rPr>
          <w:rFonts w:ascii="Arial" w:hAnsi="Arial" w:cs="Arial"/>
          <w:sz w:val="22"/>
          <w:szCs w:val="22"/>
        </w:rPr>
      </w:pPr>
      <w:r w:rsidRPr="004C116A">
        <w:rPr>
          <w:rFonts w:ascii="Arial" w:hAnsi="Arial" w:cs="Arial"/>
          <w:sz w:val="22"/>
          <w:szCs w:val="22"/>
        </w:rPr>
        <w:t> En primer lugar, en relación con la </w:t>
      </w:r>
      <w:r w:rsidRPr="004C116A">
        <w:rPr>
          <w:rFonts w:ascii="Arial" w:hAnsi="Arial" w:cs="Arial"/>
          <w:b/>
          <w:bCs/>
          <w:sz w:val="22"/>
          <w:szCs w:val="22"/>
        </w:rPr>
        <w:t>Póliza de Seguro de Responsabilidad Civil para Servidores Públicos No. 930-87-994000000050</w:t>
      </w:r>
      <w:r w:rsidRPr="004C116A">
        <w:rPr>
          <w:rFonts w:ascii="Arial" w:hAnsi="Arial" w:cs="Arial"/>
          <w:sz w:val="22"/>
          <w:szCs w:val="22"/>
        </w:rPr>
        <w:t>, se advierte que la misma </w:t>
      </w:r>
      <w:r w:rsidRPr="004C116A">
        <w:rPr>
          <w:rFonts w:ascii="Arial" w:hAnsi="Arial" w:cs="Arial"/>
          <w:b/>
          <w:bCs/>
          <w:sz w:val="22"/>
          <w:szCs w:val="22"/>
        </w:rPr>
        <w:t>no cuenta con cobertura temporal </w:t>
      </w:r>
      <w:r w:rsidRPr="004C116A">
        <w:rPr>
          <w:rFonts w:ascii="Arial" w:hAnsi="Arial" w:cs="Arial"/>
          <w:sz w:val="22"/>
          <w:szCs w:val="22"/>
        </w:rPr>
        <w:t>para hacerse efectiva dentro del presente proceso. Esta póliza estuvo vigente desde el 31 de agosto de 2015 hasta el 30 de agosto de 2016, y fue expedida bajo la modalidad </w:t>
      </w:r>
      <w:r w:rsidRPr="004C116A">
        <w:rPr>
          <w:rFonts w:ascii="Arial" w:hAnsi="Arial" w:cs="Arial"/>
          <w:i/>
          <w:iCs/>
          <w:sz w:val="22"/>
          <w:szCs w:val="22"/>
        </w:rPr>
        <w:t>claims made</w:t>
      </w:r>
      <w:r w:rsidRPr="004C116A">
        <w:rPr>
          <w:rFonts w:ascii="Arial" w:hAnsi="Arial" w:cs="Arial"/>
          <w:sz w:val="22"/>
          <w:szCs w:val="22"/>
        </w:rPr>
        <w:t xml:space="preserve">, la cual exige que tanto el hecho generador como la reclamación </w:t>
      </w:r>
      <w:r w:rsidR="0059484E">
        <w:rPr>
          <w:rFonts w:ascii="Arial" w:hAnsi="Arial" w:cs="Arial"/>
          <w:sz w:val="22"/>
          <w:szCs w:val="22"/>
        </w:rPr>
        <w:t xml:space="preserve">al asegurado </w:t>
      </w:r>
      <w:r w:rsidRPr="004C116A">
        <w:rPr>
          <w:rFonts w:ascii="Arial" w:hAnsi="Arial" w:cs="Arial"/>
          <w:sz w:val="22"/>
          <w:szCs w:val="22"/>
        </w:rPr>
        <w:t xml:space="preserve">ocurran dentro del periodo de vigencia de la póliza o durante su periodo de retroactividad. Solo si se cumplen estas condiciones, la cobertura resultaría procedente. En el caso en análisis, dichas condiciones no se cumplen, ya que </w:t>
      </w:r>
      <w:r w:rsidR="0059484E">
        <w:rPr>
          <w:rFonts w:ascii="Arial" w:hAnsi="Arial" w:cs="Arial"/>
          <w:sz w:val="22"/>
          <w:szCs w:val="22"/>
        </w:rPr>
        <w:t xml:space="preserve">la reclamación al asegurado </w:t>
      </w:r>
      <w:r w:rsidR="00DB1048">
        <w:rPr>
          <w:rFonts w:ascii="Arial" w:hAnsi="Arial" w:cs="Arial"/>
          <w:sz w:val="22"/>
          <w:szCs w:val="22"/>
        </w:rPr>
        <w:t xml:space="preserve">se </w:t>
      </w:r>
      <w:r w:rsidR="0059484E">
        <w:rPr>
          <w:rFonts w:ascii="Arial" w:hAnsi="Arial" w:cs="Arial"/>
          <w:sz w:val="22"/>
          <w:szCs w:val="22"/>
        </w:rPr>
        <w:t>materializ</w:t>
      </w:r>
      <w:r w:rsidR="00DB1048">
        <w:rPr>
          <w:rFonts w:ascii="Arial" w:hAnsi="Arial" w:cs="Arial"/>
          <w:sz w:val="22"/>
          <w:szCs w:val="22"/>
        </w:rPr>
        <w:t>ó</w:t>
      </w:r>
      <w:r w:rsidR="0059484E">
        <w:rPr>
          <w:rFonts w:ascii="Arial" w:hAnsi="Arial" w:cs="Arial"/>
          <w:sz w:val="22"/>
          <w:szCs w:val="22"/>
        </w:rPr>
        <w:t xml:space="preserve"> con </w:t>
      </w:r>
      <w:r w:rsidR="00DB1048">
        <w:rPr>
          <w:rFonts w:ascii="Arial" w:hAnsi="Arial" w:cs="Arial"/>
          <w:sz w:val="22"/>
          <w:szCs w:val="22"/>
        </w:rPr>
        <w:t>la notificación d</w:t>
      </w:r>
      <w:r w:rsidR="0059484E">
        <w:rPr>
          <w:rFonts w:ascii="Arial" w:hAnsi="Arial" w:cs="Arial"/>
          <w:sz w:val="22"/>
          <w:szCs w:val="22"/>
        </w:rPr>
        <w:t>el auto de apertura No.</w:t>
      </w:r>
      <w:r w:rsidR="00045D0C" w:rsidRPr="00045D0C">
        <w:t xml:space="preserve"> </w:t>
      </w:r>
      <w:r w:rsidR="00045D0C" w:rsidRPr="00045D0C">
        <w:rPr>
          <w:rFonts w:ascii="Arial" w:hAnsi="Arial" w:cs="Arial"/>
          <w:sz w:val="22"/>
          <w:szCs w:val="22"/>
        </w:rPr>
        <w:t>URF1-0079 de 17 de julio de 2020</w:t>
      </w:r>
      <w:r w:rsidR="0059484E">
        <w:rPr>
          <w:rFonts w:ascii="Arial" w:hAnsi="Arial" w:cs="Arial"/>
          <w:sz w:val="22"/>
          <w:szCs w:val="22"/>
        </w:rPr>
        <w:t xml:space="preserve"> </w:t>
      </w:r>
      <w:r w:rsidRPr="004C116A">
        <w:rPr>
          <w:rFonts w:ascii="Arial" w:hAnsi="Arial" w:cs="Arial"/>
          <w:sz w:val="22"/>
          <w:szCs w:val="22"/>
        </w:rPr>
        <w:t xml:space="preserve">a los presuntos responsables fiscales el 29 de octubre de 2020 y el 28 de mayo de 2021, </w:t>
      </w:r>
      <w:r w:rsidR="00DB1048">
        <w:rPr>
          <w:rFonts w:ascii="Arial" w:hAnsi="Arial" w:cs="Arial"/>
          <w:sz w:val="22"/>
          <w:szCs w:val="22"/>
        </w:rPr>
        <w:t xml:space="preserve">cuando </w:t>
      </w:r>
      <w:r w:rsidR="008A09BB">
        <w:rPr>
          <w:rFonts w:ascii="Arial" w:hAnsi="Arial" w:cs="Arial"/>
          <w:sz w:val="22"/>
          <w:szCs w:val="22"/>
        </w:rPr>
        <w:t xml:space="preserve">la vigencia de la póliza ya había fenecido </w:t>
      </w:r>
      <w:r w:rsidRPr="004C116A">
        <w:rPr>
          <w:rFonts w:ascii="Arial" w:hAnsi="Arial" w:cs="Arial"/>
          <w:sz w:val="22"/>
          <w:szCs w:val="22"/>
        </w:rPr>
        <w:t xml:space="preserve">configurándose así la ausencia de cobertura temporal. </w:t>
      </w:r>
      <w:r w:rsidR="00E55A33">
        <w:rPr>
          <w:rFonts w:ascii="Arial" w:hAnsi="Arial" w:cs="Arial"/>
          <w:sz w:val="22"/>
          <w:szCs w:val="22"/>
        </w:rPr>
        <w:t xml:space="preserve">Y, frente a la </w:t>
      </w:r>
      <w:r w:rsidR="00442B55">
        <w:rPr>
          <w:rFonts w:ascii="Arial" w:hAnsi="Arial" w:cs="Arial"/>
          <w:sz w:val="22"/>
          <w:szCs w:val="22"/>
        </w:rPr>
        <w:t xml:space="preserve">cobertura material, debe decirse que </w:t>
      </w:r>
      <w:r w:rsidRPr="004C116A">
        <w:rPr>
          <w:rFonts w:ascii="Arial" w:hAnsi="Arial" w:cs="Arial"/>
          <w:sz w:val="22"/>
          <w:szCs w:val="22"/>
        </w:rPr>
        <w:t> </w:t>
      </w:r>
      <w:r w:rsidRPr="004C116A">
        <w:rPr>
          <w:rFonts w:ascii="Arial" w:hAnsi="Arial" w:cs="Arial"/>
          <w:b/>
          <w:bCs/>
          <w:sz w:val="22"/>
          <w:szCs w:val="22"/>
        </w:rPr>
        <w:t>sí cuenta con cobertura</w:t>
      </w:r>
      <w:r w:rsidRPr="004C116A">
        <w:rPr>
          <w:rFonts w:ascii="Arial" w:hAnsi="Arial" w:cs="Arial"/>
          <w:sz w:val="22"/>
          <w:szCs w:val="22"/>
        </w:rPr>
        <w:t>, en la medida en que ampara los actos incorrectos cometidos por los funcionarios asegurados que puedan haber generado un detrimento patrimonial al Club Militar.  </w:t>
      </w:r>
    </w:p>
    <w:p w14:paraId="18FF3D35" w14:textId="67CFE6BA" w:rsidR="004C116A" w:rsidRPr="004C116A" w:rsidRDefault="004C116A" w:rsidP="004C116A">
      <w:pPr>
        <w:jc w:val="both"/>
        <w:rPr>
          <w:rFonts w:ascii="Arial" w:hAnsi="Arial" w:cs="Arial"/>
          <w:sz w:val="22"/>
          <w:szCs w:val="22"/>
        </w:rPr>
      </w:pPr>
      <w:r w:rsidRPr="004C116A">
        <w:rPr>
          <w:rFonts w:ascii="Arial" w:hAnsi="Arial" w:cs="Arial"/>
          <w:sz w:val="22"/>
          <w:szCs w:val="22"/>
        </w:rPr>
        <w:t>Por otro lado, en lo que respecta a la </w:t>
      </w:r>
      <w:r w:rsidRPr="004C116A">
        <w:rPr>
          <w:rFonts w:ascii="Arial" w:hAnsi="Arial" w:cs="Arial"/>
          <w:b/>
          <w:bCs/>
          <w:sz w:val="22"/>
          <w:szCs w:val="22"/>
        </w:rPr>
        <w:t>Póliza de Manejo Global de Entidades Estatales No. 1000250</w:t>
      </w:r>
      <w:r w:rsidRPr="004C116A">
        <w:rPr>
          <w:rFonts w:ascii="Arial" w:hAnsi="Arial" w:cs="Arial"/>
          <w:sz w:val="22"/>
          <w:szCs w:val="22"/>
        </w:rPr>
        <w:t>, expedida en coaseguro con SBS Seguros Colombia</w:t>
      </w:r>
      <w:r w:rsidR="00DD3BE0">
        <w:rPr>
          <w:rFonts w:ascii="Arial" w:hAnsi="Arial" w:cs="Arial"/>
          <w:sz w:val="22"/>
          <w:szCs w:val="22"/>
        </w:rPr>
        <w:t xml:space="preserve"> S.A.</w:t>
      </w:r>
      <w:r w:rsidRPr="004C116A">
        <w:rPr>
          <w:rFonts w:ascii="Arial" w:hAnsi="Arial" w:cs="Arial"/>
          <w:sz w:val="22"/>
          <w:szCs w:val="22"/>
        </w:rPr>
        <w:t>, </w:t>
      </w:r>
      <w:r w:rsidRPr="004C116A">
        <w:rPr>
          <w:rFonts w:ascii="Arial" w:hAnsi="Arial" w:cs="Arial"/>
          <w:b/>
          <w:bCs/>
          <w:sz w:val="22"/>
          <w:szCs w:val="22"/>
        </w:rPr>
        <w:t>no cuenta con cobertura temporal</w:t>
      </w:r>
      <w:r w:rsidRPr="004C116A">
        <w:rPr>
          <w:rFonts w:ascii="Arial" w:hAnsi="Arial" w:cs="Arial"/>
          <w:sz w:val="22"/>
          <w:szCs w:val="22"/>
        </w:rPr>
        <w:t> para hacerse efectiva en el presente proceso. Esta póliza estuvo vigente entre el 31 de agosto de 2015 y el 31 de agosto de 2016, y fue expedida bajo la modalidad de </w:t>
      </w:r>
      <w:r w:rsidRPr="004C116A">
        <w:rPr>
          <w:rFonts w:ascii="Arial" w:hAnsi="Arial" w:cs="Arial"/>
          <w:i/>
          <w:iCs/>
          <w:sz w:val="22"/>
          <w:szCs w:val="22"/>
        </w:rPr>
        <w:t>descubrimiento,</w:t>
      </w:r>
      <w:r w:rsidRPr="004C116A">
        <w:rPr>
          <w:rFonts w:ascii="Arial" w:hAnsi="Arial" w:cs="Arial"/>
          <w:sz w:val="22"/>
          <w:szCs w:val="22"/>
        </w:rPr>
        <w:t xml:space="preserve"> lo que significa que el siniestro se configura con el descubrimiento de la pérdida. </w:t>
      </w:r>
      <w:r w:rsidR="0053425E" w:rsidRPr="0053425E">
        <w:rPr>
          <w:rFonts w:ascii="Arial" w:hAnsi="Arial" w:cs="Arial"/>
          <w:sz w:val="22"/>
          <w:szCs w:val="22"/>
        </w:rPr>
        <w:t>En este caso, la pérdida fue descubierta el 24 de julio de 2017, fecha en la que el Club Militar radicó la denuncia penal correspondiente bajo el número 110016000102201700195. Como resultado de dicha denuncia, se adelantó audiencia de imputación de cargos ante la Fiscalía 212 contra el Mayor General Jaime Esguerra Santos, por la presunta comisión de los delitos de contrato sin cumplimiento de los requisitos legales, peculado por apropiación, interés indebido en la celebración de contratos y prevaricato por acción</w:t>
      </w:r>
      <w:r w:rsidR="00027BD3">
        <w:rPr>
          <w:rFonts w:ascii="Arial" w:hAnsi="Arial" w:cs="Arial"/>
          <w:sz w:val="22"/>
          <w:szCs w:val="22"/>
        </w:rPr>
        <w:t xml:space="preserve">; esta denuncia ocurrió con posterioridad de la vigencia de la póliza. </w:t>
      </w:r>
      <w:r w:rsidR="00903B11" w:rsidRPr="00903B11">
        <w:rPr>
          <w:rFonts w:ascii="Arial" w:hAnsi="Arial" w:cs="Arial"/>
          <w:sz w:val="22"/>
          <w:szCs w:val="22"/>
        </w:rPr>
        <w:t xml:space="preserve">Aun en el supuesto de que el ente de control considere como fecha de descubrimiento el hallazgo fiscal del 15 de diciembre de 2017, dicha fecha también se encuentra por fuera del período de cobertura temporal de la póliza. </w:t>
      </w:r>
      <w:r w:rsidR="00F46683">
        <w:rPr>
          <w:rFonts w:ascii="Arial" w:hAnsi="Arial" w:cs="Arial"/>
          <w:sz w:val="22"/>
          <w:szCs w:val="22"/>
        </w:rPr>
        <w:t xml:space="preserve">Y, frente a la cobertura material debe decirse que si presta </w:t>
      </w:r>
      <w:r w:rsidR="00903B11" w:rsidRPr="00903B11">
        <w:rPr>
          <w:rFonts w:ascii="Arial" w:hAnsi="Arial" w:cs="Arial"/>
          <w:sz w:val="22"/>
          <w:szCs w:val="22"/>
        </w:rPr>
        <w:t xml:space="preserve">cobertura al contemplar dentro de su amparo los perjuicios ocasionados por el menoscabo de fondos o bienes que sean propiedad, estén bajo tenencia, control y/o responsabilidad de las entidades aseguradas, originados en acciones u omisiones de sus servidores públicos que constituyan delitos contra la administración pública o que impliquen el incumplimiento de disposiciones legales y reglamentarias, incluyendo además los costos de rendición de cuentas en caso de </w:t>
      </w:r>
      <w:r w:rsidR="00903B11" w:rsidRPr="00903B11">
        <w:rPr>
          <w:rFonts w:ascii="Arial" w:hAnsi="Arial" w:cs="Arial"/>
          <w:sz w:val="22"/>
          <w:szCs w:val="22"/>
        </w:rPr>
        <w:lastRenderedPageBreak/>
        <w:t>abandono del cargo o fallecimiento del funcionario</w:t>
      </w:r>
      <w:r w:rsidR="00903B11">
        <w:rPr>
          <w:rFonts w:ascii="Arial" w:hAnsi="Arial" w:cs="Arial"/>
          <w:sz w:val="22"/>
          <w:szCs w:val="22"/>
        </w:rPr>
        <w:t>, amparo que dentro de sus coberturas básicas puede afectar la correspondiente a “</w:t>
      </w:r>
      <w:r w:rsidR="00903B11" w:rsidRPr="00903B11">
        <w:rPr>
          <w:rFonts w:ascii="Arial" w:hAnsi="Arial" w:cs="Arial"/>
          <w:sz w:val="22"/>
          <w:szCs w:val="22"/>
        </w:rPr>
        <w:t>Juicios con responsabilidad fiscal</w:t>
      </w:r>
      <w:r w:rsidR="00903B11">
        <w:rPr>
          <w:rFonts w:ascii="Arial" w:hAnsi="Arial" w:cs="Arial"/>
          <w:sz w:val="22"/>
          <w:szCs w:val="22"/>
        </w:rPr>
        <w:t>”.</w:t>
      </w:r>
    </w:p>
    <w:p w14:paraId="15EBEB0C" w14:textId="7D5CE079" w:rsidR="004C116A" w:rsidRDefault="004C116A" w:rsidP="004C116A">
      <w:pPr>
        <w:jc w:val="both"/>
        <w:rPr>
          <w:rFonts w:ascii="Arial" w:hAnsi="Arial" w:cs="Arial"/>
          <w:sz w:val="22"/>
          <w:szCs w:val="22"/>
        </w:rPr>
      </w:pPr>
      <w:r w:rsidRPr="004C116A">
        <w:rPr>
          <w:rFonts w:ascii="Arial" w:hAnsi="Arial" w:cs="Arial"/>
          <w:sz w:val="22"/>
          <w:szCs w:val="22"/>
        </w:rPr>
        <w:t>En cuanto a la responsabilidad de los funcionarios, dentro del plenario se encuentra acreditado que existieron irregularidades tanto en la etapa precontractual como en la ejecución del contrato de prestación de servicios, así como un daño patrimonial al Club Militar, conforme lo estableció la Contraloría. La auditoría realizada evidenció que se realizaron pagos por valores superiores a los precios de Corabastos para productos de calidad extra, sin justificación técnica ni contractual, lo cual representó un sobrecosto injustificado. Adicionalmente, se verificó que el Club asumió pagos logísticos adicionales a los precios de los productos, lo cual contravino los términos pactados en el contrato, generando un detrimento adicional. Finalmente, se estableció que se incluyeron y pagaron costos por remodelaciones y otros conceptos que no estaban autorizados ni previstos en el objeto contractual, incurriéndose así en una desviación de recursos públicos. Estas circunstancias permitieron que el ente de control señalara que existió una gestión fiscal antieconómica, ineficiente y contraria a los principios de planeación y legalidad contractual. Los funcionarios investigados hasta esta instancia procesal no pudieron demostrar que actuaron conforme a la normativa vigente, observando diligencia y buena fe en el ejercicio de sus funciones.</w:t>
      </w:r>
    </w:p>
    <w:p w14:paraId="08633829" w14:textId="1A38AB61" w:rsidR="009D789C" w:rsidRDefault="009D789C" w:rsidP="004C116A">
      <w:pPr>
        <w:jc w:val="both"/>
        <w:rPr>
          <w:rFonts w:ascii="Arial" w:hAnsi="Arial" w:cs="Arial"/>
          <w:sz w:val="22"/>
          <w:szCs w:val="22"/>
        </w:rPr>
      </w:pPr>
      <w:r w:rsidRPr="009D789C">
        <w:rPr>
          <w:rFonts w:ascii="Arial" w:hAnsi="Arial" w:cs="Arial"/>
          <w:sz w:val="22"/>
          <w:szCs w:val="22"/>
        </w:rPr>
        <w:t xml:space="preserve">En este contexto, resulta poco probable que la Contraloría revoque la decisión adoptada, toda vez que los hallazgos se encuentran debidamente sustentados y los funcionarios no lograron desvirtuar las imputaciones ni demostrar que actuaron conforme a la normatividad vigente. Adicionalmente, aunque en el escrito de descargos se expuso que las pólizas suscritas no ofrecían cobertura para los hechos investigados, la Contraloría incurrió en interpretaciones erróneas y subjetivas sobre </w:t>
      </w:r>
      <w:r w:rsidR="008F0EEC">
        <w:rPr>
          <w:rFonts w:ascii="Arial" w:hAnsi="Arial" w:cs="Arial"/>
          <w:sz w:val="22"/>
          <w:szCs w:val="22"/>
        </w:rPr>
        <w:t xml:space="preserve">el funcionamiento de las modalidades de cobertura pactadas en cada una de </w:t>
      </w:r>
      <w:r w:rsidR="00FB39E7">
        <w:rPr>
          <w:rFonts w:ascii="Arial" w:hAnsi="Arial" w:cs="Arial"/>
          <w:sz w:val="22"/>
          <w:szCs w:val="22"/>
        </w:rPr>
        <w:t>las pólizas vinculadas</w:t>
      </w:r>
      <w:r w:rsidRPr="009D789C">
        <w:rPr>
          <w:rFonts w:ascii="Arial" w:hAnsi="Arial" w:cs="Arial"/>
          <w:sz w:val="22"/>
          <w:szCs w:val="22"/>
        </w:rPr>
        <w:t xml:space="preserve">. Esta es una práctica reiterada que, como se expondrá más adelante, ha dado lugar a la afectación indebida de pólizas que </w:t>
      </w:r>
      <w:r w:rsidR="00FB39E7">
        <w:rPr>
          <w:rFonts w:ascii="Arial" w:hAnsi="Arial" w:cs="Arial"/>
          <w:sz w:val="22"/>
          <w:szCs w:val="22"/>
        </w:rPr>
        <w:t>no</w:t>
      </w:r>
      <w:r w:rsidRPr="009D789C">
        <w:rPr>
          <w:rFonts w:ascii="Arial" w:hAnsi="Arial" w:cs="Arial"/>
          <w:sz w:val="22"/>
          <w:szCs w:val="22"/>
        </w:rPr>
        <w:t xml:space="preserve"> contemplan cobertura, aspecto que será objeto de análisis al estudiar la viabilidad del recurso de reposición y, en subsidio, de apelación interpuesto dentro de la presente actuación.</w:t>
      </w:r>
    </w:p>
    <w:p w14:paraId="16A4ED00" w14:textId="4D2B1220" w:rsidR="004C116A" w:rsidRPr="004C116A" w:rsidRDefault="004C116A" w:rsidP="004C116A">
      <w:pPr>
        <w:jc w:val="both"/>
        <w:rPr>
          <w:rFonts w:ascii="Arial" w:hAnsi="Arial" w:cs="Arial"/>
          <w:sz w:val="22"/>
          <w:szCs w:val="22"/>
        </w:rPr>
      </w:pPr>
      <w:r w:rsidRPr="004C116A">
        <w:rPr>
          <w:rFonts w:ascii="Arial" w:hAnsi="Arial" w:cs="Arial"/>
          <w:sz w:val="22"/>
          <w:szCs w:val="22"/>
        </w:rPr>
        <w:t> </w:t>
      </w:r>
    </w:p>
    <w:p w14:paraId="5024D0F9" w14:textId="77777777" w:rsidR="004C116A" w:rsidRPr="004C116A" w:rsidRDefault="004C116A" w:rsidP="004C116A">
      <w:pPr>
        <w:jc w:val="both"/>
        <w:rPr>
          <w:rFonts w:ascii="Arial" w:hAnsi="Arial" w:cs="Arial"/>
          <w:sz w:val="22"/>
          <w:szCs w:val="22"/>
        </w:rPr>
      </w:pPr>
      <w:r w:rsidRPr="004C116A">
        <w:rPr>
          <w:rFonts w:ascii="Arial" w:hAnsi="Arial" w:cs="Arial"/>
          <w:b/>
          <w:bCs/>
          <w:sz w:val="22"/>
          <w:szCs w:val="22"/>
        </w:rPr>
        <w:t>Análisis de la Procedencia del Recurso</w:t>
      </w:r>
    </w:p>
    <w:p w14:paraId="2F71AE3C" w14:textId="77777777" w:rsidR="004C116A" w:rsidRPr="004C116A" w:rsidRDefault="004C116A" w:rsidP="004C116A">
      <w:pPr>
        <w:jc w:val="both"/>
        <w:rPr>
          <w:rFonts w:ascii="Arial" w:hAnsi="Arial" w:cs="Arial"/>
          <w:sz w:val="22"/>
          <w:szCs w:val="22"/>
        </w:rPr>
      </w:pPr>
      <w:r w:rsidRPr="004C116A">
        <w:rPr>
          <w:rFonts w:ascii="Arial" w:hAnsi="Arial" w:cs="Arial"/>
          <w:b/>
          <w:bCs/>
          <w:sz w:val="22"/>
          <w:szCs w:val="22"/>
        </w:rPr>
        <w:t> </w:t>
      </w:r>
    </w:p>
    <w:p w14:paraId="2D155627" w14:textId="14F1DF9C" w:rsidR="004C116A" w:rsidRPr="004C116A" w:rsidRDefault="004274A0" w:rsidP="004C116A">
      <w:pPr>
        <w:jc w:val="both"/>
        <w:rPr>
          <w:rFonts w:ascii="Arial" w:hAnsi="Arial" w:cs="Arial"/>
          <w:sz w:val="22"/>
          <w:szCs w:val="22"/>
        </w:rPr>
      </w:pPr>
      <w:r w:rsidRPr="004274A0">
        <w:rPr>
          <w:rFonts w:ascii="Arial" w:hAnsi="Arial" w:cs="Arial"/>
          <w:sz w:val="22"/>
          <w:szCs w:val="22"/>
        </w:rPr>
        <w:t xml:space="preserve">Frente al Fallo con Responsabilidad Fiscal No. URF1-0003 del 4 de julio de 2025, se interpuso recurso de reposición y, en subsidio, de apelación. Sin embargo, </w:t>
      </w:r>
      <w:r w:rsidRPr="004274A0">
        <w:rPr>
          <w:rFonts w:ascii="Arial" w:hAnsi="Arial" w:cs="Arial"/>
          <w:b/>
          <w:bCs/>
          <w:sz w:val="22"/>
          <w:szCs w:val="22"/>
        </w:rPr>
        <w:t>la viabilidad del mismo es baj</w:t>
      </w:r>
      <w:r>
        <w:rPr>
          <w:rFonts w:ascii="Arial" w:hAnsi="Arial" w:cs="Arial"/>
          <w:b/>
          <w:bCs/>
          <w:sz w:val="22"/>
          <w:szCs w:val="22"/>
        </w:rPr>
        <w:t>a</w:t>
      </w:r>
      <w:r>
        <w:rPr>
          <w:rFonts w:ascii="Arial" w:hAnsi="Arial" w:cs="Arial"/>
          <w:sz w:val="22"/>
          <w:szCs w:val="22"/>
        </w:rPr>
        <w:t xml:space="preserve"> </w:t>
      </w:r>
      <w:r w:rsidRPr="004274A0">
        <w:rPr>
          <w:rFonts w:ascii="Arial" w:hAnsi="Arial" w:cs="Arial"/>
          <w:sz w:val="22"/>
          <w:szCs w:val="22"/>
        </w:rPr>
        <w:t>en la medida en que la Contraloría General de la República, en la mayoría de los casos, no modifica sus decisiones, pues realiza interpretaciones propias y generalmente restrictivas sobre las modalidades de cobertura de las pólizas involucradas.</w:t>
      </w:r>
      <w:r w:rsidR="004C116A" w:rsidRPr="004C116A">
        <w:rPr>
          <w:rFonts w:ascii="Arial" w:hAnsi="Arial" w:cs="Arial"/>
          <w:sz w:val="22"/>
          <w:szCs w:val="22"/>
        </w:rPr>
        <w:t> </w:t>
      </w:r>
    </w:p>
    <w:p w14:paraId="63330111" w14:textId="51700EBE" w:rsidR="004C116A" w:rsidRPr="004C116A" w:rsidRDefault="004C116A" w:rsidP="004C116A">
      <w:pPr>
        <w:jc w:val="both"/>
        <w:rPr>
          <w:rFonts w:ascii="Arial" w:hAnsi="Arial" w:cs="Arial"/>
          <w:sz w:val="22"/>
          <w:szCs w:val="22"/>
        </w:rPr>
      </w:pPr>
      <w:r w:rsidRPr="004C116A">
        <w:rPr>
          <w:rFonts w:ascii="Arial" w:hAnsi="Arial" w:cs="Arial"/>
          <w:sz w:val="22"/>
          <w:szCs w:val="22"/>
        </w:rPr>
        <w:t xml:space="preserve">Dentro del recurso interpuesto, se expuso con mayor claridad al ente de control la ausencia de cobertura temporal tanto de la Póliza de Seguro de Responsabilidad Civil para Servidores Públicos No. 930-87-994000000050, como de la Póliza de Manejo Global de </w:t>
      </w:r>
      <w:r w:rsidRPr="004C116A">
        <w:rPr>
          <w:rFonts w:ascii="Arial" w:hAnsi="Arial" w:cs="Arial"/>
          <w:sz w:val="22"/>
          <w:szCs w:val="22"/>
        </w:rPr>
        <w:lastRenderedPageBreak/>
        <w:t>Entidades Estatales No. 1000250, esta última expedida en coaseguro con SBS Seguros Colombia</w:t>
      </w:r>
      <w:r w:rsidR="0066460B">
        <w:rPr>
          <w:rFonts w:ascii="Arial" w:hAnsi="Arial" w:cs="Arial"/>
          <w:sz w:val="22"/>
          <w:szCs w:val="22"/>
        </w:rPr>
        <w:t xml:space="preserve"> S.A</w:t>
      </w:r>
      <w:r w:rsidRPr="004C116A">
        <w:rPr>
          <w:rFonts w:ascii="Arial" w:hAnsi="Arial" w:cs="Arial"/>
          <w:sz w:val="22"/>
          <w:szCs w:val="22"/>
        </w:rPr>
        <w:t>.</w:t>
      </w:r>
      <w:r w:rsidR="00F217D4">
        <w:rPr>
          <w:rFonts w:ascii="Arial" w:hAnsi="Arial" w:cs="Arial"/>
          <w:sz w:val="22"/>
          <w:szCs w:val="22"/>
        </w:rPr>
        <w:t xml:space="preserve"> por las modalidades de cobertura estipuladas en cada una de ellas, tales como </w:t>
      </w:r>
      <w:r w:rsidR="00F04D1C" w:rsidRPr="004274A0">
        <w:rPr>
          <w:rFonts w:ascii="Arial" w:hAnsi="Arial" w:cs="Arial"/>
          <w:i/>
          <w:iCs/>
          <w:sz w:val="22"/>
          <w:szCs w:val="22"/>
        </w:rPr>
        <w:t>“</w:t>
      </w:r>
      <w:r w:rsidR="00F217D4" w:rsidRPr="004274A0">
        <w:rPr>
          <w:rFonts w:ascii="Arial" w:hAnsi="Arial" w:cs="Arial"/>
          <w:i/>
          <w:iCs/>
          <w:sz w:val="22"/>
          <w:szCs w:val="22"/>
        </w:rPr>
        <w:t>claims made</w:t>
      </w:r>
      <w:r w:rsidR="00F04D1C" w:rsidRPr="004274A0">
        <w:rPr>
          <w:rFonts w:ascii="Arial" w:hAnsi="Arial" w:cs="Arial"/>
          <w:i/>
          <w:iCs/>
          <w:sz w:val="22"/>
          <w:szCs w:val="22"/>
        </w:rPr>
        <w:t>”</w:t>
      </w:r>
      <w:r w:rsidR="00F217D4" w:rsidRPr="004274A0">
        <w:rPr>
          <w:rFonts w:ascii="Arial" w:hAnsi="Arial" w:cs="Arial"/>
          <w:i/>
          <w:iCs/>
          <w:sz w:val="22"/>
          <w:szCs w:val="22"/>
        </w:rPr>
        <w:t xml:space="preserve"> </w:t>
      </w:r>
      <w:r w:rsidR="00F217D4">
        <w:rPr>
          <w:rFonts w:ascii="Arial" w:hAnsi="Arial" w:cs="Arial"/>
          <w:sz w:val="22"/>
          <w:szCs w:val="22"/>
        </w:rPr>
        <w:t xml:space="preserve">y </w:t>
      </w:r>
      <w:r w:rsidR="00F04D1C" w:rsidRPr="004274A0">
        <w:rPr>
          <w:rFonts w:ascii="Arial" w:hAnsi="Arial" w:cs="Arial"/>
          <w:i/>
          <w:iCs/>
          <w:sz w:val="22"/>
          <w:szCs w:val="22"/>
        </w:rPr>
        <w:t>“</w:t>
      </w:r>
      <w:r w:rsidR="00F217D4" w:rsidRPr="004274A0">
        <w:rPr>
          <w:rFonts w:ascii="Arial" w:hAnsi="Arial" w:cs="Arial"/>
          <w:i/>
          <w:iCs/>
          <w:sz w:val="22"/>
          <w:szCs w:val="22"/>
        </w:rPr>
        <w:t>descubrimiento</w:t>
      </w:r>
      <w:r w:rsidR="00F04D1C" w:rsidRPr="004274A0">
        <w:rPr>
          <w:rFonts w:ascii="Arial" w:hAnsi="Arial" w:cs="Arial"/>
          <w:i/>
          <w:iCs/>
          <w:sz w:val="22"/>
          <w:szCs w:val="22"/>
        </w:rPr>
        <w:t>”</w:t>
      </w:r>
      <w:r w:rsidR="00F217D4">
        <w:rPr>
          <w:rFonts w:ascii="Arial" w:hAnsi="Arial" w:cs="Arial"/>
          <w:sz w:val="22"/>
          <w:szCs w:val="22"/>
        </w:rPr>
        <w:t xml:space="preserve"> respectivamente y que fueron abiertamente desconocidas por el ente de control.</w:t>
      </w:r>
    </w:p>
    <w:p w14:paraId="7F5E2945" w14:textId="77777777" w:rsidR="004274A0" w:rsidRDefault="004274A0" w:rsidP="004C116A">
      <w:pPr>
        <w:jc w:val="both"/>
        <w:rPr>
          <w:rFonts w:ascii="Arial" w:hAnsi="Arial" w:cs="Arial"/>
          <w:sz w:val="22"/>
          <w:szCs w:val="22"/>
        </w:rPr>
      </w:pPr>
      <w:r w:rsidRPr="004274A0">
        <w:rPr>
          <w:rFonts w:ascii="Arial" w:hAnsi="Arial" w:cs="Arial"/>
          <w:sz w:val="22"/>
          <w:szCs w:val="22"/>
        </w:rPr>
        <w:t>La Contraloría consideró acreditada la responsabilidad fiscal de los funcionarios investigados, concluyendo que su conducta fue determinante en la generación del detrimento patrimonial, dado que actuaron con negligencia y en contravía de la normatividad. Esta conclusión se sustentó en los hallazgos de auditoría que evidenciaron pagos por encima del valor de mercado, reconocimiento de costos no pactados e inclusión de gastos no autorizados, lo que configuró una gestión fiscal antieconómica e ineficaz.</w:t>
      </w:r>
    </w:p>
    <w:p w14:paraId="6FA51971" w14:textId="6FF7A204" w:rsidR="004274A0" w:rsidRDefault="004274A0" w:rsidP="004C116A">
      <w:pPr>
        <w:jc w:val="both"/>
        <w:rPr>
          <w:rFonts w:ascii="Arial" w:hAnsi="Arial" w:cs="Arial"/>
          <w:sz w:val="22"/>
          <w:szCs w:val="22"/>
        </w:rPr>
      </w:pPr>
      <w:r w:rsidRPr="004274A0">
        <w:rPr>
          <w:rFonts w:ascii="Arial" w:hAnsi="Arial" w:cs="Arial"/>
          <w:sz w:val="22"/>
          <w:szCs w:val="22"/>
        </w:rPr>
        <w:t>Si bien el recurso interpuesto insiste en que la póliza suscrita no ampara los hechos materia de investigación, resulta poco probable que la Contraloría revoque su decisión, toda vez que ha mantenido una posición rígida basada en interpretaciones propia</w:t>
      </w:r>
      <w:r>
        <w:rPr>
          <w:rFonts w:ascii="Arial" w:hAnsi="Arial" w:cs="Arial"/>
          <w:sz w:val="22"/>
          <w:szCs w:val="22"/>
        </w:rPr>
        <w:t>s; y en muchas ocasiones erróneas,</w:t>
      </w:r>
      <w:r w:rsidRPr="004274A0">
        <w:rPr>
          <w:rFonts w:ascii="Arial" w:hAnsi="Arial" w:cs="Arial"/>
          <w:sz w:val="22"/>
          <w:szCs w:val="22"/>
        </w:rPr>
        <w:t xml:space="preserve"> sobre el alcance de los amparos. De manera general, las contralorías no realizan un estudio exhaustivo del contrato de seguros ni de las condiciones particulares de las pólizas, lo cual </w:t>
      </w:r>
      <w:r>
        <w:rPr>
          <w:rFonts w:ascii="Arial" w:hAnsi="Arial" w:cs="Arial"/>
          <w:sz w:val="22"/>
          <w:szCs w:val="22"/>
        </w:rPr>
        <w:t xml:space="preserve">impide </w:t>
      </w:r>
      <w:r w:rsidRPr="004274A0">
        <w:rPr>
          <w:rFonts w:ascii="Arial" w:hAnsi="Arial" w:cs="Arial"/>
          <w:sz w:val="22"/>
          <w:szCs w:val="22"/>
        </w:rPr>
        <w:t xml:space="preserve">establecer con precisión cuándo </w:t>
      </w:r>
      <w:r>
        <w:rPr>
          <w:rFonts w:ascii="Arial" w:hAnsi="Arial" w:cs="Arial"/>
          <w:sz w:val="22"/>
          <w:szCs w:val="22"/>
        </w:rPr>
        <w:t xml:space="preserve">las pólizas cuentan o no con cobertura para ser afectadas. Contrario a ello, </w:t>
      </w:r>
      <w:r w:rsidRPr="004274A0">
        <w:rPr>
          <w:rFonts w:ascii="Arial" w:hAnsi="Arial" w:cs="Arial"/>
          <w:sz w:val="22"/>
          <w:szCs w:val="22"/>
        </w:rPr>
        <w:t xml:space="preserve">suelen desestimar los argumentos técnicos relacionados con las exclusiones y condiciones de asegurabilidad, priorizando la existencia del daño fiscal y la responsabilidad del funcionario sobre el análisis objetivo del contrato de seguro. En consecuencia, han afectado pólizas incluso cuando no se cumplen los supuestos necesarios para su activación, como ocurre en este caso, lo que refleja una tendencia </w:t>
      </w:r>
      <w:r>
        <w:rPr>
          <w:rFonts w:ascii="Arial" w:hAnsi="Arial" w:cs="Arial"/>
          <w:sz w:val="22"/>
          <w:szCs w:val="22"/>
        </w:rPr>
        <w:t xml:space="preserve">del ente de control </w:t>
      </w:r>
      <w:r w:rsidRPr="004274A0">
        <w:rPr>
          <w:rFonts w:ascii="Arial" w:hAnsi="Arial" w:cs="Arial"/>
          <w:sz w:val="22"/>
          <w:szCs w:val="22"/>
        </w:rPr>
        <w:t>a trasladar la carga del resarcimiento a las aseguradoras, aún en escenarios contractualmente improcedentes.</w:t>
      </w:r>
    </w:p>
    <w:p w14:paraId="7265EDC5" w14:textId="77777777" w:rsidR="0034232C" w:rsidRDefault="0034232C" w:rsidP="004C116A">
      <w:pPr>
        <w:jc w:val="both"/>
        <w:rPr>
          <w:rFonts w:ascii="Arial" w:hAnsi="Arial" w:cs="Arial"/>
          <w:sz w:val="22"/>
          <w:szCs w:val="22"/>
        </w:rPr>
      </w:pPr>
    </w:p>
    <w:p w14:paraId="75C2AAFA" w14:textId="77777777" w:rsidR="0034232C" w:rsidRPr="0034232C" w:rsidRDefault="0034232C" w:rsidP="0034232C">
      <w:pPr>
        <w:jc w:val="both"/>
        <w:rPr>
          <w:rFonts w:ascii="Arial" w:hAnsi="Arial" w:cs="Arial"/>
          <w:sz w:val="22"/>
          <w:szCs w:val="22"/>
        </w:rPr>
      </w:pPr>
      <w:r w:rsidRPr="0034232C">
        <w:rPr>
          <w:rFonts w:ascii="Arial" w:hAnsi="Arial" w:cs="Arial"/>
          <w:b/>
          <w:bCs/>
          <w:sz w:val="22"/>
          <w:szCs w:val="22"/>
        </w:rPr>
        <w:t>Liquidación Objetiva</w:t>
      </w:r>
    </w:p>
    <w:p w14:paraId="4826387F" w14:textId="77777777" w:rsidR="0034232C" w:rsidRPr="0034232C" w:rsidRDefault="0034232C" w:rsidP="0034232C">
      <w:pPr>
        <w:jc w:val="both"/>
        <w:rPr>
          <w:rFonts w:ascii="Arial" w:hAnsi="Arial" w:cs="Arial"/>
          <w:sz w:val="22"/>
          <w:szCs w:val="22"/>
        </w:rPr>
      </w:pPr>
      <w:r w:rsidRPr="0034232C">
        <w:rPr>
          <w:rFonts w:ascii="Arial" w:hAnsi="Arial" w:cs="Arial"/>
          <w:sz w:val="22"/>
          <w:szCs w:val="22"/>
        </w:rPr>
        <w:t> </w:t>
      </w:r>
    </w:p>
    <w:p w14:paraId="7D524DC1" w14:textId="77777777" w:rsidR="0034232C" w:rsidRPr="0034232C" w:rsidRDefault="0034232C" w:rsidP="0034232C">
      <w:pPr>
        <w:jc w:val="both"/>
        <w:rPr>
          <w:rFonts w:ascii="Arial" w:hAnsi="Arial" w:cs="Arial"/>
          <w:sz w:val="22"/>
          <w:szCs w:val="22"/>
        </w:rPr>
      </w:pPr>
      <w:r w:rsidRPr="0034232C">
        <w:rPr>
          <w:rFonts w:ascii="Arial" w:hAnsi="Arial" w:cs="Arial"/>
          <w:sz w:val="22"/>
          <w:szCs w:val="22"/>
        </w:rPr>
        <w:t>Dentro del Fallo con Responsabilidad Fiscal se indexó el detrimento teniendo como suma final la cantidad de $ 3.080.942.142. Teniendo en cuenta que dentro del fallo se declararon como terceros civilmente responsables a la Aseguradora Solidaria de Colombia, SBS Seguros Colombia, Mapfre Seguros Generales de Colombia y Seguros Suramericana.</w:t>
      </w:r>
    </w:p>
    <w:p w14:paraId="4C54D773" w14:textId="0A0F681F" w:rsidR="0034232C" w:rsidRPr="0034232C" w:rsidRDefault="0034232C" w:rsidP="0034232C">
      <w:pPr>
        <w:jc w:val="both"/>
        <w:rPr>
          <w:rFonts w:ascii="Arial" w:hAnsi="Arial" w:cs="Arial"/>
          <w:sz w:val="22"/>
          <w:szCs w:val="22"/>
        </w:rPr>
      </w:pPr>
      <w:r w:rsidRPr="0034232C">
        <w:rPr>
          <w:rFonts w:ascii="Arial" w:hAnsi="Arial" w:cs="Arial"/>
          <w:sz w:val="22"/>
          <w:szCs w:val="22"/>
        </w:rPr>
        <w:t> En este caso, el valor asegurado de la Póliza de Seguro de Responsabilidad Civil para Servidores Públicos No. 930-87-994000000050 asciende a </w:t>
      </w:r>
      <w:r w:rsidRPr="0034232C">
        <w:rPr>
          <w:rFonts w:ascii="Arial" w:hAnsi="Arial" w:cs="Arial"/>
          <w:b/>
          <w:bCs/>
          <w:sz w:val="22"/>
          <w:szCs w:val="22"/>
        </w:rPr>
        <w:t>Mil millones de pesos ($1.000.000.000)</w:t>
      </w:r>
      <w:r w:rsidRPr="0034232C">
        <w:rPr>
          <w:rFonts w:ascii="Arial" w:hAnsi="Arial" w:cs="Arial"/>
          <w:sz w:val="22"/>
          <w:szCs w:val="22"/>
        </w:rPr>
        <w:t>. Teniendo en cuenta el valor indexado establecido en el fallo, la aseguradora solo podrá responder hasta por dicho monto, en los términos de la cobertura contratada.</w:t>
      </w:r>
    </w:p>
    <w:p w14:paraId="647426FE" w14:textId="0C1A19B3" w:rsidR="0034232C" w:rsidRPr="0034232C" w:rsidRDefault="0034232C" w:rsidP="0034232C">
      <w:pPr>
        <w:jc w:val="both"/>
        <w:rPr>
          <w:rFonts w:ascii="Arial" w:hAnsi="Arial" w:cs="Arial"/>
          <w:sz w:val="22"/>
          <w:szCs w:val="22"/>
        </w:rPr>
      </w:pPr>
      <w:r w:rsidRPr="0034232C">
        <w:rPr>
          <w:rFonts w:ascii="Arial" w:hAnsi="Arial" w:cs="Arial"/>
          <w:sz w:val="22"/>
          <w:szCs w:val="22"/>
        </w:rPr>
        <w:t> Por otro lado, frente a la </w:t>
      </w:r>
      <w:r w:rsidRPr="0034232C">
        <w:rPr>
          <w:rFonts w:ascii="Arial" w:hAnsi="Arial" w:cs="Arial"/>
          <w:b/>
          <w:bCs/>
          <w:sz w:val="22"/>
          <w:szCs w:val="22"/>
        </w:rPr>
        <w:t>Póliza de Manejo Global de Entidades Estatales No. 1000250, </w:t>
      </w:r>
      <w:r w:rsidRPr="0034232C">
        <w:rPr>
          <w:rFonts w:ascii="Arial" w:hAnsi="Arial" w:cs="Arial"/>
          <w:sz w:val="22"/>
          <w:szCs w:val="22"/>
        </w:rPr>
        <w:t>cuyo valor asegurado es de Cuatrocientos dos millones de pesos. ($402,000,000.00) expedida por SBS Seguros Colombia en Coaseguro que se relaciona de la siguiente manera:</w:t>
      </w:r>
    </w:p>
    <w:p w14:paraId="5708D93B" w14:textId="77777777" w:rsidR="0034232C" w:rsidRPr="0034232C" w:rsidRDefault="0034232C" w:rsidP="0034232C">
      <w:pPr>
        <w:jc w:val="both"/>
        <w:rPr>
          <w:rFonts w:ascii="Arial" w:hAnsi="Arial" w:cs="Arial"/>
          <w:sz w:val="22"/>
          <w:szCs w:val="22"/>
        </w:rPr>
      </w:pPr>
      <w:r w:rsidRPr="0034232C">
        <w:rPr>
          <w:rFonts w:ascii="Arial" w:hAnsi="Arial" w:cs="Arial"/>
          <w:sz w:val="22"/>
          <w:szCs w:val="22"/>
        </w:rPr>
        <w:t> </w:t>
      </w:r>
    </w:p>
    <w:p w14:paraId="0982890C" w14:textId="77777777" w:rsidR="0034232C" w:rsidRPr="0034232C" w:rsidRDefault="0034232C" w:rsidP="0034232C">
      <w:pPr>
        <w:numPr>
          <w:ilvl w:val="0"/>
          <w:numId w:val="3"/>
        </w:numPr>
        <w:jc w:val="both"/>
        <w:rPr>
          <w:rFonts w:ascii="Arial" w:hAnsi="Arial" w:cs="Arial"/>
          <w:sz w:val="22"/>
          <w:szCs w:val="22"/>
        </w:rPr>
      </w:pPr>
      <w:r w:rsidRPr="0034232C">
        <w:rPr>
          <w:rFonts w:ascii="Arial" w:hAnsi="Arial" w:cs="Arial"/>
          <w:sz w:val="22"/>
          <w:szCs w:val="22"/>
        </w:rPr>
        <w:t>SBS SEGUROS COLOMBIA S.A. (LIDER) 50%</w:t>
      </w:r>
    </w:p>
    <w:p w14:paraId="6FD05850" w14:textId="77777777" w:rsidR="0034232C" w:rsidRPr="0034232C" w:rsidRDefault="0034232C" w:rsidP="0034232C">
      <w:pPr>
        <w:numPr>
          <w:ilvl w:val="0"/>
          <w:numId w:val="3"/>
        </w:numPr>
        <w:jc w:val="both"/>
        <w:rPr>
          <w:rFonts w:ascii="Arial" w:hAnsi="Arial" w:cs="Arial"/>
          <w:sz w:val="22"/>
          <w:szCs w:val="22"/>
        </w:rPr>
      </w:pPr>
      <w:r w:rsidRPr="0034232C">
        <w:rPr>
          <w:rFonts w:ascii="Arial" w:hAnsi="Arial" w:cs="Arial"/>
          <w:sz w:val="22"/>
          <w:szCs w:val="22"/>
        </w:rPr>
        <w:t>ASEGURADORA SOLIDARIA DE COLOMBIA 10%</w:t>
      </w:r>
    </w:p>
    <w:p w14:paraId="26D8F5CB" w14:textId="77777777" w:rsidR="0034232C" w:rsidRPr="0034232C" w:rsidRDefault="0034232C" w:rsidP="0034232C">
      <w:pPr>
        <w:numPr>
          <w:ilvl w:val="0"/>
          <w:numId w:val="3"/>
        </w:numPr>
        <w:jc w:val="both"/>
        <w:rPr>
          <w:rFonts w:ascii="Arial" w:hAnsi="Arial" w:cs="Arial"/>
          <w:sz w:val="22"/>
          <w:szCs w:val="22"/>
        </w:rPr>
      </w:pPr>
      <w:r w:rsidRPr="0034232C">
        <w:rPr>
          <w:rFonts w:ascii="Arial" w:hAnsi="Arial" w:cs="Arial"/>
          <w:sz w:val="22"/>
          <w:szCs w:val="22"/>
        </w:rPr>
        <w:t>ROYAL &amp; SUNALLIANCE SEGUROS DE COLOMBIA 25%</w:t>
      </w:r>
    </w:p>
    <w:p w14:paraId="6E64794E" w14:textId="77777777" w:rsidR="00FF2CFF" w:rsidRDefault="0034232C" w:rsidP="0034232C">
      <w:pPr>
        <w:numPr>
          <w:ilvl w:val="0"/>
          <w:numId w:val="3"/>
        </w:numPr>
        <w:jc w:val="both"/>
        <w:rPr>
          <w:rFonts w:ascii="Arial" w:hAnsi="Arial" w:cs="Arial"/>
          <w:sz w:val="22"/>
          <w:szCs w:val="22"/>
        </w:rPr>
      </w:pPr>
      <w:r w:rsidRPr="0034232C">
        <w:rPr>
          <w:rFonts w:ascii="Arial" w:hAnsi="Arial" w:cs="Arial"/>
          <w:sz w:val="22"/>
          <w:szCs w:val="22"/>
        </w:rPr>
        <w:t>SEGUROS DEL ESTADO 15%</w:t>
      </w:r>
    </w:p>
    <w:p w14:paraId="62B62B47" w14:textId="1F8E870B" w:rsidR="0034232C" w:rsidRPr="00FF2CFF" w:rsidRDefault="0034232C" w:rsidP="00FF2CFF">
      <w:pPr>
        <w:jc w:val="both"/>
        <w:rPr>
          <w:rFonts w:ascii="Arial" w:hAnsi="Arial" w:cs="Arial"/>
          <w:sz w:val="22"/>
          <w:szCs w:val="22"/>
        </w:rPr>
      </w:pPr>
      <w:r w:rsidRPr="00FF2CFF">
        <w:rPr>
          <w:rFonts w:ascii="Arial" w:hAnsi="Arial" w:cs="Arial"/>
          <w:sz w:val="22"/>
          <w:szCs w:val="22"/>
        </w:rPr>
        <w:t>En esta póliza se establece un deducible del 1% correspondiente a la cobertura por "Demás Eventos", aplicable sobre el valor de la pérdida. En consecuencia, debe descontarse del detrimento el valor de </w:t>
      </w:r>
      <w:r w:rsidRPr="00FF2CFF">
        <w:rPr>
          <w:rFonts w:ascii="Arial" w:hAnsi="Arial" w:cs="Arial"/>
          <w:b/>
          <w:bCs/>
          <w:sz w:val="22"/>
          <w:szCs w:val="22"/>
        </w:rPr>
        <w:t>$30.809.421,42</w:t>
      </w:r>
      <w:r w:rsidRPr="00FF2CFF">
        <w:rPr>
          <w:rFonts w:ascii="Arial" w:hAnsi="Arial" w:cs="Arial"/>
          <w:sz w:val="22"/>
          <w:szCs w:val="22"/>
        </w:rPr>
        <w:t>, monto que se resta del valor asegurado. Por lo tanto, los porcentajes correspondientes a cada compañía aseguradora deben calcularse sobre el valor restante de </w:t>
      </w:r>
      <w:r w:rsidRPr="00FF2CFF">
        <w:rPr>
          <w:rFonts w:ascii="Arial" w:hAnsi="Arial" w:cs="Arial"/>
          <w:b/>
          <w:bCs/>
          <w:sz w:val="22"/>
          <w:szCs w:val="22"/>
        </w:rPr>
        <w:t>$371.190.578,58</w:t>
      </w:r>
      <w:r w:rsidRPr="00FF2CFF">
        <w:rPr>
          <w:rFonts w:ascii="Arial" w:hAnsi="Arial" w:cs="Arial"/>
          <w:sz w:val="22"/>
          <w:szCs w:val="22"/>
        </w:rPr>
        <w:t>, de la siguiente manera:</w:t>
      </w:r>
    </w:p>
    <w:p w14:paraId="01A72AF3" w14:textId="77777777" w:rsidR="0034232C" w:rsidRPr="0034232C" w:rsidRDefault="0034232C" w:rsidP="0034232C">
      <w:pPr>
        <w:jc w:val="both"/>
        <w:rPr>
          <w:rFonts w:ascii="Arial" w:hAnsi="Arial" w:cs="Arial"/>
          <w:sz w:val="22"/>
          <w:szCs w:val="22"/>
        </w:rPr>
      </w:pPr>
      <w:r w:rsidRPr="0034232C">
        <w:rPr>
          <w:rFonts w:ascii="Arial" w:hAnsi="Arial" w:cs="Arial"/>
          <w:sz w:val="22"/>
          <w:szCs w:val="22"/>
        </w:rPr>
        <w:t> </w:t>
      </w:r>
    </w:p>
    <w:p w14:paraId="05274BD3" w14:textId="77777777" w:rsidR="0034232C" w:rsidRPr="0034232C" w:rsidRDefault="0034232C" w:rsidP="0034232C">
      <w:pPr>
        <w:numPr>
          <w:ilvl w:val="0"/>
          <w:numId w:val="4"/>
        </w:numPr>
        <w:jc w:val="both"/>
        <w:rPr>
          <w:rFonts w:ascii="Arial" w:hAnsi="Arial" w:cs="Arial"/>
          <w:sz w:val="22"/>
          <w:szCs w:val="22"/>
        </w:rPr>
      </w:pPr>
      <w:r w:rsidRPr="0034232C">
        <w:rPr>
          <w:rFonts w:ascii="Arial" w:hAnsi="Arial" w:cs="Arial"/>
          <w:b/>
          <w:bCs/>
          <w:sz w:val="22"/>
          <w:szCs w:val="22"/>
        </w:rPr>
        <w:t>SBS SEGUROS COLOMBIA S.A. (LÍDER)</w:t>
      </w:r>
      <w:r w:rsidRPr="0034232C">
        <w:rPr>
          <w:rFonts w:ascii="Arial" w:hAnsi="Arial" w:cs="Arial"/>
          <w:sz w:val="22"/>
          <w:szCs w:val="22"/>
        </w:rPr>
        <w:t> – 50%: $185.595.289,29</w:t>
      </w:r>
    </w:p>
    <w:p w14:paraId="4F94A330" w14:textId="77777777" w:rsidR="0034232C" w:rsidRPr="0034232C" w:rsidRDefault="0034232C" w:rsidP="0034232C">
      <w:pPr>
        <w:numPr>
          <w:ilvl w:val="0"/>
          <w:numId w:val="4"/>
        </w:numPr>
        <w:jc w:val="both"/>
        <w:rPr>
          <w:rFonts w:ascii="Arial" w:hAnsi="Arial" w:cs="Arial"/>
          <w:sz w:val="22"/>
          <w:szCs w:val="22"/>
        </w:rPr>
      </w:pPr>
      <w:r w:rsidRPr="0034232C">
        <w:rPr>
          <w:rFonts w:ascii="Arial" w:hAnsi="Arial" w:cs="Arial"/>
          <w:b/>
          <w:bCs/>
          <w:sz w:val="22"/>
          <w:szCs w:val="22"/>
        </w:rPr>
        <w:t>ASEGURADORA SOLIDARIA DE COLOMBIA</w:t>
      </w:r>
      <w:r w:rsidRPr="0034232C">
        <w:rPr>
          <w:rFonts w:ascii="Arial" w:hAnsi="Arial" w:cs="Arial"/>
          <w:sz w:val="22"/>
          <w:szCs w:val="22"/>
        </w:rPr>
        <w:t> – 10%: $37.119.057,86</w:t>
      </w:r>
    </w:p>
    <w:p w14:paraId="14453CFE" w14:textId="77777777" w:rsidR="0034232C" w:rsidRPr="0034232C" w:rsidRDefault="0034232C" w:rsidP="0034232C">
      <w:pPr>
        <w:numPr>
          <w:ilvl w:val="0"/>
          <w:numId w:val="4"/>
        </w:numPr>
        <w:jc w:val="both"/>
        <w:rPr>
          <w:rFonts w:ascii="Arial" w:hAnsi="Arial" w:cs="Arial"/>
          <w:sz w:val="22"/>
          <w:szCs w:val="22"/>
        </w:rPr>
      </w:pPr>
      <w:r w:rsidRPr="0034232C">
        <w:rPr>
          <w:rFonts w:ascii="Arial" w:hAnsi="Arial" w:cs="Arial"/>
          <w:b/>
          <w:bCs/>
          <w:sz w:val="22"/>
          <w:szCs w:val="22"/>
        </w:rPr>
        <w:t>ROYAL &amp; SUNALLIANCE SEGUROS DE COLOMBIA</w:t>
      </w:r>
      <w:r w:rsidRPr="0034232C">
        <w:rPr>
          <w:rFonts w:ascii="Arial" w:hAnsi="Arial" w:cs="Arial"/>
          <w:sz w:val="22"/>
          <w:szCs w:val="22"/>
        </w:rPr>
        <w:t> – 25%: $92.797.644,64</w:t>
      </w:r>
    </w:p>
    <w:p w14:paraId="3F419A9D" w14:textId="77777777" w:rsidR="0034232C" w:rsidRPr="0034232C" w:rsidRDefault="0034232C" w:rsidP="0034232C">
      <w:pPr>
        <w:numPr>
          <w:ilvl w:val="0"/>
          <w:numId w:val="4"/>
        </w:numPr>
        <w:jc w:val="both"/>
        <w:rPr>
          <w:rFonts w:ascii="Arial" w:hAnsi="Arial" w:cs="Arial"/>
          <w:sz w:val="22"/>
          <w:szCs w:val="22"/>
        </w:rPr>
      </w:pPr>
      <w:r w:rsidRPr="0034232C">
        <w:rPr>
          <w:rFonts w:ascii="Arial" w:hAnsi="Arial" w:cs="Arial"/>
          <w:b/>
          <w:bCs/>
          <w:sz w:val="22"/>
          <w:szCs w:val="22"/>
        </w:rPr>
        <w:t>SEGUROS DEL ESTADO</w:t>
      </w:r>
      <w:r w:rsidRPr="0034232C">
        <w:rPr>
          <w:rFonts w:ascii="Arial" w:hAnsi="Arial" w:cs="Arial"/>
          <w:sz w:val="22"/>
          <w:szCs w:val="22"/>
        </w:rPr>
        <w:t> – 15%: $55.678.586,79</w:t>
      </w:r>
    </w:p>
    <w:p w14:paraId="52D557AB" w14:textId="77777777" w:rsidR="0034232C" w:rsidRPr="0034232C" w:rsidRDefault="0034232C" w:rsidP="0034232C">
      <w:pPr>
        <w:jc w:val="both"/>
        <w:rPr>
          <w:rFonts w:ascii="Arial" w:hAnsi="Arial" w:cs="Arial"/>
          <w:sz w:val="22"/>
          <w:szCs w:val="22"/>
        </w:rPr>
      </w:pPr>
      <w:r w:rsidRPr="0034232C">
        <w:rPr>
          <w:rFonts w:ascii="Arial" w:hAnsi="Arial" w:cs="Arial"/>
          <w:sz w:val="22"/>
          <w:szCs w:val="22"/>
        </w:rPr>
        <w:t> </w:t>
      </w:r>
    </w:p>
    <w:p w14:paraId="2D4F0F4A" w14:textId="7BEDB122" w:rsidR="007366E6" w:rsidRDefault="0034232C" w:rsidP="004C116A">
      <w:pPr>
        <w:jc w:val="both"/>
        <w:rPr>
          <w:rFonts w:ascii="Arial" w:hAnsi="Arial" w:cs="Arial"/>
          <w:sz w:val="22"/>
          <w:szCs w:val="22"/>
        </w:rPr>
      </w:pPr>
      <w:r w:rsidRPr="0034232C">
        <w:rPr>
          <w:rFonts w:ascii="Arial" w:hAnsi="Arial" w:cs="Arial"/>
          <w:sz w:val="22"/>
          <w:szCs w:val="22"/>
        </w:rPr>
        <w:t>Frente a esta Póliza, Aseguradora Solidaria de Colombia respondería por el 10% correspondiente a $37.119.057,86.</w:t>
      </w:r>
    </w:p>
    <w:p w14:paraId="08528F51" w14:textId="77777777" w:rsidR="000E2BCF" w:rsidRDefault="000E2BCF" w:rsidP="004C116A">
      <w:pPr>
        <w:jc w:val="both"/>
        <w:rPr>
          <w:rFonts w:ascii="Arial" w:hAnsi="Arial" w:cs="Arial"/>
          <w:sz w:val="22"/>
          <w:szCs w:val="22"/>
        </w:rPr>
      </w:pPr>
    </w:p>
    <w:p w14:paraId="4A54870C" w14:textId="30A17089" w:rsidR="004274A0" w:rsidRPr="004C116A" w:rsidRDefault="004274A0" w:rsidP="004C116A">
      <w:pPr>
        <w:jc w:val="both"/>
        <w:rPr>
          <w:rFonts w:ascii="Arial" w:hAnsi="Arial" w:cs="Arial"/>
          <w:sz w:val="22"/>
          <w:szCs w:val="22"/>
        </w:rPr>
      </w:pPr>
      <w:r>
        <w:rPr>
          <w:rFonts w:ascii="Arial" w:hAnsi="Arial" w:cs="Arial"/>
          <w:sz w:val="22"/>
          <w:szCs w:val="22"/>
        </w:rPr>
        <w:t xml:space="preserve">De este modo, </w:t>
      </w:r>
      <w:r w:rsidR="000E2BCF">
        <w:rPr>
          <w:rFonts w:ascii="Arial" w:hAnsi="Arial" w:cs="Arial"/>
          <w:sz w:val="22"/>
          <w:szCs w:val="22"/>
        </w:rPr>
        <w:t xml:space="preserve">el monto a responder </w:t>
      </w:r>
      <w:r w:rsidR="00FF2CFF">
        <w:rPr>
          <w:rFonts w:ascii="Arial" w:hAnsi="Arial" w:cs="Arial"/>
          <w:sz w:val="22"/>
          <w:szCs w:val="22"/>
        </w:rPr>
        <w:t xml:space="preserve">a cargo de </w:t>
      </w:r>
      <w:r w:rsidR="000E2BCF">
        <w:rPr>
          <w:rFonts w:ascii="Arial" w:hAnsi="Arial" w:cs="Arial"/>
          <w:sz w:val="22"/>
          <w:szCs w:val="22"/>
        </w:rPr>
        <w:t xml:space="preserve"> la compañía es de $</w:t>
      </w:r>
      <w:r w:rsidR="000E2BCF" w:rsidRPr="000E2BCF">
        <w:rPr>
          <w:rFonts w:ascii="Arial" w:hAnsi="Arial" w:cs="Arial"/>
          <w:sz w:val="22"/>
          <w:szCs w:val="22"/>
        </w:rPr>
        <w:t>1.037.119.057,86</w:t>
      </w:r>
    </w:p>
    <w:sectPr w:rsidR="004274A0" w:rsidRPr="004C11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0A44"/>
    <w:multiLevelType w:val="multilevel"/>
    <w:tmpl w:val="E902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B6122"/>
    <w:multiLevelType w:val="multilevel"/>
    <w:tmpl w:val="20D0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21004"/>
    <w:multiLevelType w:val="multilevel"/>
    <w:tmpl w:val="3E68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2F072D"/>
    <w:multiLevelType w:val="multilevel"/>
    <w:tmpl w:val="0F26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80036">
    <w:abstractNumId w:val="1"/>
  </w:num>
  <w:num w:numId="2" w16cid:durableId="1915777011">
    <w:abstractNumId w:val="2"/>
  </w:num>
  <w:num w:numId="3" w16cid:durableId="1960912376">
    <w:abstractNumId w:val="0"/>
  </w:num>
  <w:num w:numId="4" w16cid:durableId="1500583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4F"/>
    <w:rsid w:val="00027BD3"/>
    <w:rsid w:val="00045D0C"/>
    <w:rsid w:val="0009224F"/>
    <w:rsid w:val="000E2BCF"/>
    <w:rsid w:val="000F0416"/>
    <w:rsid w:val="001B4332"/>
    <w:rsid w:val="00205C44"/>
    <w:rsid w:val="0023111B"/>
    <w:rsid w:val="0034232C"/>
    <w:rsid w:val="003C6573"/>
    <w:rsid w:val="00402D94"/>
    <w:rsid w:val="004274A0"/>
    <w:rsid w:val="00442B55"/>
    <w:rsid w:val="004C116A"/>
    <w:rsid w:val="0053425E"/>
    <w:rsid w:val="0059484E"/>
    <w:rsid w:val="0066460B"/>
    <w:rsid w:val="007366E6"/>
    <w:rsid w:val="00743129"/>
    <w:rsid w:val="008A09BB"/>
    <w:rsid w:val="008B1FC8"/>
    <w:rsid w:val="008F0EEC"/>
    <w:rsid w:val="00903B11"/>
    <w:rsid w:val="009D789C"/>
    <w:rsid w:val="00B063B4"/>
    <w:rsid w:val="00BD0C45"/>
    <w:rsid w:val="00C173AB"/>
    <w:rsid w:val="00DA4DD4"/>
    <w:rsid w:val="00DB1048"/>
    <w:rsid w:val="00DD3BE0"/>
    <w:rsid w:val="00E05AF0"/>
    <w:rsid w:val="00E109BD"/>
    <w:rsid w:val="00E32063"/>
    <w:rsid w:val="00E55A33"/>
    <w:rsid w:val="00E81BCF"/>
    <w:rsid w:val="00E90C99"/>
    <w:rsid w:val="00EE766B"/>
    <w:rsid w:val="00EF1B30"/>
    <w:rsid w:val="00F04D1C"/>
    <w:rsid w:val="00F217D4"/>
    <w:rsid w:val="00F227FD"/>
    <w:rsid w:val="00F46683"/>
    <w:rsid w:val="00FA7D85"/>
    <w:rsid w:val="00FB39E7"/>
    <w:rsid w:val="00FC5A9C"/>
    <w:rsid w:val="00FF2C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9967"/>
  <w15:chartTrackingRefBased/>
  <w15:docId w15:val="{E97B2F53-B063-4B0B-BF1A-E7F5AD5B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92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92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922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922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922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9224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9224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9224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9224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224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9224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9224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9224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9224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9224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9224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9224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9224F"/>
    <w:rPr>
      <w:rFonts w:eastAsiaTheme="majorEastAsia" w:cstheme="majorBidi"/>
      <w:color w:val="272727" w:themeColor="text1" w:themeTint="D8"/>
    </w:rPr>
  </w:style>
  <w:style w:type="paragraph" w:styleId="Ttulo">
    <w:name w:val="Title"/>
    <w:basedOn w:val="Normal"/>
    <w:next w:val="Normal"/>
    <w:link w:val="TtuloCar"/>
    <w:uiPriority w:val="10"/>
    <w:qFormat/>
    <w:rsid w:val="00092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22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9224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9224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9224F"/>
    <w:pPr>
      <w:spacing w:before="160"/>
      <w:jc w:val="center"/>
    </w:pPr>
    <w:rPr>
      <w:i/>
      <w:iCs/>
      <w:color w:val="404040" w:themeColor="text1" w:themeTint="BF"/>
    </w:rPr>
  </w:style>
  <w:style w:type="character" w:customStyle="1" w:styleId="CitaCar">
    <w:name w:val="Cita Car"/>
    <w:basedOn w:val="Fuentedeprrafopredeter"/>
    <w:link w:val="Cita"/>
    <w:uiPriority w:val="29"/>
    <w:rsid w:val="0009224F"/>
    <w:rPr>
      <w:i/>
      <w:iCs/>
      <w:color w:val="404040" w:themeColor="text1" w:themeTint="BF"/>
    </w:rPr>
  </w:style>
  <w:style w:type="paragraph" w:styleId="Prrafodelista">
    <w:name w:val="List Paragraph"/>
    <w:basedOn w:val="Normal"/>
    <w:uiPriority w:val="34"/>
    <w:qFormat/>
    <w:rsid w:val="0009224F"/>
    <w:pPr>
      <w:ind w:left="720"/>
      <w:contextualSpacing/>
    </w:pPr>
  </w:style>
  <w:style w:type="character" w:styleId="nfasisintenso">
    <w:name w:val="Intense Emphasis"/>
    <w:basedOn w:val="Fuentedeprrafopredeter"/>
    <w:uiPriority w:val="21"/>
    <w:qFormat/>
    <w:rsid w:val="0009224F"/>
    <w:rPr>
      <w:i/>
      <w:iCs/>
      <w:color w:val="0F4761" w:themeColor="accent1" w:themeShade="BF"/>
    </w:rPr>
  </w:style>
  <w:style w:type="paragraph" w:styleId="Citadestacada">
    <w:name w:val="Intense Quote"/>
    <w:basedOn w:val="Normal"/>
    <w:next w:val="Normal"/>
    <w:link w:val="CitadestacadaCar"/>
    <w:uiPriority w:val="30"/>
    <w:qFormat/>
    <w:rsid w:val="00092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9224F"/>
    <w:rPr>
      <w:i/>
      <w:iCs/>
      <w:color w:val="0F4761" w:themeColor="accent1" w:themeShade="BF"/>
    </w:rPr>
  </w:style>
  <w:style w:type="character" w:styleId="Referenciaintensa">
    <w:name w:val="Intense Reference"/>
    <w:basedOn w:val="Fuentedeprrafopredeter"/>
    <w:uiPriority w:val="32"/>
    <w:qFormat/>
    <w:rsid w:val="0009224F"/>
    <w:rPr>
      <w:b/>
      <w:bCs/>
      <w:smallCaps/>
      <w:color w:val="0F4761" w:themeColor="accent1" w:themeShade="BF"/>
      <w:spacing w:val="5"/>
    </w:rPr>
  </w:style>
  <w:style w:type="paragraph" w:styleId="Revisin">
    <w:name w:val="Revision"/>
    <w:hidden/>
    <w:uiPriority w:val="99"/>
    <w:semiHidden/>
    <w:rsid w:val="00E109BD"/>
    <w:pPr>
      <w:spacing w:after="0" w:line="240" w:lineRule="auto"/>
    </w:pPr>
  </w:style>
  <w:style w:type="character" w:styleId="Refdecomentario">
    <w:name w:val="annotation reference"/>
    <w:basedOn w:val="Fuentedeprrafopredeter"/>
    <w:uiPriority w:val="99"/>
    <w:semiHidden/>
    <w:unhideWhenUsed/>
    <w:rsid w:val="0059484E"/>
    <w:rPr>
      <w:sz w:val="16"/>
      <w:szCs w:val="16"/>
    </w:rPr>
  </w:style>
  <w:style w:type="paragraph" w:styleId="Textocomentario">
    <w:name w:val="annotation text"/>
    <w:basedOn w:val="Normal"/>
    <w:link w:val="TextocomentarioCar"/>
    <w:uiPriority w:val="99"/>
    <w:unhideWhenUsed/>
    <w:rsid w:val="0059484E"/>
    <w:pPr>
      <w:spacing w:line="240" w:lineRule="auto"/>
    </w:pPr>
    <w:rPr>
      <w:sz w:val="20"/>
      <w:szCs w:val="20"/>
    </w:rPr>
  </w:style>
  <w:style w:type="character" w:customStyle="1" w:styleId="TextocomentarioCar">
    <w:name w:val="Texto comentario Car"/>
    <w:basedOn w:val="Fuentedeprrafopredeter"/>
    <w:link w:val="Textocomentario"/>
    <w:uiPriority w:val="99"/>
    <w:rsid w:val="0059484E"/>
    <w:rPr>
      <w:sz w:val="20"/>
      <w:szCs w:val="20"/>
    </w:rPr>
  </w:style>
  <w:style w:type="paragraph" w:styleId="Asuntodelcomentario">
    <w:name w:val="annotation subject"/>
    <w:basedOn w:val="Textocomentario"/>
    <w:next w:val="Textocomentario"/>
    <w:link w:val="AsuntodelcomentarioCar"/>
    <w:uiPriority w:val="99"/>
    <w:semiHidden/>
    <w:unhideWhenUsed/>
    <w:rsid w:val="0059484E"/>
    <w:rPr>
      <w:b/>
      <w:bCs/>
    </w:rPr>
  </w:style>
  <w:style w:type="character" w:customStyle="1" w:styleId="AsuntodelcomentarioCar">
    <w:name w:val="Asunto del comentario Car"/>
    <w:basedOn w:val="TextocomentarioCar"/>
    <w:link w:val="Asuntodelcomentario"/>
    <w:uiPriority w:val="99"/>
    <w:semiHidden/>
    <w:rsid w:val="0059484E"/>
    <w:rPr>
      <w:b/>
      <w:bCs/>
      <w:sz w:val="20"/>
      <w:szCs w:val="20"/>
    </w:rPr>
  </w:style>
  <w:style w:type="paragraph" w:styleId="NormalWeb">
    <w:name w:val="Normal (Web)"/>
    <w:basedOn w:val="Normal"/>
    <w:uiPriority w:val="99"/>
    <w:semiHidden/>
    <w:unhideWhenUsed/>
    <w:rsid w:val="005342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647344">
      <w:bodyDiv w:val="1"/>
      <w:marLeft w:val="0"/>
      <w:marRight w:val="0"/>
      <w:marTop w:val="0"/>
      <w:marBottom w:val="0"/>
      <w:divBdr>
        <w:top w:val="none" w:sz="0" w:space="0" w:color="auto"/>
        <w:left w:val="none" w:sz="0" w:space="0" w:color="auto"/>
        <w:bottom w:val="none" w:sz="0" w:space="0" w:color="auto"/>
        <w:right w:val="none" w:sz="0" w:space="0" w:color="auto"/>
      </w:divBdr>
    </w:div>
    <w:div w:id="346518630">
      <w:bodyDiv w:val="1"/>
      <w:marLeft w:val="0"/>
      <w:marRight w:val="0"/>
      <w:marTop w:val="0"/>
      <w:marBottom w:val="0"/>
      <w:divBdr>
        <w:top w:val="none" w:sz="0" w:space="0" w:color="auto"/>
        <w:left w:val="none" w:sz="0" w:space="0" w:color="auto"/>
        <w:bottom w:val="none" w:sz="0" w:space="0" w:color="auto"/>
        <w:right w:val="none" w:sz="0" w:space="0" w:color="auto"/>
      </w:divBdr>
      <w:divsChild>
        <w:div w:id="588462656">
          <w:marLeft w:val="0"/>
          <w:marRight w:val="0"/>
          <w:marTop w:val="0"/>
          <w:marBottom w:val="0"/>
          <w:divBdr>
            <w:top w:val="none" w:sz="0" w:space="0" w:color="auto"/>
            <w:left w:val="none" w:sz="0" w:space="0" w:color="auto"/>
            <w:bottom w:val="none" w:sz="0" w:space="0" w:color="auto"/>
            <w:right w:val="none" w:sz="0" w:space="0" w:color="auto"/>
          </w:divBdr>
        </w:div>
        <w:div w:id="1074861052">
          <w:marLeft w:val="0"/>
          <w:marRight w:val="0"/>
          <w:marTop w:val="0"/>
          <w:marBottom w:val="0"/>
          <w:divBdr>
            <w:top w:val="none" w:sz="0" w:space="0" w:color="auto"/>
            <w:left w:val="none" w:sz="0" w:space="0" w:color="auto"/>
            <w:bottom w:val="none" w:sz="0" w:space="0" w:color="auto"/>
            <w:right w:val="none" w:sz="0" w:space="0" w:color="auto"/>
          </w:divBdr>
        </w:div>
      </w:divsChild>
    </w:div>
    <w:div w:id="528951856">
      <w:bodyDiv w:val="1"/>
      <w:marLeft w:val="0"/>
      <w:marRight w:val="0"/>
      <w:marTop w:val="0"/>
      <w:marBottom w:val="0"/>
      <w:divBdr>
        <w:top w:val="none" w:sz="0" w:space="0" w:color="auto"/>
        <w:left w:val="none" w:sz="0" w:space="0" w:color="auto"/>
        <w:bottom w:val="none" w:sz="0" w:space="0" w:color="auto"/>
        <w:right w:val="none" w:sz="0" w:space="0" w:color="auto"/>
      </w:divBdr>
      <w:divsChild>
        <w:div w:id="1267881300">
          <w:marLeft w:val="0"/>
          <w:marRight w:val="0"/>
          <w:marTop w:val="0"/>
          <w:marBottom w:val="0"/>
          <w:divBdr>
            <w:top w:val="none" w:sz="0" w:space="0" w:color="auto"/>
            <w:left w:val="none" w:sz="0" w:space="0" w:color="auto"/>
            <w:bottom w:val="none" w:sz="0" w:space="0" w:color="auto"/>
            <w:right w:val="none" w:sz="0" w:space="0" w:color="auto"/>
          </w:divBdr>
        </w:div>
        <w:div w:id="489713009">
          <w:marLeft w:val="0"/>
          <w:marRight w:val="0"/>
          <w:marTop w:val="0"/>
          <w:marBottom w:val="0"/>
          <w:divBdr>
            <w:top w:val="none" w:sz="0" w:space="0" w:color="auto"/>
            <w:left w:val="none" w:sz="0" w:space="0" w:color="auto"/>
            <w:bottom w:val="none" w:sz="0" w:space="0" w:color="auto"/>
            <w:right w:val="none" w:sz="0" w:space="0" w:color="auto"/>
          </w:divBdr>
        </w:div>
        <w:div w:id="703991143">
          <w:marLeft w:val="0"/>
          <w:marRight w:val="0"/>
          <w:marTop w:val="0"/>
          <w:marBottom w:val="0"/>
          <w:divBdr>
            <w:top w:val="none" w:sz="0" w:space="0" w:color="auto"/>
            <w:left w:val="none" w:sz="0" w:space="0" w:color="auto"/>
            <w:bottom w:val="none" w:sz="0" w:space="0" w:color="auto"/>
            <w:right w:val="none" w:sz="0" w:space="0" w:color="auto"/>
          </w:divBdr>
        </w:div>
        <w:div w:id="1119837061">
          <w:marLeft w:val="0"/>
          <w:marRight w:val="0"/>
          <w:marTop w:val="0"/>
          <w:marBottom w:val="0"/>
          <w:divBdr>
            <w:top w:val="none" w:sz="0" w:space="0" w:color="auto"/>
            <w:left w:val="none" w:sz="0" w:space="0" w:color="auto"/>
            <w:bottom w:val="none" w:sz="0" w:space="0" w:color="auto"/>
            <w:right w:val="none" w:sz="0" w:space="0" w:color="auto"/>
          </w:divBdr>
        </w:div>
        <w:div w:id="594557113">
          <w:marLeft w:val="0"/>
          <w:marRight w:val="0"/>
          <w:marTop w:val="0"/>
          <w:marBottom w:val="0"/>
          <w:divBdr>
            <w:top w:val="none" w:sz="0" w:space="0" w:color="auto"/>
            <w:left w:val="none" w:sz="0" w:space="0" w:color="auto"/>
            <w:bottom w:val="none" w:sz="0" w:space="0" w:color="auto"/>
            <w:right w:val="none" w:sz="0" w:space="0" w:color="auto"/>
          </w:divBdr>
        </w:div>
      </w:divsChild>
    </w:div>
    <w:div w:id="687609382">
      <w:bodyDiv w:val="1"/>
      <w:marLeft w:val="0"/>
      <w:marRight w:val="0"/>
      <w:marTop w:val="0"/>
      <w:marBottom w:val="0"/>
      <w:divBdr>
        <w:top w:val="none" w:sz="0" w:space="0" w:color="auto"/>
        <w:left w:val="none" w:sz="0" w:space="0" w:color="auto"/>
        <w:bottom w:val="none" w:sz="0" w:space="0" w:color="auto"/>
        <w:right w:val="none" w:sz="0" w:space="0" w:color="auto"/>
      </w:divBdr>
      <w:divsChild>
        <w:div w:id="1738818262">
          <w:marLeft w:val="0"/>
          <w:marRight w:val="0"/>
          <w:marTop w:val="0"/>
          <w:marBottom w:val="0"/>
          <w:divBdr>
            <w:top w:val="none" w:sz="0" w:space="0" w:color="auto"/>
            <w:left w:val="none" w:sz="0" w:space="0" w:color="auto"/>
            <w:bottom w:val="none" w:sz="0" w:space="0" w:color="auto"/>
            <w:right w:val="none" w:sz="0" w:space="0" w:color="auto"/>
          </w:divBdr>
          <w:divsChild>
            <w:div w:id="1167552809">
              <w:marLeft w:val="0"/>
              <w:marRight w:val="0"/>
              <w:marTop w:val="0"/>
              <w:marBottom w:val="0"/>
              <w:divBdr>
                <w:top w:val="none" w:sz="0" w:space="0" w:color="auto"/>
                <w:left w:val="none" w:sz="0" w:space="0" w:color="auto"/>
                <w:bottom w:val="none" w:sz="0" w:space="0" w:color="auto"/>
                <w:right w:val="none" w:sz="0" w:space="0" w:color="auto"/>
              </w:divBdr>
              <w:divsChild>
                <w:div w:id="1763724732">
                  <w:marLeft w:val="0"/>
                  <w:marRight w:val="0"/>
                  <w:marTop w:val="0"/>
                  <w:marBottom w:val="0"/>
                  <w:divBdr>
                    <w:top w:val="none" w:sz="0" w:space="0" w:color="auto"/>
                    <w:left w:val="none" w:sz="0" w:space="0" w:color="auto"/>
                    <w:bottom w:val="none" w:sz="0" w:space="0" w:color="auto"/>
                    <w:right w:val="none" w:sz="0" w:space="0" w:color="auto"/>
                  </w:divBdr>
                  <w:divsChild>
                    <w:div w:id="840778316">
                      <w:marLeft w:val="0"/>
                      <w:marRight w:val="0"/>
                      <w:marTop w:val="0"/>
                      <w:marBottom w:val="0"/>
                      <w:divBdr>
                        <w:top w:val="none" w:sz="0" w:space="0" w:color="auto"/>
                        <w:left w:val="none" w:sz="0" w:space="0" w:color="auto"/>
                        <w:bottom w:val="none" w:sz="0" w:space="0" w:color="auto"/>
                        <w:right w:val="none" w:sz="0" w:space="0" w:color="auto"/>
                      </w:divBdr>
                      <w:divsChild>
                        <w:div w:id="2107847995">
                          <w:marLeft w:val="0"/>
                          <w:marRight w:val="0"/>
                          <w:marTop w:val="0"/>
                          <w:marBottom w:val="0"/>
                          <w:divBdr>
                            <w:top w:val="none" w:sz="0" w:space="0" w:color="auto"/>
                            <w:left w:val="none" w:sz="0" w:space="0" w:color="auto"/>
                            <w:bottom w:val="none" w:sz="0" w:space="0" w:color="auto"/>
                            <w:right w:val="none" w:sz="0" w:space="0" w:color="auto"/>
                          </w:divBdr>
                          <w:divsChild>
                            <w:div w:id="406924418">
                              <w:marLeft w:val="0"/>
                              <w:marRight w:val="0"/>
                              <w:marTop w:val="0"/>
                              <w:marBottom w:val="0"/>
                              <w:divBdr>
                                <w:top w:val="none" w:sz="0" w:space="0" w:color="auto"/>
                                <w:left w:val="none" w:sz="0" w:space="0" w:color="auto"/>
                                <w:bottom w:val="none" w:sz="0" w:space="0" w:color="auto"/>
                                <w:right w:val="none" w:sz="0" w:space="0" w:color="auto"/>
                              </w:divBdr>
                              <w:divsChild>
                                <w:div w:id="2060586729">
                                  <w:marLeft w:val="0"/>
                                  <w:marRight w:val="0"/>
                                  <w:marTop w:val="0"/>
                                  <w:marBottom w:val="0"/>
                                  <w:divBdr>
                                    <w:top w:val="none" w:sz="0" w:space="0" w:color="auto"/>
                                    <w:left w:val="none" w:sz="0" w:space="0" w:color="auto"/>
                                    <w:bottom w:val="none" w:sz="0" w:space="0" w:color="auto"/>
                                    <w:right w:val="none" w:sz="0" w:space="0" w:color="auto"/>
                                  </w:divBdr>
                                  <w:divsChild>
                                    <w:div w:id="21038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67615">
                      <w:marLeft w:val="0"/>
                      <w:marRight w:val="0"/>
                      <w:marTop w:val="0"/>
                      <w:marBottom w:val="0"/>
                      <w:divBdr>
                        <w:top w:val="none" w:sz="0" w:space="0" w:color="auto"/>
                        <w:left w:val="none" w:sz="0" w:space="0" w:color="auto"/>
                        <w:bottom w:val="none" w:sz="0" w:space="0" w:color="auto"/>
                        <w:right w:val="none" w:sz="0" w:space="0" w:color="auto"/>
                      </w:divBdr>
                      <w:divsChild>
                        <w:div w:id="18862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962539">
      <w:bodyDiv w:val="1"/>
      <w:marLeft w:val="0"/>
      <w:marRight w:val="0"/>
      <w:marTop w:val="0"/>
      <w:marBottom w:val="0"/>
      <w:divBdr>
        <w:top w:val="none" w:sz="0" w:space="0" w:color="auto"/>
        <w:left w:val="none" w:sz="0" w:space="0" w:color="auto"/>
        <w:bottom w:val="none" w:sz="0" w:space="0" w:color="auto"/>
        <w:right w:val="none" w:sz="0" w:space="0" w:color="auto"/>
      </w:divBdr>
      <w:divsChild>
        <w:div w:id="1016615212">
          <w:marLeft w:val="0"/>
          <w:marRight w:val="0"/>
          <w:marTop w:val="0"/>
          <w:marBottom w:val="0"/>
          <w:divBdr>
            <w:top w:val="none" w:sz="0" w:space="0" w:color="auto"/>
            <w:left w:val="none" w:sz="0" w:space="0" w:color="auto"/>
            <w:bottom w:val="none" w:sz="0" w:space="0" w:color="auto"/>
            <w:right w:val="none" w:sz="0" w:space="0" w:color="auto"/>
          </w:divBdr>
          <w:divsChild>
            <w:div w:id="944077644">
              <w:marLeft w:val="0"/>
              <w:marRight w:val="0"/>
              <w:marTop w:val="0"/>
              <w:marBottom w:val="0"/>
              <w:divBdr>
                <w:top w:val="none" w:sz="0" w:space="0" w:color="auto"/>
                <w:left w:val="none" w:sz="0" w:space="0" w:color="auto"/>
                <w:bottom w:val="none" w:sz="0" w:space="0" w:color="auto"/>
                <w:right w:val="none" w:sz="0" w:space="0" w:color="auto"/>
              </w:divBdr>
              <w:divsChild>
                <w:div w:id="1712068644">
                  <w:marLeft w:val="0"/>
                  <w:marRight w:val="0"/>
                  <w:marTop w:val="0"/>
                  <w:marBottom w:val="0"/>
                  <w:divBdr>
                    <w:top w:val="none" w:sz="0" w:space="0" w:color="auto"/>
                    <w:left w:val="none" w:sz="0" w:space="0" w:color="auto"/>
                    <w:bottom w:val="none" w:sz="0" w:space="0" w:color="auto"/>
                    <w:right w:val="none" w:sz="0" w:space="0" w:color="auto"/>
                  </w:divBdr>
                  <w:divsChild>
                    <w:div w:id="1404911031">
                      <w:marLeft w:val="0"/>
                      <w:marRight w:val="0"/>
                      <w:marTop w:val="0"/>
                      <w:marBottom w:val="0"/>
                      <w:divBdr>
                        <w:top w:val="none" w:sz="0" w:space="0" w:color="auto"/>
                        <w:left w:val="none" w:sz="0" w:space="0" w:color="auto"/>
                        <w:bottom w:val="none" w:sz="0" w:space="0" w:color="auto"/>
                        <w:right w:val="none" w:sz="0" w:space="0" w:color="auto"/>
                      </w:divBdr>
                      <w:divsChild>
                        <w:div w:id="1369722898">
                          <w:marLeft w:val="0"/>
                          <w:marRight w:val="0"/>
                          <w:marTop w:val="0"/>
                          <w:marBottom w:val="0"/>
                          <w:divBdr>
                            <w:top w:val="none" w:sz="0" w:space="0" w:color="auto"/>
                            <w:left w:val="none" w:sz="0" w:space="0" w:color="auto"/>
                            <w:bottom w:val="none" w:sz="0" w:space="0" w:color="auto"/>
                            <w:right w:val="none" w:sz="0" w:space="0" w:color="auto"/>
                          </w:divBdr>
                          <w:divsChild>
                            <w:div w:id="2049404918">
                              <w:marLeft w:val="0"/>
                              <w:marRight w:val="0"/>
                              <w:marTop w:val="0"/>
                              <w:marBottom w:val="0"/>
                              <w:divBdr>
                                <w:top w:val="none" w:sz="0" w:space="0" w:color="auto"/>
                                <w:left w:val="none" w:sz="0" w:space="0" w:color="auto"/>
                                <w:bottom w:val="none" w:sz="0" w:space="0" w:color="auto"/>
                                <w:right w:val="none" w:sz="0" w:space="0" w:color="auto"/>
                              </w:divBdr>
                              <w:divsChild>
                                <w:div w:id="543100028">
                                  <w:marLeft w:val="0"/>
                                  <w:marRight w:val="0"/>
                                  <w:marTop w:val="0"/>
                                  <w:marBottom w:val="0"/>
                                  <w:divBdr>
                                    <w:top w:val="none" w:sz="0" w:space="0" w:color="auto"/>
                                    <w:left w:val="none" w:sz="0" w:space="0" w:color="auto"/>
                                    <w:bottom w:val="none" w:sz="0" w:space="0" w:color="auto"/>
                                    <w:right w:val="none" w:sz="0" w:space="0" w:color="auto"/>
                                  </w:divBdr>
                                  <w:divsChild>
                                    <w:div w:id="1799181048">
                                      <w:marLeft w:val="0"/>
                                      <w:marRight w:val="0"/>
                                      <w:marTop w:val="0"/>
                                      <w:marBottom w:val="0"/>
                                      <w:divBdr>
                                        <w:top w:val="none" w:sz="0" w:space="0" w:color="auto"/>
                                        <w:left w:val="none" w:sz="0" w:space="0" w:color="auto"/>
                                        <w:bottom w:val="none" w:sz="0" w:space="0" w:color="auto"/>
                                        <w:right w:val="none" w:sz="0" w:space="0" w:color="auto"/>
                                      </w:divBdr>
                                      <w:divsChild>
                                        <w:div w:id="625551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38497423">
                      <w:marLeft w:val="0"/>
                      <w:marRight w:val="0"/>
                      <w:marTop w:val="0"/>
                      <w:marBottom w:val="0"/>
                      <w:divBdr>
                        <w:top w:val="none" w:sz="0" w:space="0" w:color="auto"/>
                        <w:left w:val="none" w:sz="0" w:space="0" w:color="auto"/>
                        <w:bottom w:val="none" w:sz="0" w:space="0" w:color="auto"/>
                        <w:right w:val="none" w:sz="0" w:space="0" w:color="auto"/>
                      </w:divBdr>
                      <w:divsChild>
                        <w:div w:id="7197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675956">
      <w:bodyDiv w:val="1"/>
      <w:marLeft w:val="0"/>
      <w:marRight w:val="0"/>
      <w:marTop w:val="0"/>
      <w:marBottom w:val="0"/>
      <w:divBdr>
        <w:top w:val="none" w:sz="0" w:space="0" w:color="auto"/>
        <w:left w:val="none" w:sz="0" w:space="0" w:color="auto"/>
        <w:bottom w:val="none" w:sz="0" w:space="0" w:color="auto"/>
        <w:right w:val="none" w:sz="0" w:space="0" w:color="auto"/>
      </w:divBdr>
      <w:divsChild>
        <w:div w:id="1175413834">
          <w:marLeft w:val="0"/>
          <w:marRight w:val="0"/>
          <w:marTop w:val="0"/>
          <w:marBottom w:val="0"/>
          <w:divBdr>
            <w:top w:val="none" w:sz="0" w:space="0" w:color="auto"/>
            <w:left w:val="none" w:sz="0" w:space="0" w:color="auto"/>
            <w:bottom w:val="none" w:sz="0" w:space="0" w:color="auto"/>
            <w:right w:val="none" w:sz="0" w:space="0" w:color="auto"/>
          </w:divBdr>
        </w:div>
        <w:div w:id="1481919299">
          <w:marLeft w:val="0"/>
          <w:marRight w:val="0"/>
          <w:marTop w:val="0"/>
          <w:marBottom w:val="0"/>
          <w:divBdr>
            <w:top w:val="none" w:sz="0" w:space="0" w:color="auto"/>
            <w:left w:val="none" w:sz="0" w:space="0" w:color="auto"/>
            <w:bottom w:val="none" w:sz="0" w:space="0" w:color="auto"/>
            <w:right w:val="none" w:sz="0" w:space="0" w:color="auto"/>
          </w:divBdr>
        </w:div>
      </w:divsChild>
    </w:div>
    <w:div w:id="1189098492">
      <w:bodyDiv w:val="1"/>
      <w:marLeft w:val="0"/>
      <w:marRight w:val="0"/>
      <w:marTop w:val="0"/>
      <w:marBottom w:val="0"/>
      <w:divBdr>
        <w:top w:val="none" w:sz="0" w:space="0" w:color="auto"/>
        <w:left w:val="none" w:sz="0" w:space="0" w:color="auto"/>
        <w:bottom w:val="none" w:sz="0" w:space="0" w:color="auto"/>
        <w:right w:val="none" w:sz="0" w:space="0" w:color="auto"/>
      </w:divBdr>
      <w:divsChild>
        <w:div w:id="1209606175">
          <w:marLeft w:val="0"/>
          <w:marRight w:val="0"/>
          <w:marTop w:val="0"/>
          <w:marBottom w:val="0"/>
          <w:divBdr>
            <w:top w:val="none" w:sz="0" w:space="0" w:color="auto"/>
            <w:left w:val="none" w:sz="0" w:space="0" w:color="auto"/>
            <w:bottom w:val="none" w:sz="0" w:space="0" w:color="auto"/>
            <w:right w:val="none" w:sz="0" w:space="0" w:color="auto"/>
          </w:divBdr>
          <w:divsChild>
            <w:div w:id="1879782302">
              <w:marLeft w:val="0"/>
              <w:marRight w:val="0"/>
              <w:marTop w:val="0"/>
              <w:marBottom w:val="0"/>
              <w:divBdr>
                <w:top w:val="none" w:sz="0" w:space="0" w:color="auto"/>
                <w:left w:val="none" w:sz="0" w:space="0" w:color="auto"/>
                <w:bottom w:val="none" w:sz="0" w:space="0" w:color="auto"/>
                <w:right w:val="none" w:sz="0" w:space="0" w:color="auto"/>
              </w:divBdr>
              <w:divsChild>
                <w:div w:id="543636180">
                  <w:marLeft w:val="0"/>
                  <w:marRight w:val="0"/>
                  <w:marTop w:val="0"/>
                  <w:marBottom w:val="0"/>
                  <w:divBdr>
                    <w:top w:val="none" w:sz="0" w:space="0" w:color="auto"/>
                    <w:left w:val="none" w:sz="0" w:space="0" w:color="auto"/>
                    <w:bottom w:val="none" w:sz="0" w:space="0" w:color="auto"/>
                    <w:right w:val="none" w:sz="0" w:space="0" w:color="auto"/>
                  </w:divBdr>
                  <w:divsChild>
                    <w:div w:id="2560121">
                      <w:marLeft w:val="0"/>
                      <w:marRight w:val="0"/>
                      <w:marTop w:val="0"/>
                      <w:marBottom w:val="0"/>
                      <w:divBdr>
                        <w:top w:val="none" w:sz="0" w:space="0" w:color="auto"/>
                        <w:left w:val="none" w:sz="0" w:space="0" w:color="auto"/>
                        <w:bottom w:val="none" w:sz="0" w:space="0" w:color="auto"/>
                        <w:right w:val="none" w:sz="0" w:space="0" w:color="auto"/>
                      </w:divBdr>
                      <w:divsChild>
                        <w:div w:id="250549483">
                          <w:marLeft w:val="0"/>
                          <w:marRight w:val="0"/>
                          <w:marTop w:val="0"/>
                          <w:marBottom w:val="0"/>
                          <w:divBdr>
                            <w:top w:val="none" w:sz="0" w:space="0" w:color="auto"/>
                            <w:left w:val="none" w:sz="0" w:space="0" w:color="auto"/>
                            <w:bottom w:val="none" w:sz="0" w:space="0" w:color="auto"/>
                            <w:right w:val="none" w:sz="0" w:space="0" w:color="auto"/>
                          </w:divBdr>
                          <w:divsChild>
                            <w:div w:id="665210282">
                              <w:marLeft w:val="0"/>
                              <w:marRight w:val="0"/>
                              <w:marTop w:val="0"/>
                              <w:marBottom w:val="0"/>
                              <w:divBdr>
                                <w:top w:val="none" w:sz="0" w:space="0" w:color="auto"/>
                                <w:left w:val="none" w:sz="0" w:space="0" w:color="auto"/>
                                <w:bottom w:val="none" w:sz="0" w:space="0" w:color="auto"/>
                                <w:right w:val="none" w:sz="0" w:space="0" w:color="auto"/>
                              </w:divBdr>
                              <w:divsChild>
                                <w:div w:id="1834762466">
                                  <w:marLeft w:val="0"/>
                                  <w:marRight w:val="0"/>
                                  <w:marTop w:val="0"/>
                                  <w:marBottom w:val="0"/>
                                  <w:divBdr>
                                    <w:top w:val="none" w:sz="0" w:space="0" w:color="auto"/>
                                    <w:left w:val="none" w:sz="0" w:space="0" w:color="auto"/>
                                    <w:bottom w:val="none" w:sz="0" w:space="0" w:color="auto"/>
                                    <w:right w:val="none" w:sz="0" w:space="0" w:color="auto"/>
                                  </w:divBdr>
                                  <w:divsChild>
                                    <w:div w:id="1982685080">
                                      <w:marLeft w:val="0"/>
                                      <w:marRight w:val="0"/>
                                      <w:marTop w:val="0"/>
                                      <w:marBottom w:val="0"/>
                                      <w:divBdr>
                                        <w:top w:val="none" w:sz="0" w:space="0" w:color="auto"/>
                                        <w:left w:val="none" w:sz="0" w:space="0" w:color="auto"/>
                                        <w:bottom w:val="none" w:sz="0" w:space="0" w:color="auto"/>
                                        <w:right w:val="none" w:sz="0" w:space="0" w:color="auto"/>
                                      </w:divBdr>
                                      <w:divsChild>
                                        <w:div w:id="264652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47998043">
                      <w:marLeft w:val="0"/>
                      <w:marRight w:val="0"/>
                      <w:marTop w:val="0"/>
                      <w:marBottom w:val="0"/>
                      <w:divBdr>
                        <w:top w:val="none" w:sz="0" w:space="0" w:color="auto"/>
                        <w:left w:val="none" w:sz="0" w:space="0" w:color="auto"/>
                        <w:bottom w:val="none" w:sz="0" w:space="0" w:color="auto"/>
                        <w:right w:val="none" w:sz="0" w:space="0" w:color="auto"/>
                      </w:divBdr>
                      <w:divsChild>
                        <w:div w:id="226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5092">
      <w:bodyDiv w:val="1"/>
      <w:marLeft w:val="0"/>
      <w:marRight w:val="0"/>
      <w:marTop w:val="0"/>
      <w:marBottom w:val="0"/>
      <w:divBdr>
        <w:top w:val="none" w:sz="0" w:space="0" w:color="auto"/>
        <w:left w:val="none" w:sz="0" w:space="0" w:color="auto"/>
        <w:bottom w:val="none" w:sz="0" w:space="0" w:color="auto"/>
        <w:right w:val="none" w:sz="0" w:space="0" w:color="auto"/>
      </w:divBdr>
    </w:div>
    <w:div w:id="1953047091">
      <w:bodyDiv w:val="1"/>
      <w:marLeft w:val="0"/>
      <w:marRight w:val="0"/>
      <w:marTop w:val="0"/>
      <w:marBottom w:val="0"/>
      <w:divBdr>
        <w:top w:val="none" w:sz="0" w:space="0" w:color="auto"/>
        <w:left w:val="none" w:sz="0" w:space="0" w:color="auto"/>
        <w:bottom w:val="none" w:sz="0" w:space="0" w:color="auto"/>
        <w:right w:val="none" w:sz="0" w:space="0" w:color="auto"/>
      </w:divBdr>
      <w:divsChild>
        <w:div w:id="1331640232">
          <w:marLeft w:val="0"/>
          <w:marRight w:val="0"/>
          <w:marTop w:val="0"/>
          <w:marBottom w:val="0"/>
          <w:divBdr>
            <w:top w:val="none" w:sz="0" w:space="0" w:color="auto"/>
            <w:left w:val="none" w:sz="0" w:space="0" w:color="auto"/>
            <w:bottom w:val="none" w:sz="0" w:space="0" w:color="auto"/>
            <w:right w:val="none" w:sz="0" w:space="0" w:color="auto"/>
          </w:divBdr>
        </w:div>
        <w:div w:id="1103257332">
          <w:marLeft w:val="0"/>
          <w:marRight w:val="0"/>
          <w:marTop w:val="0"/>
          <w:marBottom w:val="0"/>
          <w:divBdr>
            <w:top w:val="none" w:sz="0" w:space="0" w:color="auto"/>
            <w:left w:val="none" w:sz="0" w:space="0" w:color="auto"/>
            <w:bottom w:val="none" w:sz="0" w:space="0" w:color="auto"/>
            <w:right w:val="none" w:sz="0" w:space="0" w:color="auto"/>
          </w:divBdr>
        </w:div>
        <w:div w:id="1487168224">
          <w:marLeft w:val="0"/>
          <w:marRight w:val="0"/>
          <w:marTop w:val="0"/>
          <w:marBottom w:val="0"/>
          <w:divBdr>
            <w:top w:val="none" w:sz="0" w:space="0" w:color="auto"/>
            <w:left w:val="none" w:sz="0" w:space="0" w:color="auto"/>
            <w:bottom w:val="none" w:sz="0" w:space="0" w:color="auto"/>
            <w:right w:val="none" w:sz="0" w:space="0" w:color="auto"/>
          </w:divBdr>
        </w:div>
        <w:div w:id="1491480882">
          <w:marLeft w:val="0"/>
          <w:marRight w:val="0"/>
          <w:marTop w:val="0"/>
          <w:marBottom w:val="0"/>
          <w:divBdr>
            <w:top w:val="none" w:sz="0" w:space="0" w:color="auto"/>
            <w:left w:val="none" w:sz="0" w:space="0" w:color="auto"/>
            <w:bottom w:val="none" w:sz="0" w:space="0" w:color="auto"/>
            <w:right w:val="none" w:sz="0" w:space="0" w:color="auto"/>
          </w:divBdr>
        </w:div>
        <w:div w:id="1405837558">
          <w:marLeft w:val="0"/>
          <w:marRight w:val="0"/>
          <w:marTop w:val="0"/>
          <w:marBottom w:val="0"/>
          <w:divBdr>
            <w:top w:val="none" w:sz="0" w:space="0" w:color="auto"/>
            <w:left w:val="none" w:sz="0" w:space="0" w:color="auto"/>
            <w:bottom w:val="none" w:sz="0" w:space="0" w:color="auto"/>
            <w:right w:val="none" w:sz="0" w:space="0" w:color="auto"/>
          </w:divBdr>
        </w:div>
      </w:divsChild>
    </w:div>
    <w:div w:id="2083940939">
      <w:bodyDiv w:val="1"/>
      <w:marLeft w:val="0"/>
      <w:marRight w:val="0"/>
      <w:marTop w:val="0"/>
      <w:marBottom w:val="0"/>
      <w:divBdr>
        <w:top w:val="none" w:sz="0" w:space="0" w:color="auto"/>
        <w:left w:val="none" w:sz="0" w:space="0" w:color="auto"/>
        <w:bottom w:val="none" w:sz="0" w:space="0" w:color="auto"/>
        <w:right w:val="none" w:sz="0" w:space="0" w:color="auto"/>
      </w:divBdr>
      <w:divsChild>
        <w:div w:id="482086593">
          <w:marLeft w:val="0"/>
          <w:marRight w:val="0"/>
          <w:marTop w:val="0"/>
          <w:marBottom w:val="0"/>
          <w:divBdr>
            <w:top w:val="none" w:sz="0" w:space="0" w:color="auto"/>
            <w:left w:val="none" w:sz="0" w:space="0" w:color="auto"/>
            <w:bottom w:val="none" w:sz="0" w:space="0" w:color="auto"/>
            <w:right w:val="none" w:sz="0" w:space="0" w:color="auto"/>
          </w:divBdr>
          <w:divsChild>
            <w:div w:id="1794591713">
              <w:marLeft w:val="0"/>
              <w:marRight w:val="0"/>
              <w:marTop w:val="0"/>
              <w:marBottom w:val="0"/>
              <w:divBdr>
                <w:top w:val="none" w:sz="0" w:space="0" w:color="auto"/>
                <w:left w:val="none" w:sz="0" w:space="0" w:color="auto"/>
                <w:bottom w:val="none" w:sz="0" w:space="0" w:color="auto"/>
                <w:right w:val="none" w:sz="0" w:space="0" w:color="auto"/>
              </w:divBdr>
              <w:divsChild>
                <w:div w:id="1339651980">
                  <w:marLeft w:val="0"/>
                  <w:marRight w:val="0"/>
                  <w:marTop w:val="0"/>
                  <w:marBottom w:val="0"/>
                  <w:divBdr>
                    <w:top w:val="none" w:sz="0" w:space="0" w:color="auto"/>
                    <w:left w:val="none" w:sz="0" w:space="0" w:color="auto"/>
                    <w:bottom w:val="none" w:sz="0" w:space="0" w:color="auto"/>
                    <w:right w:val="none" w:sz="0" w:space="0" w:color="auto"/>
                  </w:divBdr>
                  <w:divsChild>
                    <w:div w:id="230307893">
                      <w:marLeft w:val="0"/>
                      <w:marRight w:val="0"/>
                      <w:marTop w:val="0"/>
                      <w:marBottom w:val="0"/>
                      <w:divBdr>
                        <w:top w:val="none" w:sz="0" w:space="0" w:color="auto"/>
                        <w:left w:val="none" w:sz="0" w:space="0" w:color="auto"/>
                        <w:bottom w:val="none" w:sz="0" w:space="0" w:color="auto"/>
                        <w:right w:val="none" w:sz="0" w:space="0" w:color="auto"/>
                      </w:divBdr>
                      <w:divsChild>
                        <w:div w:id="2047873973">
                          <w:marLeft w:val="0"/>
                          <w:marRight w:val="0"/>
                          <w:marTop w:val="0"/>
                          <w:marBottom w:val="0"/>
                          <w:divBdr>
                            <w:top w:val="none" w:sz="0" w:space="0" w:color="auto"/>
                            <w:left w:val="none" w:sz="0" w:space="0" w:color="auto"/>
                            <w:bottom w:val="none" w:sz="0" w:space="0" w:color="auto"/>
                            <w:right w:val="none" w:sz="0" w:space="0" w:color="auto"/>
                          </w:divBdr>
                          <w:divsChild>
                            <w:div w:id="499933734">
                              <w:marLeft w:val="0"/>
                              <w:marRight w:val="0"/>
                              <w:marTop w:val="0"/>
                              <w:marBottom w:val="0"/>
                              <w:divBdr>
                                <w:top w:val="none" w:sz="0" w:space="0" w:color="auto"/>
                                <w:left w:val="none" w:sz="0" w:space="0" w:color="auto"/>
                                <w:bottom w:val="none" w:sz="0" w:space="0" w:color="auto"/>
                                <w:right w:val="none" w:sz="0" w:space="0" w:color="auto"/>
                              </w:divBdr>
                              <w:divsChild>
                                <w:div w:id="1871256649">
                                  <w:marLeft w:val="0"/>
                                  <w:marRight w:val="0"/>
                                  <w:marTop w:val="0"/>
                                  <w:marBottom w:val="0"/>
                                  <w:divBdr>
                                    <w:top w:val="none" w:sz="0" w:space="0" w:color="auto"/>
                                    <w:left w:val="none" w:sz="0" w:space="0" w:color="auto"/>
                                    <w:bottom w:val="none" w:sz="0" w:space="0" w:color="auto"/>
                                    <w:right w:val="none" w:sz="0" w:space="0" w:color="auto"/>
                                  </w:divBdr>
                                  <w:divsChild>
                                    <w:div w:id="2118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85532">
                      <w:marLeft w:val="0"/>
                      <w:marRight w:val="0"/>
                      <w:marTop w:val="0"/>
                      <w:marBottom w:val="0"/>
                      <w:divBdr>
                        <w:top w:val="none" w:sz="0" w:space="0" w:color="auto"/>
                        <w:left w:val="none" w:sz="0" w:space="0" w:color="auto"/>
                        <w:bottom w:val="none" w:sz="0" w:space="0" w:color="auto"/>
                        <w:right w:val="none" w:sz="0" w:space="0" w:color="auto"/>
                      </w:divBdr>
                      <w:divsChild>
                        <w:div w:id="16972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8747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Diana Carolina Benitez Freyre</cp:lastModifiedBy>
  <cp:revision>2</cp:revision>
  <dcterms:created xsi:type="dcterms:W3CDTF">2025-07-23T19:38:00Z</dcterms:created>
  <dcterms:modified xsi:type="dcterms:W3CDTF">2025-07-23T19:38:00Z</dcterms:modified>
</cp:coreProperties>
</file>