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8C565" w14:textId="411815DA" w:rsidR="003B77AD" w:rsidRPr="007C73FA" w:rsidRDefault="001D4B3C" w:rsidP="007C73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B77AD" w:rsidRPr="007C73FA">
        <w:rPr>
          <w:rFonts w:ascii="Arial" w:hAnsi="Arial" w:cs="Arial"/>
        </w:rPr>
        <w:t> </w:t>
      </w:r>
    </w:p>
    <w:tbl>
      <w:tblPr>
        <w:tblStyle w:val="Tablaconcuadrcula"/>
        <w:tblW w:w="9983" w:type="dxa"/>
        <w:tblLook w:val="04A0" w:firstRow="1" w:lastRow="0" w:firstColumn="1" w:lastColumn="0" w:noHBand="0" w:noVBand="1"/>
      </w:tblPr>
      <w:tblGrid>
        <w:gridCol w:w="3114"/>
        <w:gridCol w:w="6869"/>
      </w:tblGrid>
      <w:tr w:rsidR="007C73FA" w:rsidRPr="007C73FA" w14:paraId="2B53DE52" w14:textId="77777777" w:rsidTr="00073E45">
        <w:trPr>
          <w:trHeight w:val="740"/>
        </w:trPr>
        <w:tc>
          <w:tcPr>
            <w:tcW w:w="9983" w:type="dxa"/>
            <w:gridSpan w:val="2"/>
            <w:shd w:val="clear" w:color="auto" w:fill="70AD47" w:themeFill="accent6"/>
          </w:tcPr>
          <w:p w14:paraId="1819A822" w14:textId="77777777" w:rsidR="003B77AD" w:rsidRPr="007C73FA" w:rsidRDefault="003B77AD" w:rsidP="007C73FA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C73FA">
              <w:rPr>
                <w:rFonts w:ascii="Arial" w:hAnsi="Arial" w:cs="Arial"/>
                <w:b/>
                <w:lang w:val="es-ES_tradnl"/>
              </w:rPr>
              <w:t>INFORME PROCESOS INDEMNIZACIONES FIANZAS</w:t>
            </w:r>
          </w:p>
        </w:tc>
      </w:tr>
      <w:tr w:rsidR="007C73FA" w:rsidRPr="007C73FA" w14:paraId="01C5DB22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4B84AB95" w14:textId="77777777" w:rsidR="003B77AD" w:rsidRPr="007C73FA" w:rsidRDefault="003B77AD" w:rsidP="007C73FA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7C73FA">
              <w:rPr>
                <w:rFonts w:ascii="Arial" w:hAnsi="Arial" w:cs="Arial"/>
                <w:b/>
                <w:lang w:val="es-ES_tradnl"/>
              </w:rPr>
              <w:t>No. de Siniestro</w:t>
            </w:r>
          </w:p>
        </w:tc>
        <w:tc>
          <w:tcPr>
            <w:tcW w:w="6869" w:type="dxa"/>
          </w:tcPr>
          <w:p w14:paraId="3BB74B05" w14:textId="75E322D8" w:rsidR="003B77AD" w:rsidRPr="007C73FA" w:rsidRDefault="007C73FA" w:rsidP="007C73FA">
            <w:pPr>
              <w:jc w:val="both"/>
              <w:rPr>
                <w:rFonts w:ascii="Arial" w:hAnsi="Arial" w:cs="Arial"/>
              </w:rPr>
            </w:pPr>
            <w:r w:rsidRPr="007C73FA">
              <w:rPr>
                <w:rFonts w:ascii="Arial" w:hAnsi="Arial" w:cs="Arial"/>
              </w:rPr>
              <w:t>20062</w:t>
            </w:r>
          </w:p>
        </w:tc>
      </w:tr>
      <w:tr w:rsidR="007C73FA" w:rsidRPr="007C73FA" w14:paraId="4F9C2493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1E745270" w14:textId="77777777" w:rsidR="003B77AD" w:rsidRPr="007C73FA" w:rsidRDefault="003B77AD" w:rsidP="007C73FA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7C73FA">
              <w:rPr>
                <w:rFonts w:ascii="Arial" w:hAnsi="Arial" w:cs="Arial"/>
                <w:b/>
                <w:lang w:val="es-ES_tradnl"/>
              </w:rPr>
              <w:t>Descripción del proceso</w:t>
            </w:r>
          </w:p>
        </w:tc>
        <w:tc>
          <w:tcPr>
            <w:tcW w:w="6869" w:type="dxa"/>
          </w:tcPr>
          <w:p w14:paraId="6F8B572C" w14:textId="0BDB3CF5" w:rsidR="003B77AD" w:rsidRPr="007C73FA" w:rsidRDefault="001D4B3C" w:rsidP="007C73F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Hechos </w:t>
            </w:r>
            <w:r w:rsidR="005F327F">
              <w:rPr>
                <w:rFonts w:ascii="Arial" w:hAnsi="Arial" w:cs="Arial"/>
                <w:lang w:val="es-ES_tradnl"/>
              </w:rPr>
              <w:t>relativos al</w:t>
            </w:r>
            <w:r w:rsidR="002F6D03" w:rsidRPr="007C73FA">
              <w:rPr>
                <w:rFonts w:ascii="Arial" w:hAnsi="Arial" w:cs="Arial"/>
                <w:lang w:val="es-ES_tradnl"/>
              </w:rPr>
              <w:t xml:space="preserve"> incumplimiento </w:t>
            </w:r>
            <w:r w:rsidR="005F327F">
              <w:rPr>
                <w:rFonts w:ascii="Arial" w:hAnsi="Arial" w:cs="Arial"/>
                <w:lang w:val="es-ES_tradnl"/>
              </w:rPr>
              <w:t>d</w:t>
            </w:r>
            <w:r w:rsidR="002F6D03" w:rsidRPr="007C73FA">
              <w:rPr>
                <w:rFonts w:ascii="Arial" w:hAnsi="Arial" w:cs="Arial"/>
                <w:lang w:val="es-ES_tradnl"/>
              </w:rPr>
              <w:t>el Contrato 1380-1497-2021</w:t>
            </w:r>
            <w:r w:rsidR="00CC703A">
              <w:rPr>
                <w:rFonts w:ascii="Arial" w:hAnsi="Arial" w:cs="Arial"/>
                <w:lang w:val="es-ES_tradnl"/>
              </w:rPr>
              <w:t xml:space="preserve"> de Alianza Fiduciaria vocera y representante del patrimonio autónomo FFIE</w:t>
            </w:r>
            <w:r w:rsidR="002F6D03" w:rsidRPr="007C73FA">
              <w:rPr>
                <w:rFonts w:ascii="Arial" w:hAnsi="Arial" w:cs="Arial"/>
                <w:lang w:val="es-ES_tradnl"/>
              </w:rPr>
              <w:t xml:space="preserve"> con el CONSORCIO EDUCACION, cuyo objeto era “</w:t>
            </w:r>
            <w:r w:rsidR="002F6D03" w:rsidRPr="007C73FA">
              <w:rPr>
                <w:rFonts w:ascii="Arial" w:hAnsi="Arial" w:cs="Arial"/>
                <w:i/>
                <w:iCs/>
                <w:lang w:val="es-ES_tradnl"/>
              </w:rPr>
              <w:t>Realizar la ejecución de diseños, estudios técnicos y/</w:t>
            </w:r>
            <w:proofErr w:type="spellStart"/>
            <w:r w:rsidR="002F6D03" w:rsidRPr="007C73FA">
              <w:rPr>
                <w:rFonts w:ascii="Arial" w:hAnsi="Arial" w:cs="Arial"/>
                <w:i/>
                <w:iCs/>
                <w:lang w:val="es-ES_tradnl"/>
              </w:rPr>
              <w:t>o</w:t>
            </w:r>
            <w:proofErr w:type="spellEnd"/>
            <w:r w:rsidR="002F6D03" w:rsidRPr="007C73FA">
              <w:rPr>
                <w:rFonts w:ascii="Arial" w:hAnsi="Arial" w:cs="Arial"/>
                <w:i/>
                <w:iCs/>
                <w:lang w:val="es-ES_tradnl"/>
              </w:rPr>
              <w:t xml:space="preserve"> obras de infraestructura educativa requeridos por el </w:t>
            </w:r>
            <w:r w:rsidR="002A74C9" w:rsidRPr="007C73FA">
              <w:rPr>
                <w:rFonts w:ascii="Arial" w:hAnsi="Arial" w:cs="Arial"/>
                <w:i/>
                <w:iCs/>
                <w:lang w:val="es-ES_tradnl"/>
              </w:rPr>
              <w:t xml:space="preserve">Fondo de Financiamiento de la Infraestructura Educativa – FFIE en el Departamento del Valle del Cauca - Grupo 1 </w:t>
            </w:r>
            <w:r w:rsidR="002F6D03" w:rsidRPr="007C73FA">
              <w:rPr>
                <w:rFonts w:ascii="Arial" w:hAnsi="Arial" w:cs="Arial"/>
                <w:i/>
                <w:iCs/>
                <w:lang w:val="es-ES_tradnl"/>
              </w:rPr>
              <w:t xml:space="preserve">I.E. </w:t>
            </w:r>
            <w:r w:rsidR="002A74C9" w:rsidRPr="007C73FA">
              <w:rPr>
                <w:rFonts w:ascii="Arial" w:hAnsi="Arial" w:cs="Arial"/>
                <w:i/>
                <w:iCs/>
                <w:lang w:val="es-ES_tradnl"/>
              </w:rPr>
              <w:t>Cristóbal Colón</w:t>
            </w:r>
            <w:r w:rsidR="002F6D03" w:rsidRPr="007C73FA">
              <w:rPr>
                <w:rFonts w:ascii="Arial" w:hAnsi="Arial" w:cs="Arial"/>
                <w:lang w:val="es-ES_tradnl"/>
              </w:rPr>
              <w:t>”</w:t>
            </w:r>
            <w:r w:rsidR="00A27B50">
              <w:rPr>
                <w:rFonts w:ascii="Arial" w:hAnsi="Arial" w:cs="Arial"/>
                <w:lang w:val="es-ES_tradnl"/>
              </w:rPr>
              <w:t xml:space="preserve">; presupuesto </w:t>
            </w:r>
            <w:r w:rsidR="002F6D03" w:rsidRPr="007C73FA">
              <w:rPr>
                <w:rFonts w:ascii="Arial" w:hAnsi="Arial" w:cs="Arial"/>
                <w:lang w:val="es-ES_tradnl"/>
              </w:rPr>
              <w:t xml:space="preserve">$2.808.102.309. </w:t>
            </w:r>
            <w:r w:rsidR="00CA5513" w:rsidRPr="007C73FA">
              <w:rPr>
                <w:rFonts w:ascii="Arial" w:hAnsi="Arial" w:cs="Arial"/>
                <w:lang w:val="es-ES_tradnl"/>
              </w:rPr>
              <w:t>El 28 de febrero de 2022</w:t>
            </w:r>
            <w:r w:rsidR="007E3F1A">
              <w:rPr>
                <w:rFonts w:ascii="Arial" w:hAnsi="Arial" w:cs="Arial"/>
                <w:lang w:val="es-ES_tradnl"/>
              </w:rPr>
              <w:t xml:space="preserve"> se</w:t>
            </w:r>
            <w:r w:rsidR="00CA5513" w:rsidRPr="007C73FA">
              <w:rPr>
                <w:rFonts w:ascii="Arial" w:hAnsi="Arial" w:cs="Arial"/>
                <w:lang w:val="es-ES_tradnl"/>
              </w:rPr>
              <w:t xml:space="preserve"> </w:t>
            </w:r>
            <w:r w:rsidR="00D56B9E">
              <w:rPr>
                <w:rFonts w:ascii="Arial" w:hAnsi="Arial" w:cs="Arial"/>
                <w:lang w:val="es-ES_tradnl"/>
              </w:rPr>
              <w:t>desembol</w:t>
            </w:r>
            <w:r w:rsidR="004B6AC8">
              <w:rPr>
                <w:rFonts w:ascii="Arial" w:hAnsi="Arial" w:cs="Arial"/>
                <w:lang w:val="es-ES_tradnl"/>
              </w:rPr>
              <w:t>s</w:t>
            </w:r>
            <w:r w:rsidR="00D56B9E">
              <w:rPr>
                <w:rFonts w:ascii="Arial" w:hAnsi="Arial" w:cs="Arial"/>
                <w:lang w:val="es-ES_tradnl"/>
              </w:rPr>
              <w:t>ó</w:t>
            </w:r>
            <w:r w:rsidR="00CA5513" w:rsidRPr="007C73FA">
              <w:rPr>
                <w:rFonts w:ascii="Arial" w:hAnsi="Arial" w:cs="Arial"/>
                <w:lang w:val="es-ES_tradnl"/>
              </w:rPr>
              <w:t xml:space="preserve"> al </w:t>
            </w:r>
            <w:r w:rsidR="00484635">
              <w:rPr>
                <w:rFonts w:ascii="Arial" w:hAnsi="Arial" w:cs="Arial"/>
                <w:lang w:val="es-ES_tradnl"/>
              </w:rPr>
              <w:t xml:space="preserve">contratista </w:t>
            </w:r>
            <w:r w:rsidR="007F28D8">
              <w:rPr>
                <w:rFonts w:ascii="Arial" w:hAnsi="Arial" w:cs="Arial"/>
                <w:lang w:val="es-ES_tradnl"/>
              </w:rPr>
              <w:t>como</w:t>
            </w:r>
            <w:r w:rsidR="00CA5513" w:rsidRPr="007C73FA">
              <w:rPr>
                <w:rFonts w:ascii="Arial" w:hAnsi="Arial" w:cs="Arial"/>
                <w:lang w:val="es-ES_tradnl"/>
              </w:rPr>
              <w:t xml:space="preserve"> </w:t>
            </w:r>
            <w:r w:rsidR="002F6D03" w:rsidRPr="007C73FA">
              <w:rPr>
                <w:rFonts w:ascii="Arial" w:hAnsi="Arial" w:cs="Arial"/>
                <w:lang w:val="es-ES_tradnl"/>
              </w:rPr>
              <w:t>anticipo</w:t>
            </w:r>
            <w:r w:rsidR="00CE1E6C">
              <w:rPr>
                <w:rFonts w:ascii="Arial" w:hAnsi="Arial" w:cs="Arial"/>
                <w:lang w:val="es-ES_tradnl"/>
              </w:rPr>
              <w:t>,</w:t>
            </w:r>
            <w:r w:rsidR="002F6D03" w:rsidRPr="007C73FA">
              <w:rPr>
                <w:rFonts w:ascii="Arial" w:hAnsi="Arial" w:cs="Arial"/>
                <w:lang w:val="es-ES_tradnl"/>
              </w:rPr>
              <w:t xml:space="preserve"> </w:t>
            </w:r>
            <w:r w:rsidR="00D56B9E">
              <w:rPr>
                <w:rFonts w:ascii="Arial" w:hAnsi="Arial" w:cs="Arial"/>
                <w:lang w:val="es-ES_tradnl"/>
              </w:rPr>
              <w:t xml:space="preserve">por </w:t>
            </w:r>
            <w:r w:rsidR="002F6D03" w:rsidRPr="007C73FA">
              <w:rPr>
                <w:rFonts w:ascii="Arial" w:hAnsi="Arial" w:cs="Arial"/>
                <w:lang w:val="es-ES_tradnl"/>
              </w:rPr>
              <w:t>el 20% del valor del contrato</w:t>
            </w:r>
            <w:r w:rsidR="00CA5513" w:rsidRPr="007C73FA">
              <w:rPr>
                <w:rFonts w:ascii="Arial" w:hAnsi="Arial" w:cs="Arial"/>
                <w:lang w:val="es-ES_tradnl"/>
              </w:rPr>
              <w:t xml:space="preserve">, </w:t>
            </w:r>
            <w:r w:rsidR="00602EF3">
              <w:rPr>
                <w:rFonts w:ascii="Arial" w:hAnsi="Arial" w:cs="Arial"/>
                <w:lang w:val="es-ES_tradnl"/>
              </w:rPr>
              <w:t xml:space="preserve">que equivalen a </w:t>
            </w:r>
            <w:r w:rsidR="002F6D03" w:rsidRPr="007C73FA">
              <w:rPr>
                <w:rFonts w:ascii="Arial" w:hAnsi="Arial" w:cs="Arial"/>
                <w:lang w:val="es-ES_tradnl"/>
              </w:rPr>
              <w:t>$561.620.462</w:t>
            </w:r>
            <w:r w:rsidR="004028E4">
              <w:rPr>
                <w:rFonts w:ascii="Arial" w:hAnsi="Arial" w:cs="Arial"/>
                <w:lang w:val="es-ES_tradnl"/>
              </w:rPr>
              <w:t>.</w:t>
            </w:r>
            <w:r w:rsidR="002F6D03" w:rsidRPr="007C73FA">
              <w:rPr>
                <w:rFonts w:ascii="Arial" w:hAnsi="Arial" w:cs="Arial"/>
                <w:lang w:val="es-ES_tradnl"/>
              </w:rPr>
              <w:t xml:space="preserve"> </w:t>
            </w:r>
            <w:r w:rsidR="004028E4">
              <w:rPr>
                <w:rFonts w:ascii="Arial" w:hAnsi="Arial" w:cs="Arial"/>
                <w:lang w:val="es-ES_tradnl"/>
              </w:rPr>
              <w:t>E</w:t>
            </w:r>
            <w:r w:rsidR="00754165">
              <w:rPr>
                <w:rFonts w:ascii="Arial" w:hAnsi="Arial" w:cs="Arial"/>
                <w:lang w:val="es-ES_tradnl"/>
              </w:rPr>
              <w:t>l contratista</w:t>
            </w:r>
            <w:r w:rsidR="004028E4">
              <w:rPr>
                <w:rFonts w:ascii="Arial" w:hAnsi="Arial" w:cs="Arial"/>
                <w:lang w:val="es-ES_tradnl"/>
              </w:rPr>
              <w:t xml:space="preserve"> </w:t>
            </w:r>
            <w:r w:rsidR="00316B7D">
              <w:rPr>
                <w:rFonts w:ascii="Arial" w:hAnsi="Arial" w:cs="Arial"/>
                <w:lang w:val="es-ES_tradnl"/>
              </w:rPr>
              <w:t>no habría</w:t>
            </w:r>
            <w:r w:rsidR="005C327D">
              <w:rPr>
                <w:rFonts w:ascii="Arial" w:hAnsi="Arial" w:cs="Arial"/>
                <w:lang w:val="es-ES_tradnl"/>
              </w:rPr>
              <w:t xml:space="preserve"> </w:t>
            </w:r>
            <w:r w:rsidR="009341F8">
              <w:rPr>
                <w:rFonts w:ascii="Arial" w:hAnsi="Arial" w:cs="Arial"/>
                <w:lang w:val="es-ES_tradnl"/>
              </w:rPr>
              <w:t xml:space="preserve">hecho </w:t>
            </w:r>
            <w:r w:rsidR="002D4007">
              <w:rPr>
                <w:rFonts w:ascii="Arial" w:hAnsi="Arial" w:cs="Arial"/>
                <w:lang w:val="es-ES_tradnl"/>
              </w:rPr>
              <w:t xml:space="preserve">oportuna y </w:t>
            </w:r>
            <w:r w:rsidR="009341F8">
              <w:rPr>
                <w:rFonts w:ascii="Arial" w:hAnsi="Arial" w:cs="Arial"/>
                <w:lang w:val="es-ES_tradnl"/>
              </w:rPr>
              <w:t xml:space="preserve">debidamente la </w:t>
            </w:r>
            <w:r w:rsidR="002F6D03" w:rsidRPr="007C73FA">
              <w:rPr>
                <w:rFonts w:ascii="Arial" w:hAnsi="Arial" w:cs="Arial"/>
                <w:lang w:val="es-ES_tradnl"/>
              </w:rPr>
              <w:t xml:space="preserve">legalización de </w:t>
            </w:r>
            <w:r w:rsidR="00150568">
              <w:rPr>
                <w:rFonts w:ascii="Arial" w:hAnsi="Arial" w:cs="Arial"/>
                <w:lang w:val="es-ES_tradnl"/>
              </w:rPr>
              <w:t xml:space="preserve">la inversión </w:t>
            </w:r>
            <w:r w:rsidR="00C0016B">
              <w:rPr>
                <w:rFonts w:ascii="Arial" w:hAnsi="Arial" w:cs="Arial"/>
                <w:lang w:val="es-ES_tradnl"/>
              </w:rPr>
              <w:t>y/o</w:t>
            </w:r>
            <w:r w:rsidR="00150568">
              <w:rPr>
                <w:rFonts w:ascii="Arial" w:hAnsi="Arial" w:cs="Arial"/>
                <w:lang w:val="es-ES_tradnl"/>
              </w:rPr>
              <w:t xml:space="preserve"> </w:t>
            </w:r>
            <w:r w:rsidR="002F6D03" w:rsidRPr="007C73FA">
              <w:rPr>
                <w:rFonts w:ascii="Arial" w:hAnsi="Arial" w:cs="Arial"/>
                <w:lang w:val="es-ES_tradnl"/>
              </w:rPr>
              <w:t xml:space="preserve">gastos, </w:t>
            </w:r>
            <w:r w:rsidR="00483A94">
              <w:rPr>
                <w:rFonts w:ascii="Arial" w:hAnsi="Arial" w:cs="Arial"/>
                <w:lang w:val="es-ES_tradnl"/>
              </w:rPr>
              <w:t xml:space="preserve">pese a que </w:t>
            </w:r>
            <w:r w:rsidR="00591365">
              <w:rPr>
                <w:rFonts w:ascii="Arial" w:hAnsi="Arial" w:cs="Arial"/>
                <w:lang w:val="es-ES_tradnl"/>
              </w:rPr>
              <w:t xml:space="preserve">presentó </w:t>
            </w:r>
            <w:r w:rsidR="00483A94">
              <w:rPr>
                <w:rFonts w:ascii="Arial" w:hAnsi="Arial" w:cs="Arial"/>
                <w:lang w:val="es-ES_tradnl"/>
              </w:rPr>
              <w:t>un informe sobre el particular</w:t>
            </w:r>
            <w:r w:rsidR="00D742A7">
              <w:rPr>
                <w:rFonts w:ascii="Arial" w:hAnsi="Arial" w:cs="Arial"/>
                <w:lang w:val="es-ES_tradnl"/>
              </w:rPr>
              <w:t xml:space="preserve">, ya que estaría pendiente la aportación de </w:t>
            </w:r>
            <w:r w:rsidR="00E86AB7">
              <w:rPr>
                <w:rFonts w:ascii="Arial" w:hAnsi="Arial" w:cs="Arial"/>
                <w:lang w:val="es-ES_tradnl"/>
              </w:rPr>
              <w:t xml:space="preserve">los </w:t>
            </w:r>
            <w:r w:rsidR="00D742A7">
              <w:rPr>
                <w:rFonts w:ascii="Arial" w:hAnsi="Arial" w:cs="Arial"/>
                <w:lang w:val="es-ES_tradnl"/>
              </w:rPr>
              <w:t>soporte</w:t>
            </w:r>
            <w:r w:rsidR="00E86AB7">
              <w:rPr>
                <w:rFonts w:ascii="Arial" w:hAnsi="Arial" w:cs="Arial"/>
                <w:lang w:val="es-ES_tradnl"/>
              </w:rPr>
              <w:t>s</w:t>
            </w:r>
            <w:r w:rsidR="00AA5EF1">
              <w:rPr>
                <w:rFonts w:ascii="Arial" w:hAnsi="Arial" w:cs="Arial"/>
                <w:lang w:val="es-ES_tradnl"/>
              </w:rPr>
              <w:t xml:space="preserve"> requeridos</w:t>
            </w:r>
            <w:r w:rsidR="00D742A7">
              <w:rPr>
                <w:rFonts w:ascii="Arial" w:hAnsi="Arial" w:cs="Arial"/>
                <w:lang w:val="es-ES_tradnl"/>
              </w:rPr>
              <w:t>.</w:t>
            </w:r>
            <w:r w:rsidR="00483A94">
              <w:rPr>
                <w:rFonts w:ascii="Arial" w:hAnsi="Arial" w:cs="Arial"/>
                <w:lang w:val="es-ES_tradnl"/>
              </w:rPr>
              <w:t xml:space="preserve"> </w:t>
            </w:r>
            <w:r w:rsidR="002F6D03" w:rsidRPr="007C73FA">
              <w:rPr>
                <w:rFonts w:ascii="Arial" w:hAnsi="Arial" w:cs="Arial"/>
                <w:lang w:val="es-ES_tradnl"/>
              </w:rPr>
              <w:t>Debido a lo anterior</w:t>
            </w:r>
            <w:r w:rsidR="00316B7D">
              <w:rPr>
                <w:rFonts w:ascii="Arial" w:hAnsi="Arial" w:cs="Arial"/>
                <w:lang w:val="es-ES_tradnl"/>
              </w:rPr>
              <w:t>,</w:t>
            </w:r>
            <w:r w:rsidR="002F6D03" w:rsidRPr="007C73FA">
              <w:rPr>
                <w:rFonts w:ascii="Arial" w:hAnsi="Arial" w:cs="Arial"/>
                <w:lang w:val="es-ES_tradnl"/>
              </w:rPr>
              <w:t xml:space="preserve"> </w:t>
            </w:r>
            <w:r w:rsidR="00316B7D">
              <w:rPr>
                <w:rFonts w:ascii="Arial" w:hAnsi="Arial" w:cs="Arial"/>
                <w:lang w:val="es-ES_tradnl"/>
              </w:rPr>
              <w:t xml:space="preserve">el asegurado, la fiduciaria en representación del patrimonio autónomo, </w:t>
            </w:r>
            <w:r w:rsidR="002F6D03" w:rsidRPr="007C73FA">
              <w:rPr>
                <w:rFonts w:ascii="Arial" w:hAnsi="Arial" w:cs="Arial"/>
                <w:lang w:val="es-ES_tradnl"/>
              </w:rPr>
              <w:t>solicitó la afectación de la póliza de seguro</w:t>
            </w:r>
            <w:r w:rsidR="00602EF3">
              <w:rPr>
                <w:rFonts w:ascii="Arial" w:hAnsi="Arial" w:cs="Arial"/>
                <w:lang w:val="es-ES_tradnl"/>
              </w:rPr>
              <w:t xml:space="preserve"> </w:t>
            </w:r>
            <w:r w:rsidR="00505E8E">
              <w:rPr>
                <w:rFonts w:ascii="Arial" w:hAnsi="Arial" w:cs="Arial"/>
                <w:lang w:val="es-ES_tradnl"/>
              </w:rPr>
              <w:t>por $507.770.589</w:t>
            </w:r>
            <w:r w:rsidR="000318D9">
              <w:rPr>
                <w:rFonts w:ascii="Arial" w:hAnsi="Arial" w:cs="Arial"/>
                <w:lang w:val="es-ES_tradnl"/>
              </w:rPr>
              <w:t>, ya que descontó</w:t>
            </w:r>
            <w:r w:rsidR="00493A8C">
              <w:rPr>
                <w:rFonts w:ascii="Arial" w:hAnsi="Arial" w:cs="Arial"/>
                <w:lang w:val="es-ES_tradnl"/>
              </w:rPr>
              <w:t>,</w:t>
            </w:r>
            <w:r w:rsidR="00041DBA">
              <w:rPr>
                <w:rFonts w:ascii="Arial" w:hAnsi="Arial" w:cs="Arial"/>
                <w:lang w:val="es-ES_tradnl"/>
              </w:rPr>
              <w:t xml:space="preserve"> lo demostrado sobre una fracción de ejecución o de amortización</w:t>
            </w:r>
            <w:r w:rsidR="00DB35D4">
              <w:rPr>
                <w:rFonts w:ascii="Arial" w:hAnsi="Arial" w:cs="Arial"/>
                <w:lang w:val="es-ES_tradnl"/>
              </w:rPr>
              <w:t xml:space="preserve"> del anticipo</w:t>
            </w:r>
            <w:r w:rsidR="00505E8E">
              <w:rPr>
                <w:rFonts w:ascii="Arial" w:hAnsi="Arial" w:cs="Arial"/>
                <w:lang w:val="es-ES_tradnl"/>
              </w:rPr>
              <w:t xml:space="preserve"> por $53.894.873</w:t>
            </w:r>
            <w:r w:rsidR="002F6D03" w:rsidRPr="007C73FA">
              <w:rPr>
                <w:rFonts w:ascii="Arial" w:hAnsi="Arial" w:cs="Arial"/>
                <w:lang w:val="es-ES_tradnl"/>
              </w:rPr>
              <w:t>.</w:t>
            </w:r>
            <w:r w:rsidR="006961B4" w:rsidRPr="007C73FA">
              <w:rPr>
                <w:rFonts w:ascii="Arial" w:hAnsi="Arial" w:cs="Arial"/>
                <w:lang w:val="es-ES_tradnl"/>
              </w:rPr>
              <w:t xml:space="preserve"> Por último, de acuerdo con el informe de la interventoría (DPC ingenieros) existe una inejecución del 90%</w:t>
            </w:r>
            <w:r w:rsidR="00602EF3">
              <w:rPr>
                <w:rFonts w:ascii="Arial" w:hAnsi="Arial" w:cs="Arial"/>
                <w:lang w:val="es-ES_tradnl"/>
              </w:rPr>
              <w:t xml:space="preserve">. </w:t>
            </w:r>
            <w:r w:rsidR="00333084">
              <w:rPr>
                <w:rFonts w:ascii="Arial" w:hAnsi="Arial" w:cs="Arial"/>
                <w:lang w:val="es-ES_tradnl"/>
              </w:rPr>
              <w:t xml:space="preserve">En el trámite por el incumplimiento </w:t>
            </w:r>
            <w:r w:rsidR="00AB34E1">
              <w:rPr>
                <w:rFonts w:ascii="Arial" w:hAnsi="Arial" w:cs="Arial"/>
                <w:lang w:val="es-ES_tradnl"/>
              </w:rPr>
              <w:t>el asegurado pretende además del valor que indica que no se habría amortizado también la cláusula penal</w:t>
            </w:r>
            <w:r w:rsidR="00B038F8">
              <w:rPr>
                <w:rFonts w:ascii="Arial" w:hAnsi="Arial" w:cs="Arial"/>
                <w:lang w:val="es-ES_tradnl"/>
              </w:rPr>
              <w:t xml:space="preserve"> (por $505.458.416)</w:t>
            </w:r>
          </w:p>
        </w:tc>
      </w:tr>
      <w:tr w:rsidR="007C73FA" w:rsidRPr="007C73FA" w14:paraId="59A6A3FF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34340354" w14:textId="77777777" w:rsidR="003B77AD" w:rsidRPr="007C73FA" w:rsidRDefault="003B77AD" w:rsidP="007C73FA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7C73FA">
              <w:rPr>
                <w:rFonts w:ascii="Arial" w:hAnsi="Arial" w:cs="Arial"/>
                <w:b/>
                <w:lang w:val="es-ES_tradnl"/>
              </w:rPr>
              <w:t>Asegurado</w:t>
            </w:r>
          </w:p>
        </w:tc>
        <w:tc>
          <w:tcPr>
            <w:tcW w:w="6869" w:type="dxa"/>
          </w:tcPr>
          <w:p w14:paraId="4A7084E2" w14:textId="328FA3D5" w:rsidR="003B77AD" w:rsidRPr="007C73FA" w:rsidRDefault="002F6D03" w:rsidP="007C73FA">
            <w:pPr>
              <w:jc w:val="both"/>
              <w:rPr>
                <w:rFonts w:ascii="Arial" w:hAnsi="Arial" w:cs="Arial"/>
                <w:lang w:val="es-ES_tradnl"/>
              </w:rPr>
            </w:pPr>
            <w:r w:rsidRPr="007C73FA">
              <w:rPr>
                <w:rFonts w:ascii="Arial" w:hAnsi="Arial" w:cs="Arial"/>
                <w:lang w:val="es-ES_tradnl"/>
              </w:rPr>
              <w:t>Alianza Fiduciaria S.A.</w:t>
            </w:r>
            <w:r w:rsidR="00747643">
              <w:rPr>
                <w:rFonts w:ascii="Arial" w:hAnsi="Arial" w:cs="Arial"/>
                <w:lang w:val="es-ES_tradnl"/>
              </w:rPr>
              <w:t xml:space="preserve"> (representante del PA FFIE)</w:t>
            </w:r>
          </w:p>
        </w:tc>
      </w:tr>
      <w:tr w:rsidR="007C73FA" w:rsidRPr="007C73FA" w14:paraId="72CCA9D0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68EE5BEE" w14:textId="77777777" w:rsidR="003B77AD" w:rsidRPr="007C73FA" w:rsidRDefault="003B77AD" w:rsidP="007C73FA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7C73FA">
              <w:rPr>
                <w:rFonts w:ascii="Arial" w:hAnsi="Arial" w:cs="Arial"/>
                <w:b/>
                <w:lang w:val="es-ES_tradnl"/>
              </w:rPr>
              <w:t>Afianzado</w:t>
            </w:r>
          </w:p>
        </w:tc>
        <w:tc>
          <w:tcPr>
            <w:tcW w:w="6869" w:type="dxa"/>
          </w:tcPr>
          <w:p w14:paraId="1B49A1B0" w14:textId="17F17FE6" w:rsidR="003B77AD" w:rsidRPr="007C73FA" w:rsidRDefault="002F6D03" w:rsidP="007C73FA">
            <w:pPr>
              <w:jc w:val="both"/>
              <w:rPr>
                <w:rFonts w:ascii="Arial" w:hAnsi="Arial" w:cs="Arial"/>
                <w:lang w:val="es-ES_tradnl"/>
              </w:rPr>
            </w:pPr>
            <w:r w:rsidRPr="007C73FA">
              <w:rPr>
                <w:rFonts w:ascii="Arial" w:hAnsi="Arial" w:cs="Arial"/>
                <w:lang w:val="es-ES_tradnl"/>
              </w:rPr>
              <w:t>Consorcio Educación</w:t>
            </w:r>
          </w:p>
        </w:tc>
      </w:tr>
      <w:tr w:rsidR="007C73FA" w:rsidRPr="007C73FA" w14:paraId="426DF247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309B7857" w14:textId="77777777" w:rsidR="003B77AD" w:rsidRPr="007C73FA" w:rsidRDefault="003B77AD" w:rsidP="007C73FA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7C73FA">
              <w:rPr>
                <w:rFonts w:ascii="Arial" w:hAnsi="Arial" w:cs="Arial"/>
                <w:b/>
                <w:lang w:val="es-ES_tradnl"/>
              </w:rPr>
              <w:t>Póliza</w:t>
            </w:r>
          </w:p>
        </w:tc>
        <w:tc>
          <w:tcPr>
            <w:tcW w:w="6869" w:type="dxa"/>
          </w:tcPr>
          <w:p w14:paraId="57646B1C" w14:textId="61C1D2C1" w:rsidR="003B77AD" w:rsidRPr="007C73FA" w:rsidRDefault="00E06981" w:rsidP="007C73FA">
            <w:pPr>
              <w:jc w:val="both"/>
              <w:rPr>
                <w:rFonts w:ascii="Arial" w:hAnsi="Arial" w:cs="Arial"/>
                <w:lang w:val="es-ES_tradnl"/>
              </w:rPr>
            </w:pPr>
            <w:r w:rsidRPr="007C73FA">
              <w:rPr>
                <w:rFonts w:ascii="Arial" w:hAnsi="Arial" w:cs="Arial"/>
                <w:lang w:val="es-ES_tradnl"/>
              </w:rPr>
              <w:t>4006064</w:t>
            </w:r>
          </w:p>
        </w:tc>
      </w:tr>
      <w:tr w:rsidR="007C73FA" w:rsidRPr="007C73FA" w14:paraId="19508E54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0EF47738" w14:textId="77777777" w:rsidR="003B77AD" w:rsidRPr="007C73FA" w:rsidRDefault="003B77AD" w:rsidP="007C73FA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7C73FA">
              <w:rPr>
                <w:rFonts w:ascii="Arial" w:hAnsi="Arial" w:cs="Arial"/>
                <w:b/>
                <w:lang w:val="es-ES_tradnl"/>
              </w:rPr>
              <w:t>Ramo</w:t>
            </w:r>
          </w:p>
        </w:tc>
        <w:tc>
          <w:tcPr>
            <w:tcW w:w="6869" w:type="dxa"/>
          </w:tcPr>
          <w:p w14:paraId="538E689F" w14:textId="63E2427D" w:rsidR="003B77AD" w:rsidRPr="007C73FA" w:rsidRDefault="00E06981" w:rsidP="007C73FA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7C73FA">
              <w:rPr>
                <w:rFonts w:ascii="Arial" w:hAnsi="Arial" w:cs="Arial"/>
                <w:shd w:val="clear" w:color="auto" w:fill="FFFFFF"/>
              </w:rPr>
              <w:t>Cumplimiento</w:t>
            </w:r>
          </w:p>
        </w:tc>
      </w:tr>
      <w:tr w:rsidR="007C73FA" w:rsidRPr="007C73FA" w14:paraId="16ED3A86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4270FBF1" w14:textId="77777777" w:rsidR="003B77AD" w:rsidRPr="007C73FA" w:rsidRDefault="003B77AD" w:rsidP="007C73FA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7C73FA">
              <w:rPr>
                <w:rFonts w:ascii="Arial" w:hAnsi="Arial" w:cs="Arial"/>
                <w:b/>
                <w:lang w:val="es-ES_tradnl"/>
              </w:rPr>
              <w:t>Coaseguro (Si/No)</w:t>
            </w:r>
          </w:p>
        </w:tc>
        <w:tc>
          <w:tcPr>
            <w:tcW w:w="6869" w:type="dxa"/>
          </w:tcPr>
          <w:p w14:paraId="037E14B6" w14:textId="6BFC6700" w:rsidR="003B77AD" w:rsidRPr="007C73FA" w:rsidRDefault="00E06981" w:rsidP="007C73FA">
            <w:pPr>
              <w:tabs>
                <w:tab w:val="left" w:pos="5740"/>
              </w:tabs>
              <w:jc w:val="both"/>
              <w:rPr>
                <w:rFonts w:ascii="Arial" w:hAnsi="Arial" w:cs="Arial"/>
                <w:lang w:val="es-ES_tradnl"/>
              </w:rPr>
            </w:pPr>
            <w:r w:rsidRPr="007C73FA">
              <w:rPr>
                <w:rFonts w:ascii="Arial" w:hAnsi="Arial" w:cs="Arial"/>
                <w:lang w:val="es-ES_tradnl"/>
              </w:rPr>
              <w:t>No</w:t>
            </w:r>
          </w:p>
        </w:tc>
      </w:tr>
      <w:tr w:rsidR="007C73FA" w:rsidRPr="007C73FA" w14:paraId="7DFD5741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25EAE732" w14:textId="77777777" w:rsidR="003B77AD" w:rsidRPr="007C73FA" w:rsidRDefault="003B77AD" w:rsidP="007C73FA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7C73FA">
              <w:rPr>
                <w:rFonts w:ascii="Arial" w:hAnsi="Arial" w:cs="Arial"/>
                <w:b/>
                <w:lang w:val="es-ES_tradnl"/>
              </w:rPr>
              <w:t>Fecha de inicio del proceso</w:t>
            </w:r>
          </w:p>
        </w:tc>
        <w:tc>
          <w:tcPr>
            <w:tcW w:w="6869" w:type="dxa"/>
          </w:tcPr>
          <w:p w14:paraId="3FB42BB3" w14:textId="12874248" w:rsidR="003B77AD" w:rsidRPr="007C73FA" w:rsidRDefault="00A37E65" w:rsidP="007C73FA">
            <w:pPr>
              <w:tabs>
                <w:tab w:val="left" w:pos="5740"/>
              </w:tabs>
              <w:jc w:val="both"/>
              <w:rPr>
                <w:rFonts w:ascii="Arial" w:hAnsi="Arial" w:cs="Arial"/>
                <w:lang w:val="es-ES_tradnl"/>
              </w:rPr>
            </w:pPr>
            <w:r w:rsidRPr="007C73FA">
              <w:rPr>
                <w:rFonts w:ascii="Arial" w:hAnsi="Arial" w:cs="Arial"/>
                <w:lang w:val="es-ES_tradnl"/>
              </w:rPr>
              <w:t xml:space="preserve">24 de julio de 2023 </w:t>
            </w:r>
          </w:p>
        </w:tc>
      </w:tr>
      <w:tr w:rsidR="007C73FA" w:rsidRPr="007C73FA" w14:paraId="14B48593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7B0941A9" w14:textId="77777777" w:rsidR="001E4C6E" w:rsidRPr="007C73FA" w:rsidRDefault="001E4C6E" w:rsidP="007C73FA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7C73FA">
              <w:rPr>
                <w:rFonts w:ascii="Arial" w:hAnsi="Arial" w:cs="Arial"/>
                <w:b/>
                <w:lang w:val="es-ES_tradnl"/>
              </w:rPr>
              <w:t xml:space="preserve">Fecha del siniestro </w:t>
            </w:r>
          </w:p>
        </w:tc>
        <w:tc>
          <w:tcPr>
            <w:tcW w:w="6869" w:type="dxa"/>
          </w:tcPr>
          <w:p w14:paraId="2D28E3B6" w14:textId="51DBDF29" w:rsidR="001E4C6E" w:rsidRPr="007C73FA" w:rsidRDefault="001E4C6E" w:rsidP="007C73FA">
            <w:pPr>
              <w:jc w:val="both"/>
              <w:rPr>
                <w:rFonts w:ascii="Arial" w:hAnsi="Arial" w:cs="Arial"/>
                <w:lang w:val="es-ES_tradnl"/>
              </w:rPr>
            </w:pPr>
            <w:r w:rsidRPr="007C73FA">
              <w:rPr>
                <w:rFonts w:ascii="Arial" w:hAnsi="Arial" w:cs="Arial"/>
                <w:lang w:val="es-ES_tradnl"/>
              </w:rPr>
              <w:t>01 de julio de 2023 (fin del plazo contractual)</w:t>
            </w:r>
          </w:p>
        </w:tc>
      </w:tr>
      <w:tr w:rsidR="007C73FA" w:rsidRPr="007C73FA" w14:paraId="3E69E76B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6C7524AD" w14:textId="77777777" w:rsidR="001E4C6E" w:rsidRPr="007C73FA" w:rsidRDefault="001E4C6E" w:rsidP="007C73FA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7C73FA">
              <w:rPr>
                <w:rFonts w:ascii="Arial" w:hAnsi="Arial" w:cs="Arial"/>
                <w:b/>
                <w:lang w:val="es-ES_tradnl"/>
              </w:rPr>
              <w:t xml:space="preserve">Amparo afectado (si son varios amparos por favor discriminar) </w:t>
            </w:r>
          </w:p>
        </w:tc>
        <w:tc>
          <w:tcPr>
            <w:tcW w:w="6869" w:type="dxa"/>
          </w:tcPr>
          <w:p w14:paraId="650CFD9A" w14:textId="20DE1E3C" w:rsidR="001E4C6E" w:rsidRPr="007C73FA" w:rsidRDefault="005B6059" w:rsidP="007C73FA">
            <w:pPr>
              <w:jc w:val="both"/>
              <w:rPr>
                <w:rFonts w:ascii="Arial" w:hAnsi="Arial" w:cs="Arial"/>
                <w:lang w:val="es-ES_tradnl"/>
              </w:rPr>
            </w:pPr>
            <w:r w:rsidRPr="007C73FA">
              <w:rPr>
                <w:rFonts w:ascii="Arial" w:hAnsi="Arial" w:cs="Arial"/>
                <w:lang w:val="es-ES_tradnl"/>
              </w:rPr>
              <w:t xml:space="preserve">Cumplimiento y </w:t>
            </w:r>
            <w:r w:rsidR="00B56E8F" w:rsidRPr="007C73FA">
              <w:rPr>
                <w:rFonts w:ascii="Arial" w:hAnsi="Arial" w:cs="Arial"/>
                <w:lang w:val="es-ES_tradnl"/>
              </w:rPr>
              <w:t xml:space="preserve">Manejo del </w:t>
            </w:r>
            <w:r w:rsidRPr="007C73FA">
              <w:rPr>
                <w:rFonts w:ascii="Arial" w:hAnsi="Arial" w:cs="Arial"/>
                <w:lang w:val="es-ES_tradnl"/>
              </w:rPr>
              <w:t>Anticipo</w:t>
            </w:r>
          </w:p>
        </w:tc>
      </w:tr>
      <w:tr w:rsidR="007C73FA" w:rsidRPr="007C73FA" w14:paraId="0DE4029E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7FDFD1FA" w14:textId="77777777" w:rsidR="001E4C6E" w:rsidRPr="007C73FA" w:rsidRDefault="001E4C6E" w:rsidP="007C73FA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7C73FA">
              <w:rPr>
                <w:rFonts w:ascii="Arial" w:hAnsi="Arial" w:cs="Arial"/>
                <w:b/>
                <w:lang w:val="es-ES_tradnl"/>
              </w:rPr>
              <w:t>Valor pretensiones: (Si son varios amparos por favor discriminar)</w:t>
            </w:r>
          </w:p>
        </w:tc>
        <w:tc>
          <w:tcPr>
            <w:tcW w:w="6869" w:type="dxa"/>
          </w:tcPr>
          <w:p w14:paraId="4887696B" w14:textId="1FD972BD" w:rsidR="001E4C6E" w:rsidRPr="007C73FA" w:rsidRDefault="00C319F7" w:rsidP="007C73FA">
            <w:pPr>
              <w:jc w:val="both"/>
              <w:rPr>
                <w:rFonts w:ascii="Arial" w:hAnsi="Arial" w:cs="Arial"/>
                <w:lang w:val="es-ES_tradnl"/>
              </w:rPr>
            </w:pPr>
            <w:r w:rsidRPr="007C73FA">
              <w:rPr>
                <w:rFonts w:ascii="Arial" w:hAnsi="Arial" w:cs="Arial"/>
                <w:lang w:val="es-ES_tradnl"/>
              </w:rPr>
              <w:t xml:space="preserve">$505.458.416 por concepto de cláusula penal y $507.770.589 por amortización </w:t>
            </w:r>
            <w:r w:rsidR="006258AA">
              <w:rPr>
                <w:rFonts w:ascii="Arial" w:hAnsi="Arial" w:cs="Arial"/>
                <w:lang w:val="es-ES_tradnl"/>
              </w:rPr>
              <w:t xml:space="preserve">pendiente </w:t>
            </w:r>
            <w:r w:rsidRPr="007C73FA">
              <w:rPr>
                <w:rFonts w:ascii="Arial" w:hAnsi="Arial" w:cs="Arial"/>
                <w:lang w:val="es-ES_tradnl"/>
              </w:rPr>
              <w:t xml:space="preserve">del anticipo. </w:t>
            </w:r>
          </w:p>
        </w:tc>
      </w:tr>
      <w:tr w:rsidR="007C73FA" w:rsidRPr="007C73FA" w14:paraId="44644471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7F452B94" w14:textId="77777777" w:rsidR="001E4C6E" w:rsidRPr="007C73FA" w:rsidRDefault="001E4C6E" w:rsidP="007C73FA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7C73FA">
              <w:rPr>
                <w:rFonts w:ascii="Arial" w:hAnsi="Arial" w:cs="Arial"/>
                <w:b/>
                <w:lang w:val="es-ES_tradnl"/>
              </w:rPr>
              <w:t>Valor reserva sugerida abogado (Si son varios amparos por favor discriminar)</w:t>
            </w:r>
          </w:p>
        </w:tc>
        <w:tc>
          <w:tcPr>
            <w:tcW w:w="6869" w:type="dxa"/>
          </w:tcPr>
          <w:p w14:paraId="1BA5D836" w14:textId="13D6F6D0" w:rsidR="001E4C6E" w:rsidRPr="007C73FA" w:rsidRDefault="004705B7" w:rsidP="007C73FA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  <w:lang w:val="es-ES_tradnl"/>
              </w:rPr>
            </w:pPr>
            <w:r>
              <w:rPr>
                <w:color w:val="auto"/>
                <w:sz w:val="22"/>
                <w:szCs w:val="22"/>
                <w:lang w:val="es-ES_tradnl"/>
              </w:rPr>
              <w:t xml:space="preserve">$50.545.841 </w:t>
            </w:r>
            <w:r w:rsidR="007C73FA" w:rsidRPr="007C73FA">
              <w:rPr>
                <w:color w:val="auto"/>
                <w:sz w:val="22"/>
                <w:szCs w:val="22"/>
                <w:lang w:val="es-ES_tradnl"/>
              </w:rPr>
              <w:t xml:space="preserve">por </w:t>
            </w:r>
            <w:r w:rsidR="001E5B3E">
              <w:rPr>
                <w:color w:val="auto"/>
                <w:sz w:val="22"/>
                <w:szCs w:val="22"/>
                <w:lang w:val="es-ES_tradnl"/>
              </w:rPr>
              <w:t>incumplimiento</w:t>
            </w:r>
            <w:r w:rsidR="005A6D84">
              <w:rPr>
                <w:color w:val="auto"/>
                <w:sz w:val="22"/>
                <w:szCs w:val="22"/>
                <w:lang w:val="es-ES_tradnl"/>
              </w:rPr>
              <w:t>,</w:t>
            </w:r>
            <w:r w:rsidR="001E5B3E">
              <w:rPr>
                <w:color w:val="auto"/>
                <w:sz w:val="22"/>
                <w:szCs w:val="22"/>
                <w:lang w:val="es-ES_tradnl"/>
              </w:rPr>
              <w:t xml:space="preserve"> </w:t>
            </w:r>
            <w:r w:rsidR="005A6D84">
              <w:rPr>
                <w:color w:val="auto"/>
                <w:sz w:val="22"/>
                <w:szCs w:val="22"/>
                <w:lang w:val="es-ES_tradnl"/>
              </w:rPr>
              <w:t xml:space="preserve">ya que no tiene cobertura de cláusula penal, </w:t>
            </w:r>
            <w:r w:rsidR="007C73FA" w:rsidRPr="007C73FA">
              <w:rPr>
                <w:color w:val="auto"/>
                <w:sz w:val="22"/>
                <w:szCs w:val="22"/>
                <w:lang w:val="es-ES_tradnl"/>
              </w:rPr>
              <w:t>y $177.719.706,15 por anticipo.</w:t>
            </w:r>
          </w:p>
        </w:tc>
      </w:tr>
      <w:tr w:rsidR="007C73FA" w:rsidRPr="007C73FA" w14:paraId="28B2EEB8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55A27F10" w14:textId="77777777" w:rsidR="001E4C6E" w:rsidRPr="007C73FA" w:rsidRDefault="001E4C6E" w:rsidP="007C73FA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7C73FA">
              <w:rPr>
                <w:rFonts w:ascii="Arial" w:hAnsi="Arial" w:cs="Arial"/>
                <w:b/>
                <w:lang w:val="es-ES_tradnl"/>
              </w:rPr>
              <w:t>Calificación de la contingencia (remoto – eventual – probable)</w:t>
            </w:r>
          </w:p>
        </w:tc>
        <w:tc>
          <w:tcPr>
            <w:tcW w:w="6869" w:type="dxa"/>
          </w:tcPr>
          <w:p w14:paraId="55F164C0" w14:textId="185A1F9F" w:rsidR="001E4C6E" w:rsidRPr="007C73FA" w:rsidRDefault="00B41386" w:rsidP="007C73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C73FA">
              <w:rPr>
                <w:rFonts w:ascii="Arial" w:hAnsi="Arial" w:cs="Arial"/>
              </w:rPr>
              <w:t xml:space="preserve">Eventual. </w:t>
            </w:r>
          </w:p>
        </w:tc>
      </w:tr>
      <w:tr w:rsidR="007C73FA" w:rsidRPr="007C73FA" w14:paraId="730E985E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737CE1EE" w14:textId="77777777" w:rsidR="001E4C6E" w:rsidRPr="007C73FA" w:rsidRDefault="001E4C6E" w:rsidP="007C73FA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7C73FA">
              <w:rPr>
                <w:rFonts w:ascii="Arial" w:hAnsi="Arial" w:cs="Arial"/>
                <w:b/>
                <w:lang w:val="es-ES_tradnl"/>
              </w:rPr>
              <w:t>Motivos de la calificación:</w:t>
            </w:r>
          </w:p>
        </w:tc>
        <w:tc>
          <w:tcPr>
            <w:tcW w:w="6869" w:type="dxa"/>
          </w:tcPr>
          <w:p w14:paraId="34F62479" w14:textId="77777777" w:rsidR="008F32A8" w:rsidRPr="007C73FA" w:rsidRDefault="00145E1D" w:rsidP="008F32A8">
            <w:pPr>
              <w:jc w:val="both"/>
              <w:rPr>
                <w:rFonts w:ascii="Arial" w:hAnsi="Arial" w:cs="Arial"/>
              </w:rPr>
            </w:pPr>
            <w:r w:rsidRPr="007C73FA">
              <w:rPr>
                <w:rFonts w:ascii="Arial" w:hAnsi="Arial" w:cs="Arial"/>
              </w:rPr>
              <w:t xml:space="preserve">La contingencia </w:t>
            </w:r>
            <w:r w:rsidR="005B1E21">
              <w:rPr>
                <w:rFonts w:ascii="Arial" w:hAnsi="Arial" w:cs="Arial"/>
              </w:rPr>
              <w:t xml:space="preserve">es </w:t>
            </w:r>
            <w:r w:rsidRPr="007C73FA">
              <w:rPr>
                <w:rFonts w:ascii="Arial" w:hAnsi="Arial" w:cs="Arial"/>
              </w:rPr>
              <w:t>EVENTUAL</w:t>
            </w:r>
            <w:r w:rsidR="00267E40">
              <w:rPr>
                <w:rFonts w:ascii="Arial" w:hAnsi="Arial" w:cs="Arial"/>
              </w:rPr>
              <w:t xml:space="preserve">; dada </w:t>
            </w:r>
            <w:r w:rsidR="003A5A00">
              <w:rPr>
                <w:rFonts w:ascii="Arial" w:hAnsi="Arial" w:cs="Arial"/>
              </w:rPr>
              <w:t>la cobertura de la póliza para el riesgo de manejo e inversión del anticipo</w:t>
            </w:r>
            <w:r w:rsidR="00966FE4">
              <w:rPr>
                <w:rFonts w:ascii="Arial" w:hAnsi="Arial" w:cs="Arial"/>
              </w:rPr>
              <w:t xml:space="preserve">. </w:t>
            </w:r>
            <w:r w:rsidRPr="007C73FA">
              <w:rPr>
                <w:rFonts w:ascii="Arial" w:hAnsi="Arial" w:cs="Arial"/>
              </w:rPr>
              <w:t xml:space="preserve">Si bien </w:t>
            </w:r>
            <w:r w:rsidR="004B296B">
              <w:rPr>
                <w:rFonts w:ascii="Arial" w:hAnsi="Arial" w:cs="Arial"/>
              </w:rPr>
              <w:t>e</w:t>
            </w:r>
            <w:r w:rsidRPr="007C73FA">
              <w:rPr>
                <w:rFonts w:ascii="Arial" w:hAnsi="Arial" w:cs="Arial"/>
              </w:rPr>
              <w:t>l C</w:t>
            </w:r>
            <w:r w:rsidR="00B97CAE">
              <w:rPr>
                <w:rFonts w:ascii="Arial" w:hAnsi="Arial" w:cs="Arial"/>
              </w:rPr>
              <w:t xml:space="preserve">onsejo de Estado y </w:t>
            </w:r>
            <w:r w:rsidRPr="007C73FA">
              <w:rPr>
                <w:rFonts w:ascii="Arial" w:hAnsi="Arial" w:cs="Arial"/>
              </w:rPr>
              <w:t>la C</w:t>
            </w:r>
            <w:r w:rsidR="00B97CAE">
              <w:rPr>
                <w:rFonts w:ascii="Arial" w:hAnsi="Arial" w:cs="Arial"/>
              </w:rPr>
              <w:t xml:space="preserve">orte Suprema </w:t>
            </w:r>
            <w:r w:rsidR="00F25FE4">
              <w:rPr>
                <w:rFonts w:ascii="Arial" w:hAnsi="Arial" w:cs="Arial"/>
              </w:rPr>
              <w:t xml:space="preserve">han señalado </w:t>
            </w:r>
            <w:r w:rsidRPr="007C73FA">
              <w:rPr>
                <w:rFonts w:ascii="Arial" w:hAnsi="Arial" w:cs="Arial"/>
              </w:rPr>
              <w:t>que la no amortización del anticipo no es uno de los riesgos cubiertos por</w:t>
            </w:r>
            <w:r w:rsidR="00D3596D">
              <w:rPr>
                <w:rFonts w:ascii="Arial" w:hAnsi="Arial" w:cs="Arial"/>
              </w:rPr>
              <w:t xml:space="preserve"> dicho amparo</w:t>
            </w:r>
            <w:r w:rsidRPr="007C73FA">
              <w:rPr>
                <w:rFonts w:ascii="Arial" w:hAnsi="Arial" w:cs="Arial"/>
              </w:rPr>
              <w:t xml:space="preserve">, no se </w:t>
            </w:r>
            <w:r w:rsidRPr="007C73FA">
              <w:rPr>
                <w:rFonts w:ascii="Arial" w:hAnsi="Arial" w:cs="Arial"/>
              </w:rPr>
              <w:lastRenderedPageBreak/>
              <w:t xml:space="preserve">puede pasar por alto </w:t>
            </w:r>
            <w:r w:rsidR="00003A1F">
              <w:rPr>
                <w:rFonts w:ascii="Arial" w:hAnsi="Arial" w:cs="Arial"/>
              </w:rPr>
              <w:t xml:space="preserve">que </w:t>
            </w:r>
            <w:r w:rsidRPr="007C73FA">
              <w:rPr>
                <w:rFonts w:ascii="Arial" w:hAnsi="Arial" w:cs="Arial"/>
              </w:rPr>
              <w:t xml:space="preserve">no se evidencian elementos de juicio que permitan acreditar que el anticipo fue invertido apropiadamente. </w:t>
            </w:r>
            <w:r w:rsidR="008F32A8" w:rsidRPr="007C73FA">
              <w:rPr>
                <w:rFonts w:ascii="Arial" w:hAnsi="Arial" w:cs="Arial"/>
              </w:rPr>
              <w:t xml:space="preserve">Por otro lado, se </w:t>
            </w:r>
            <w:r w:rsidR="008F32A8">
              <w:rPr>
                <w:rFonts w:ascii="Arial" w:hAnsi="Arial" w:cs="Arial"/>
              </w:rPr>
              <w:t xml:space="preserve">ha cuestionado </w:t>
            </w:r>
            <w:r w:rsidR="008F32A8" w:rsidRPr="007C73FA">
              <w:rPr>
                <w:rFonts w:ascii="Arial" w:hAnsi="Arial" w:cs="Arial"/>
              </w:rPr>
              <w:t xml:space="preserve">la competencia </w:t>
            </w:r>
            <w:r w:rsidR="008F32A8">
              <w:rPr>
                <w:rFonts w:ascii="Arial" w:hAnsi="Arial" w:cs="Arial"/>
              </w:rPr>
              <w:t xml:space="preserve">o facultad </w:t>
            </w:r>
            <w:r w:rsidR="008F32A8" w:rsidRPr="007C73FA">
              <w:rPr>
                <w:rFonts w:ascii="Arial" w:hAnsi="Arial" w:cs="Arial"/>
              </w:rPr>
              <w:t xml:space="preserve">del </w:t>
            </w:r>
            <w:r w:rsidR="008F32A8">
              <w:rPr>
                <w:rFonts w:ascii="Arial" w:hAnsi="Arial" w:cs="Arial"/>
              </w:rPr>
              <w:t xml:space="preserve">asegurado </w:t>
            </w:r>
            <w:r w:rsidR="008F32A8" w:rsidRPr="007C73FA">
              <w:rPr>
                <w:rFonts w:ascii="Arial" w:hAnsi="Arial" w:cs="Arial"/>
              </w:rPr>
              <w:t xml:space="preserve">para </w:t>
            </w:r>
            <w:r w:rsidR="008F32A8">
              <w:rPr>
                <w:rFonts w:ascii="Arial" w:hAnsi="Arial" w:cs="Arial"/>
              </w:rPr>
              <w:t xml:space="preserve">declarar de manera </w:t>
            </w:r>
            <w:r w:rsidR="008F32A8" w:rsidRPr="007C73FA">
              <w:rPr>
                <w:rFonts w:ascii="Arial" w:hAnsi="Arial" w:cs="Arial"/>
              </w:rPr>
              <w:t xml:space="preserve">unilateral </w:t>
            </w:r>
            <w:r w:rsidR="008F32A8">
              <w:rPr>
                <w:rFonts w:ascii="Arial" w:hAnsi="Arial" w:cs="Arial"/>
              </w:rPr>
              <w:t xml:space="preserve">el </w:t>
            </w:r>
            <w:r w:rsidR="008F32A8" w:rsidRPr="007C73FA">
              <w:rPr>
                <w:rFonts w:ascii="Arial" w:hAnsi="Arial" w:cs="Arial"/>
              </w:rPr>
              <w:t>incumplimiento del contrato</w:t>
            </w:r>
            <w:r w:rsidR="008F32A8">
              <w:rPr>
                <w:rFonts w:ascii="Arial" w:hAnsi="Arial" w:cs="Arial"/>
              </w:rPr>
              <w:t>,</w:t>
            </w:r>
            <w:r w:rsidR="008F32A8" w:rsidRPr="007C73FA">
              <w:rPr>
                <w:rFonts w:ascii="Arial" w:hAnsi="Arial" w:cs="Arial"/>
              </w:rPr>
              <w:t xml:space="preserve"> como quiera que </w:t>
            </w:r>
            <w:r w:rsidR="008F32A8">
              <w:rPr>
                <w:rFonts w:ascii="Arial" w:hAnsi="Arial" w:cs="Arial"/>
              </w:rPr>
              <w:t xml:space="preserve">a </w:t>
            </w:r>
            <w:r w:rsidR="008F32A8" w:rsidRPr="007C73FA">
              <w:rPr>
                <w:rFonts w:ascii="Arial" w:hAnsi="Arial" w:cs="Arial"/>
              </w:rPr>
              <w:t xml:space="preserve">las partes </w:t>
            </w:r>
            <w:r w:rsidR="008F32A8">
              <w:rPr>
                <w:rFonts w:ascii="Arial" w:hAnsi="Arial" w:cs="Arial"/>
              </w:rPr>
              <w:t xml:space="preserve">no pueden erigirse como juez y parte, lo contrario sería reconocer indebidamente </w:t>
            </w:r>
            <w:r w:rsidR="008F32A8" w:rsidRPr="007C73FA">
              <w:rPr>
                <w:rFonts w:ascii="Arial" w:hAnsi="Arial" w:cs="Arial"/>
              </w:rPr>
              <w:t xml:space="preserve">prerrogativas </w:t>
            </w:r>
            <w:r w:rsidR="008F32A8">
              <w:rPr>
                <w:rFonts w:ascii="Arial" w:hAnsi="Arial" w:cs="Arial"/>
              </w:rPr>
              <w:t>exorbitantes</w:t>
            </w:r>
            <w:r w:rsidR="008F32A8" w:rsidRPr="007C73FA">
              <w:rPr>
                <w:rFonts w:ascii="Arial" w:hAnsi="Arial" w:cs="Arial"/>
              </w:rPr>
              <w:t>.</w:t>
            </w:r>
            <w:r w:rsidR="008F32A8">
              <w:rPr>
                <w:rFonts w:ascii="Arial" w:hAnsi="Arial" w:cs="Arial"/>
              </w:rPr>
              <w:t xml:space="preserve"> </w:t>
            </w:r>
          </w:p>
          <w:p w14:paraId="34289460" w14:textId="61E21869" w:rsidR="007C73FA" w:rsidRPr="007C73FA" w:rsidRDefault="007C73FA" w:rsidP="007C73FA">
            <w:pPr>
              <w:jc w:val="both"/>
              <w:rPr>
                <w:rFonts w:ascii="Arial" w:hAnsi="Arial" w:cs="Arial"/>
              </w:rPr>
            </w:pPr>
          </w:p>
          <w:p w14:paraId="6789390F" w14:textId="24A1A225" w:rsidR="001E4C6E" w:rsidRDefault="00145E1D" w:rsidP="007C73FA">
            <w:pPr>
              <w:jc w:val="both"/>
              <w:rPr>
                <w:rFonts w:ascii="Arial" w:hAnsi="Arial" w:cs="Arial"/>
              </w:rPr>
            </w:pPr>
            <w:r w:rsidRPr="007C73FA">
              <w:rPr>
                <w:rFonts w:ascii="Arial" w:hAnsi="Arial" w:cs="Arial"/>
              </w:rPr>
              <w:t xml:space="preserve">Frente al cobro de la cláusula penal, </w:t>
            </w:r>
            <w:r w:rsidR="00865269">
              <w:rPr>
                <w:rFonts w:ascii="Arial" w:hAnsi="Arial" w:cs="Arial"/>
              </w:rPr>
              <w:t xml:space="preserve">se destaca que </w:t>
            </w:r>
            <w:r w:rsidR="006474D5">
              <w:rPr>
                <w:rFonts w:ascii="Arial" w:hAnsi="Arial" w:cs="Arial"/>
              </w:rPr>
              <w:t xml:space="preserve">la póliza </w:t>
            </w:r>
            <w:r w:rsidR="00F23AB0">
              <w:rPr>
                <w:rFonts w:ascii="Arial" w:hAnsi="Arial" w:cs="Arial"/>
              </w:rPr>
              <w:t xml:space="preserve">la excluye. </w:t>
            </w:r>
          </w:p>
          <w:p w14:paraId="4F281287" w14:textId="77777777" w:rsidR="006474D5" w:rsidRDefault="006474D5" w:rsidP="007C73FA">
            <w:pPr>
              <w:jc w:val="both"/>
              <w:rPr>
                <w:rFonts w:ascii="Arial" w:hAnsi="Arial" w:cs="Arial"/>
              </w:rPr>
            </w:pPr>
          </w:p>
          <w:p w14:paraId="34981CCE" w14:textId="36974E80" w:rsidR="006474D5" w:rsidRDefault="006474D5" w:rsidP="007C73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Frente al amparo</w:t>
            </w:r>
            <w:r w:rsidR="008C7015">
              <w:rPr>
                <w:rFonts w:ascii="Arial" w:hAnsi="Arial" w:cs="Arial"/>
              </w:rPr>
              <w:t xml:space="preserve"> de</w:t>
            </w:r>
            <w:r w:rsidR="009203E5">
              <w:rPr>
                <w:rFonts w:ascii="Arial" w:hAnsi="Arial" w:cs="Arial"/>
              </w:rPr>
              <w:t>l</w:t>
            </w:r>
            <w:r w:rsidR="008C7015">
              <w:rPr>
                <w:rFonts w:ascii="Arial" w:hAnsi="Arial" w:cs="Arial"/>
              </w:rPr>
              <w:t xml:space="preserve"> </w:t>
            </w:r>
            <w:r w:rsidR="008A30EB">
              <w:rPr>
                <w:rFonts w:ascii="Arial" w:hAnsi="Arial" w:cs="Arial"/>
              </w:rPr>
              <w:t>anticipo, eventualmente se podría a</w:t>
            </w:r>
            <w:r w:rsidR="00BA2991">
              <w:rPr>
                <w:rFonts w:ascii="Arial" w:hAnsi="Arial" w:cs="Arial"/>
              </w:rPr>
              <w:t xml:space="preserve">fectar </w:t>
            </w:r>
            <w:r w:rsidR="00270E04">
              <w:rPr>
                <w:rFonts w:ascii="Arial" w:hAnsi="Arial" w:cs="Arial"/>
              </w:rPr>
              <w:t xml:space="preserve">si no se acredita que la debida inversión </w:t>
            </w:r>
            <w:r w:rsidR="00A527F8">
              <w:rPr>
                <w:rFonts w:ascii="Arial" w:hAnsi="Arial" w:cs="Arial"/>
              </w:rPr>
              <w:t xml:space="preserve">del mismo. </w:t>
            </w:r>
          </w:p>
          <w:p w14:paraId="18F4668B" w14:textId="165076F6" w:rsidR="00EB0457" w:rsidRPr="007C73FA" w:rsidRDefault="00EB0457" w:rsidP="007C73FA">
            <w:pPr>
              <w:jc w:val="both"/>
              <w:rPr>
                <w:rFonts w:ascii="Arial" w:hAnsi="Arial" w:cs="Arial"/>
              </w:rPr>
            </w:pPr>
          </w:p>
        </w:tc>
      </w:tr>
      <w:tr w:rsidR="007C73FA" w:rsidRPr="007C73FA" w14:paraId="2C6B77B2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11F83EFE" w14:textId="77777777" w:rsidR="001E4C6E" w:rsidRPr="007C73FA" w:rsidRDefault="001E4C6E" w:rsidP="007C73FA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7C73FA">
              <w:rPr>
                <w:rFonts w:ascii="Arial" w:hAnsi="Arial" w:cs="Arial"/>
                <w:b/>
                <w:lang w:val="es-ES_tradnl"/>
              </w:rPr>
              <w:lastRenderedPageBreak/>
              <w:t xml:space="preserve">Resumen de la contingencia: </w:t>
            </w:r>
          </w:p>
        </w:tc>
        <w:tc>
          <w:tcPr>
            <w:tcW w:w="6869" w:type="dxa"/>
          </w:tcPr>
          <w:p w14:paraId="7B955F07" w14:textId="525A9211" w:rsidR="001E4C6E" w:rsidRPr="007C73FA" w:rsidRDefault="006340E9" w:rsidP="007C73FA">
            <w:pPr>
              <w:jc w:val="both"/>
              <w:rPr>
                <w:rFonts w:ascii="Arial" w:hAnsi="Arial" w:cs="Arial"/>
                <w:lang w:val="es-ES_tradnl"/>
              </w:rPr>
            </w:pPr>
            <w:r w:rsidRPr="007C73FA">
              <w:rPr>
                <w:rFonts w:ascii="Arial" w:hAnsi="Arial" w:cs="Arial"/>
                <w:lang w:val="es-ES_tradnl"/>
              </w:rPr>
              <w:t xml:space="preserve">Dependerá de la entidad afectar el manejo del anticipo en caso que interprete que hay cobertura frente a la no amortización. Frente a la cláusula penal, no hay cobertura material pues está excluida. </w:t>
            </w:r>
          </w:p>
        </w:tc>
      </w:tr>
      <w:tr w:rsidR="007C73FA" w:rsidRPr="007C73FA" w14:paraId="64DD8506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31DBADB9" w14:textId="77777777" w:rsidR="001E4C6E" w:rsidRPr="007C73FA" w:rsidRDefault="001E4C6E" w:rsidP="007C73FA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7C73FA">
              <w:rPr>
                <w:rFonts w:ascii="Arial" w:hAnsi="Arial" w:cs="Arial"/>
                <w:b/>
                <w:lang w:val="es-ES_tradnl"/>
              </w:rPr>
              <w:t>Posición del contratista</w:t>
            </w:r>
          </w:p>
        </w:tc>
        <w:tc>
          <w:tcPr>
            <w:tcW w:w="6869" w:type="dxa"/>
          </w:tcPr>
          <w:p w14:paraId="53A465AD" w14:textId="51A5866E" w:rsidR="001E4C6E" w:rsidRPr="007C73FA" w:rsidRDefault="00A37E65" w:rsidP="007C73FA">
            <w:pPr>
              <w:jc w:val="both"/>
              <w:rPr>
                <w:rFonts w:ascii="Arial" w:hAnsi="Arial" w:cs="Arial"/>
                <w:lang w:val="es-ES_tradnl"/>
              </w:rPr>
            </w:pPr>
            <w:r w:rsidRPr="007C73FA">
              <w:rPr>
                <w:rFonts w:ascii="Arial" w:hAnsi="Arial" w:cs="Arial"/>
                <w:lang w:val="es-ES_tradnl"/>
              </w:rPr>
              <w:t xml:space="preserve">No presentó descargos. </w:t>
            </w:r>
          </w:p>
        </w:tc>
      </w:tr>
      <w:tr w:rsidR="007C73FA" w:rsidRPr="007C73FA" w14:paraId="0521D622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21451597" w14:textId="77777777" w:rsidR="001E4C6E" w:rsidRPr="007C73FA" w:rsidRDefault="001E4C6E" w:rsidP="007C73FA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7C73FA">
              <w:rPr>
                <w:rFonts w:ascii="Arial" w:hAnsi="Arial" w:cs="Arial"/>
                <w:b/>
                <w:lang w:val="es-ES_tradnl"/>
              </w:rPr>
              <w:t>Etapa</w:t>
            </w:r>
          </w:p>
        </w:tc>
        <w:tc>
          <w:tcPr>
            <w:tcW w:w="6869" w:type="dxa"/>
          </w:tcPr>
          <w:p w14:paraId="725A1699" w14:textId="77B2C53E" w:rsidR="001E4C6E" w:rsidRPr="007C73FA" w:rsidRDefault="00BA15A7" w:rsidP="007C73FA">
            <w:pPr>
              <w:jc w:val="both"/>
              <w:rPr>
                <w:rFonts w:ascii="Arial" w:hAnsi="Arial" w:cs="Arial"/>
                <w:lang w:val="es-ES_tradnl"/>
              </w:rPr>
            </w:pPr>
            <w:r w:rsidRPr="007C73FA">
              <w:rPr>
                <w:rFonts w:ascii="Arial" w:hAnsi="Arial" w:cs="Arial"/>
                <w:lang w:val="es-ES_tradnl"/>
              </w:rPr>
              <w:t xml:space="preserve">A la espera que el contratista pague la cláusula penal y amortice el valor adeudado. </w:t>
            </w:r>
          </w:p>
        </w:tc>
      </w:tr>
      <w:tr w:rsidR="007C73FA" w:rsidRPr="007C73FA" w14:paraId="561D27DB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7E209537" w14:textId="77777777" w:rsidR="001E4C6E" w:rsidRPr="007C73FA" w:rsidRDefault="001E4C6E" w:rsidP="007C73FA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7C73FA">
              <w:rPr>
                <w:rFonts w:ascii="Arial" w:hAnsi="Arial" w:cs="Arial"/>
                <w:b/>
                <w:bCs/>
                <w:lang w:val="es-ES"/>
              </w:rPr>
              <w:t>Fecha última actuación</w:t>
            </w:r>
          </w:p>
        </w:tc>
        <w:tc>
          <w:tcPr>
            <w:tcW w:w="6869" w:type="dxa"/>
          </w:tcPr>
          <w:p w14:paraId="43094808" w14:textId="7D1F663A" w:rsidR="001E4C6E" w:rsidRPr="007C73FA" w:rsidRDefault="003664E3" w:rsidP="007C73F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Previ</w:t>
            </w:r>
            <w:r w:rsidR="00006112">
              <w:rPr>
                <w:rFonts w:ascii="Arial" w:hAnsi="Arial" w:cs="Arial"/>
                <w:lang w:val="es-ES_tradnl"/>
              </w:rPr>
              <w:t>a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="00006112">
              <w:rPr>
                <w:rFonts w:ascii="Arial" w:hAnsi="Arial" w:cs="Arial"/>
                <w:lang w:val="es-ES_tradnl"/>
              </w:rPr>
              <w:t>la sesión o reunión a la que convocó la</w:t>
            </w:r>
            <w:r w:rsidR="00E16855">
              <w:rPr>
                <w:rFonts w:ascii="Arial" w:hAnsi="Arial" w:cs="Arial"/>
                <w:lang w:val="es-ES_tradnl"/>
              </w:rPr>
              <w:t xml:space="preserve"> fiduciaria ante el supuesto incumplimiento,</w:t>
            </w:r>
            <w:r w:rsidR="008E32F5">
              <w:rPr>
                <w:rFonts w:ascii="Arial" w:hAnsi="Arial" w:cs="Arial"/>
                <w:lang w:val="es-ES_tradnl"/>
              </w:rPr>
              <w:t xml:space="preserve"> una vez la aseguradora presentó su defensa</w:t>
            </w:r>
            <w:r w:rsidR="004B503D">
              <w:rPr>
                <w:rFonts w:ascii="Arial" w:hAnsi="Arial" w:cs="Arial"/>
                <w:lang w:val="es-ES_tradnl"/>
              </w:rPr>
              <w:t xml:space="preserve">, </w:t>
            </w:r>
            <w:r w:rsidR="00FC0CB1">
              <w:rPr>
                <w:rFonts w:ascii="Arial" w:hAnsi="Arial" w:cs="Arial"/>
                <w:lang w:val="es-ES_tradnl"/>
              </w:rPr>
              <w:t>el</w:t>
            </w:r>
            <w:r w:rsidR="00006112">
              <w:rPr>
                <w:rFonts w:ascii="Arial" w:hAnsi="Arial" w:cs="Arial"/>
                <w:lang w:val="es-ES_tradnl"/>
              </w:rPr>
              <w:t xml:space="preserve"> </w:t>
            </w:r>
            <w:r w:rsidR="00A37E65" w:rsidRPr="007C73FA">
              <w:rPr>
                <w:rFonts w:ascii="Arial" w:hAnsi="Arial" w:cs="Arial"/>
                <w:lang w:val="es-ES_tradnl"/>
              </w:rPr>
              <w:t>12 de febrero de 2024</w:t>
            </w:r>
            <w:r w:rsidR="00C37CC7">
              <w:rPr>
                <w:rFonts w:ascii="Arial" w:hAnsi="Arial" w:cs="Arial"/>
                <w:lang w:val="es-ES_tradnl"/>
              </w:rPr>
              <w:t xml:space="preserve"> </w:t>
            </w:r>
            <w:r w:rsidR="00A37E65" w:rsidRPr="007C73FA">
              <w:rPr>
                <w:rFonts w:ascii="Arial" w:hAnsi="Arial" w:cs="Arial"/>
                <w:lang w:val="es-ES_tradnl"/>
              </w:rPr>
              <w:t xml:space="preserve">el Comité Fiduciario remitió </w:t>
            </w:r>
            <w:r w:rsidR="00075A2C">
              <w:rPr>
                <w:rFonts w:ascii="Arial" w:hAnsi="Arial" w:cs="Arial"/>
                <w:lang w:val="es-ES_tradnl"/>
              </w:rPr>
              <w:t xml:space="preserve">comunicación </w:t>
            </w:r>
            <w:r w:rsidR="00A37E65" w:rsidRPr="007C73FA">
              <w:rPr>
                <w:rFonts w:ascii="Arial" w:hAnsi="Arial" w:cs="Arial"/>
                <w:lang w:val="es-ES_tradnl"/>
              </w:rPr>
              <w:t xml:space="preserve">indicando que descontarán el valor de la cláusula penal al contratista, </w:t>
            </w:r>
            <w:r w:rsidR="00CB0140">
              <w:rPr>
                <w:rFonts w:ascii="Arial" w:hAnsi="Arial" w:cs="Arial"/>
                <w:lang w:val="es-ES_tradnl"/>
              </w:rPr>
              <w:t xml:space="preserve">y lo </w:t>
            </w:r>
            <w:r w:rsidR="00A37E65" w:rsidRPr="007C73FA">
              <w:rPr>
                <w:rFonts w:ascii="Arial" w:hAnsi="Arial" w:cs="Arial"/>
                <w:lang w:val="es-ES_tradnl"/>
              </w:rPr>
              <w:t xml:space="preserve">exhortaron a consignar el saldo a la cuenta de ahorros de la entidad contratante y manifestaron reservarse el derecho de presentar reclamación a HDI Seguros. </w:t>
            </w:r>
          </w:p>
        </w:tc>
      </w:tr>
      <w:tr w:rsidR="007C73FA" w:rsidRPr="007C73FA" w14:paraId="0C1B9875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378EEB4E" w14:textId="77777777" w:rsidR="001E4C6E" w:rsidRPr="007C73FA" w:rsidRDefault="001E4C6E" w:rsidP="007C73FA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7C73FA">
              <w:rPr>
                <w:rFonts w:ascii="Arial" w:hAnsi="Arial" w:cs="Arial"/>
                <w:b/>
                <w:bCs/>
                <w:lang w:val="es-ES"/>
              </w:rPr>
              <w:t>¿Se debe pagar? Fecha de pago oportuna</w:t>
            </w:r>
          </w:p>
        </w:tc>
        <w:tc>
          <w:tcPr>
            <w:tcW w:w="6869" w:type="dxa"/>
          </w:tcPr>
          <w:p w14:paraId="00E5D4A6" w14:textId="4796360C" w:rsidR="001E4C6E" w:rsidRPr="007C73FA" w:rsidRDefault="00902E9F" w:rsidP="007C73FA">
            <w:pPr>
              <w:jc w:val="both"/>
              <w:rPr>
                <w:rFonts w:ascii="Arial" w:hAnsi="Arial" w:cs="Arial"/>
                <w:lang w:val="es-ES_tradnl"/>
              </w:rPr>
            </w:pPr>
            <w:r w:rsidRPr="007C73FA">
              <w:rPr>
                <w:rFonts w:ascii="Arial" w:hAnsi="Arial" w:cs="Arial"/>
                <w:lang w:val="es-ES_tradnl"/>
              </w:rPr>
              <w:t>No</w:t>
            </w:r>
          </w:p>
        </w:tc>
      </w:tr>
      <w:tr w:rsidR="007C73FA" w:rsidRPr="007C73FA" w14:paraId="3A8B807B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19B4842B" w14:textId="77777777" w:rsidR="001E4C6E" w:rsidRPr="007C73FA" w:rsidRDefault="001E4C6E" w:rsidP="007C73FA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7C73FA">
              <w:rPr>
                <w:rFonts w:ascii="Arial" w:hAnsi="Arial" w:cs="Arial"/>
                <w:b/>
                <w:lang w:val="es-ES_tradnl"/>
              </w:rPr>
              <w:t>Debe demandarse el acto administrativo (Si/No)</w:t>
            </w:r>
          </w:p>
        </w:tc>
        <w:tc>
          <w:tcPr>
            <w:tcW w:w="6869" w:type="dxa"/>
          </w:tcPr>
          <w:p w14:paraId="3D3F256C" w14:textId="04F98BBE" w:rsidR="001E4C6E" w:rsidRPr="007C73FA" w:rsidRDefault="00902E9F" w:rsidP="007C73FA">
            <w:pPr>
              <w:jc w:val="both"/>
              <w:rPr>
                <w:rFonts w:ascii="Arial" w:hAnsi="Arial" w:cs="Arial"/>
                <w:lang w:val="es-ES_tradnl"/>
              </w:rPr>
            </w:pPr>
            <w:r w:rsidRPr="007C73FA">
              <w:rPr>
                <w:rFonts w:ascii="Arial" w:hAnsi="Arial" w:cs="Arial"/>
                <w:lang w:val="es-ES_tradnl"/>
              </w:rPr>
              <w:t xml:space="preserve">La entidad no puede proferir actos administrativos por ser una entidad de derecho privado. </w:t>
            </w:r>
          </w:p>
        </w:tc>
      </w:tr>
      <w:tr w:rsidR="007C73FA" w:rsidRPr="007C73FA" w14:paraId="050E7442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14CCC18F" w14:textId="77777777" w:rsidR="001E4C6E" w:rsidRPr="007C73FA" w:rsidRDefault="001E4C6E" w:rsidP="007C73FA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7C73FA">
              <w:rPr>
                <w:rFonts w:ascii="Arial" w:hAnsi="Arial" w:cs="Arial"/>
                <w:b/>
                <w:lang w:val="es-ES_tradnl"/>
              </w:rPr>
              <w:t>Argumentos para demandar</w:t>
            </w:r>
          </w:p>
        </w:tc>
        <w:tc>
          <w:tcPr>
            <w:tcW w:w="6869" w:type="dxa"/>
          </w:tcPr>
          <w:p w14:paraId="0E2A3A62" w14:textId="02DDF66E" w:rsidR="001E4C6E" w:rsidRPr="007C73FA" w:rsidRDefault="007C73FA" w:rsidP="007C73FA">
            <w:pPr>
              <w:jc w:val="both"/>
              <w:rPr>
                <w:rFonts w:ascii="Arial" w:hAnsi="Arial" w:cs="Arial"/>
                <w:lang w:val="es-ES_tradnl"/>
              </w:rPr>
            </w:pPr>
            <w:r w:rsidRPr="007C73FA">
              <w:rPr>
                <w:rFonts w:ascii="Arial" w:hAnsi="Arial" w:cs="Arial"/>
                <w:lang w:val="es-ES_tradnl"/>
              </w:rPr>
              <w:t>N/A</w:t>
            </w:r>
          </w:p>
        </w:tc>
      </w:tr>
    </w:tbl>
    <w:p w14:paraId="168EB35D" w14:textId="77777777" w:rsidR="003B77AD" w:rsidRPr="007C73FA" w:rsidRDefault="003B77AD" w:rsidP="007C73FA">
      <w:pPr>
        <w:spacing w:after="160"/>
        <w:jc w:val="both"/>
        <w:rPr>
          <w:rFonts w:ascii="Arial" w:hAnsi="Arial" w:cs="Arial"/>
        </w:rPr>
      </w:pPr>
    </w:p>
    <w:p w14:paraId="60CBA70D" w14:textId="77777777" w:rsidR="00FD1141" w:rsidRPr="007C73FA" w:rsidRDefault="00FD1141" w:rsidP="007C73FA">
      <w:pPr>
        <w:jc w:val="both"/>
        <w:rPr>
          <w:rFonts w:ascii="Arial" w:hAnsi="Arial" w:cs="Arial"/>
        </w:rPr>
      </w:pPr>
    </w:p>
    <w:sectPr w:rsidR="00FD1141" w:rsidRPr="007C73FA" w:rsidSect="003B77A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F76C4" w14:textId="77777777" w:rsidR="00BB7637" w:rsidRDefault="00BB7637" w:rsidP="001D4B3C">
      <w:r>
        <w:separator/>
      </w:r>
    </w:p>
  </w:endnote>
  <w:endnote w:type="continuationSeparator" w:id="0">
    <w:p w14:paraId="4DA7A42F" w14:textId="77777777" w:rsidR="00BB7637" w:rsidRDefault="00BB7637" w:rsidP="001D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7142D" w14:textId="77777777" w:rsidR="00BB7637" w:rsidRDefault="00BB7637" w:rsidP="001D4B3C">
      <w:r>
        <w:separator/>
      </w:r>
    </w:p>
  </w:footnote>
  <w:footnote w:type="continuationSeparator" w:id="0">
    <w:p w14:paraId="066451A0" w14:textId="77777777" w:rsidR="00BB7637" w:rsidRDefault="00BB7637" w:rsidP="001D4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4B727" w14:textId="07493295" w:rsidR="001D4B3C" w:rsidRPr="001D4B3C" w:rsidRDefault="001D4B3C" w:rsidP="001D4B3C">
    <w:pPr>
      <w:pStyle w:val="Encabezado"/>
      <w:jc w:val="center"/>
      <w:rPr>
        <w:b/>
        <w:bCs/>
      </w:rPr>
    </w:pPr>
    <w:r>
      <w:rPr>
        <w:b/>
        <w:bCs/>
      </w:rPr>
      <w:t>INFORME PROCESOS INDEMNIZACIONES PRESENTADO POR GHA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AD"/>
    <w:rsid w:val="00003A1F"/>
    <w:rsid w:val="00006112"/>
    <w:rsid w:val="000318D9"/>
    <w:rsid w:val="00041DBA"/>
    <w:rsid w:val="00075A2C"/>
    <w:rsid w:val="000D3E30"/>
    <w:rsid w:val="00145E1D"/>
    <w:rsid w:val="00150568"/>
    <w:rsid w:val="001D4B3C"/>
    <w:rsid w:val="001E20DE"/>
    <w:rsid w:val="001E4C6E"/>
    <w:rsid w:val="001E5B3E"/>
    <w:rsid w:val="00267E40"/>
    <w:rsid w:val="00270E04"/>
    <w:rsid w:val="002A74C9"/>
    <w:rsid w:val="002B525D"/>
    <w:rsid w:val="002C47F1"/>
    <w:rsid w:val="002D4007"/>
    <w:rsid w:val="002F6D03"/>
    <w:rsid w:val="003106F7"/>
    <w:rsid w:val="00316B7D"/>
    <w:rsid w:val="00333084"/>
    <w:rsid w:val="003664E3"/>
    <w:rsid w:val="003A5A00"/>
    <w:rsid w:val="003B77AD"/>
    <w:rsid w:val="003C1373"/>
    <w:rsid w:val="003E4C43"/>
    <w:rsid w:val="004028E4"/>
    <w:rsid w:val="00415B87"/>
    <w:rsid w:val="004705B7"/>
    <w:rsid w:val="00483A94"/>
    <w:rsid w:val="00484635"/>
    <w:rsid w:val="00493A8C"/>
    <w:rsid w:val="004B296B"/>
    <w:rsid w:val="004B503D"/>
    <w:rsid w:val="004B6AC8"/>
    <w:rsid w:val="00502731"/>
    <w:rsid w:val="00505E8E"/>
    <w:rsid w:val="00506C72"/>
    <w:rsid w:val="00550607"/>
    <w:rsid w:val="00591365"/>
    <w:rsid w:val="005A6D84"/>
    <w:rsid w:val="005B1E21"/>
    <w:rsid w:val="005B6059"/>
    <w:rsid w:val="005C327D"/>
    <w:rsid w:val="005F1296"/>
    <w:rsid w:val="005F327F"/>
    <w:rsid w:val="005F3C45"/>
    <w:rsid w:val="00602EF3"/>
    <w:rsid w:val="006258AA"/>
    <w:rsid w:val="006340E9"/>
    <w:rsid w:val="006474D5"/>
    <w:rsid w:val="006961B4"/>
    <w:rsid w:val="00747643"/>
    <w:rsid w:val="00754165"/>
    <w:rsid w:val="00793BB2"/>
    <w:rsid w:val="007A0022"/>
    <w:rsid w:val="007C33A4"/>
    <w:rsid w:val="007C73FA"/>
    <w:rsid w:val="007E3F1A"/>
    <w:rsid w:val="007F28D8"/>
    <w:rsid w:val="00864C04"/>
    <w:rsid w:val="00865269"/>
    <w:rsid w:val="008A30EB"/>
    <w:rsid w:val="008B5BA9"/>
    <w:rsid w:val="008C7015"/>
    <w:rsid w:val="008E32F5"/>
    <w:rsid w:val="008F32A8"/>
    <w:rsid w:val="00902E9F"/>
    <w:rsid w:val="00913443"/>
    <w:rsid w:val="009203E5"/>
    <w:rsid w:val="009341F8"/>
    <w:rsid w:val="00962709"/>
    <w:rsid w:val="00966FE4"/>
    <w:rsid w:val="00973659"/>
    <w:rsid w:val="00A0129F"/>
    <w:rsid w:val="00A21B99"/>
    <w:rsid w:val="00A27B50"/>
    <w:rsid w:val="00A33B3B"/>
    <w:rsid w:val="00A37E65"/>
    <w:rsid w:val="00A527F8"/>
    <w:rsid w:val="00A534E4"/>
    <w:rsid w:val="00AA5EF1"/>
    <w:rsid w:val="00AB34E1"/>
    <w:rsid w:val="00AD2481"/>
    <w:rsid w:val="00AF3372"/>
    <w:rsid w:val="00B038F8"/>
    <w:rsid w:val="00B21CBF"/>
    <w:rsid w:val="00B41386"/>
    <w:rsid w:val="00B56E8F"/>
    <w:rsid w:val="00B97CAE"/>
    <w:rsid w:val="00BA15A7"/>
    <w:rsid w:val="00BA2991"/>
    <w:rsid w:val="00BB7637"/>
    <w:rsid w:val="00BD74C6"/>
    <w:rsid w:val="00BD76AA"/>
    <w:rsid w:val="00BF6789"/>
    <w:rsid w:val="00C0016B"/>
    <w:rsid w:val="00C031F6"/>
    <w:rsid w:val="00C27DFA"/>
    <w:rsid w:val="00C319F7"/>
    <w:rsid w:val="00C37CC7"/>
    <w:rsid w:val="00C56A92"/>
    <w:rsid w:val="00CA5513"/>
    <w:rsid w:val="00CB0140"/>
    <w:rsid w:val="00CC703A"/>
    <w:rsid w:val="00CE1E6C"/>
    <w:rsid w:val="00D3596D"/>
    <w:rsid w:val="00D552BA"/>
    <w:rsid w:val="00D56B9E"/>
    <w:rsid w:val="00D742A7"/>
    <w:rsid w:val="00DB35D4"/>
    <w:rsid w:val="00E06981"/>
    <w:rsid w:val="00E16855"/>
    <w:rsid w:val="00E25FDC"/>
    <w:rsid w:val="00E56B27"/>
    <w:rsid w:val="00E60A46"/>
    <w:rsid w:val="00E75B73"/>
    <w:rsid w:val="00E86AB7"/>
    <w:rsid w:val="00EB0457"/>
    <w:rsid w:val="00EC48B9"/>
    <w:rsid w:val="00F128C7"/>
    <w:rsid w:val="00F23AB0"/>
    <w:rsid w:val="00F25FE4"/>
    <w:rsid w:val="00F601B7"/>
    <w:rsid w:val="00FC0CB1"/>
    <w:rsid w:val="00FD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47EF"/>
  <w15:chartTrackingRefBased/>
  <w15:docId w15:val="{BFC0BEB7-7545-442A-8D65-F9503F0B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7AD"/>
    <w:pPr>
      <w:spacing w:after="0" w:line="240" w:lineRule="auto"/>
    </w:pPr>
    <w:rPr>
      <w:rFonts w:ascii="Calibri" w:hAnsi="Calibri" w:cs="Calibri"/>
      <w:kern w:val="0"/>
      <w:lang w:eastAsia="es-CO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B77A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77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D4B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4B3C"/>
    <w:rPr>
      <w:rFonts w:ascii="Calibri" w:hAnsi="Calibri" w:cs="Calibri"/>
      <w:kern w:val="0"/>
      <w:lang w:eastAsia="es-CO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D4B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B3C"/>
    <w:rPr>
      <w:rFonts w:ascii="Calibri" w:hAnsi="Calibri" w:cs="Calibri"/>
      <w:kern w:val="0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2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CE459-C474-4DAF-8924-0A032B71A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Loaiza Segura</dc:creator>
  <cp:keywords/>
  <dc:description/>
  <cp:lastModifiedBy>Nicolas Loaiza Segura</cp:lastModifiedBy>
  <cp:revision>2</cp:revision>
  <dcterms:created xsi:type="dcterms:W3CDTF">2024-06-18T22:37:00Z</dcterms:created>
  <dcterms:modified xsi:type="dcterms:W3CDTF">2024-06-18T22:37:00Z</dcterms:modified>
</cp:coreProperties>
</file>