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BADB1" w14:textId="77777777" w:rsidR="00BE70C8" w:rsidRPr="002B5C2C" w:rsidRDefault="00BE70C8" w:rsidP="00E97BF5">
      <w:pPr>
        <w:spacing w:after="0" w:line="312" w:lineRule="auto"/>
        <w:jc w:val="both"/>
        <w:rPr>
          <w:rFonts w:ascii="Arial" w:hAnsi="Arial" w:cs="Arial"/>
        </w:rPr>
      </w:pPr>
      <w:bookmarkStart w:id="0" w:name="278"/>
      <w:bookmarkStart w:id="1" w:name="42"/>
      <w:bookmarkStart w:id="2" w:name="_Hlk22918831"/>
      <w:bookmarkEnd w:id="0"/>
      <w:bookmarkEnd w:id="1"/>
    </w:p>
    <w:p w14:paraId="594B0BD3" w14:textId="0AB9380D" w:rsidR="002E183A" w:rsidRPr="002B5C2C" w:rsidRDefault="002E183A" w:rsidP="00E97BF5">
      <w:pPr>
        <w:spacing w:after="0" w:line="312" w:lineRule="auto"/>
        <w:jc w:val="both"/>
        <w:rPr>
          <w:rFonts w:ascii="Arial" w:hAnsi="Arial" w:cs="Arial"/>
        </w:rPr>
      </w:pPr>
      <w:r w:rsidRPr="002B5C2C">
        <w:rPr>
          <w:rFonts w:ascii="Arial" w:hAnsi="Arial" w:cs="Arial"/>
        </w:rPr>
        <w:t>Señores</w:t>
      </w:r>
    </w:p>
    <w:p w14:paraId="2F117638" w14:textId="17A5473B" w:rsidR="002E183A" w:rsidRPr="002B5C2C" w:rsidRDefault="002E183A" w:rsidP="00E97BF5">
      <w:pPr>
        <w:spacing w:after="0" w:line="312" w:lineRule="auto"/>
        <w:jc w:val="both"/>
        <w:rPr>
          <w:rFonts w:ascii="Arial" w:hAnsi="Arial" w:cs="Arial"/>
          <w:b/>
          <w:bCs/>
        </w:rPr>
      </w:pPr>
      <w:r w:rsidRPr="002B5C2C">
        <w:rPr>
          <w:rFonts w:ascii="Arial" w:hAnsi="Arial" w:cs="Arial"/>
          <w:b/>
          <w:bCs/>
        </w:rPr>
        <w:t xml:space="preserve">JUZGADO </w:t>
      </w:r>
      <w:r w:rsidR="0009519D" w:rsidRPr="002B5C2C">
        <w:rPr>
          <w:rFonts w:ascii="Arial" w:hAnsi="Arial" w:cs="Arial"/>
          <w:b/>
          <w:bCs/>
        </w:rPr>
        <w:t>TRECE</w:t>
      </w:r>
      <w:r w:rsidRPr="002B5C2C">
        <w:rPr>
          <w:rFonts w:ascii="Arial" w:hAnsi="Arial" w:cs="Arial"/>
          <w:b/>
          <w:bCs/>
        </w:rPr>
        <w:t xml:space="preserve"> (</w:t>
      </w:r>
      <w:r w:rsidR="008D08AE" w:rsidRPr="002B5C2C">
        <w:rPr>
          <w:rFonts w:ascii="Arial" w:hAnsi="Arial" w:cs="Arial"/>
          <w:b/>
          <w:bCs/>
        </w:rPr>
        <w:t>1</w:t>
      </w:r>
      <w:r w:rsidR="0009519D" w:rsidRPr="002B5C2C">
        <w:rPr>
          <w:rFonts w:ascii="Arial" w:hAnsi="Arial" w:cs="Arial"/>
          <w:b/>
          <w:bCs/>
        </w:rPr>
        <w:t>3°</w:t>
      </w:r>
      <w:r w:rsidRPr="002B5C2C">
        <w:rPr>
          <w:rFonts w:ascii="Arial" w:hAnsi="Arial" w:cs="Arial"/>
          <w:b/>
          <w:bCs/>
        </w:rPr>
        <w:t xml:space="preserve">) ADMINISTRATIVO DEL CIRCUITO DE </w:t>
      </w:r>
      <w:r w:rsidR="008D08AE" w:rsidRPr="002B5C2C">
        <w:rPr>
          <w:rFonts w:ascii="Arial" w:hAnsi="Arial" w:cs="Arial"/>
          <w:b/>
          <w:bCs/>
        </w:rPr>
        <w:t>CALI</w:t>
      </w:r>
      <w:r w:rsidRPr="002B5C2C">
        <w:rPr>
          <w:rFonts w:ascii="Arial" w:hAnsi="Arial" w:cs="Arial"/>
          <w:b/>
          <w:bCs/>
        </w:rPr>
        <w:t xml:space="preserve"> (</w:t>
      </w:r>
      <w:r w:rsidR="008D08AE" w:rsidRPr="002B5C2C">
        <w:rPr>
          <w:rFonts w:ascii="Arial" w:hAnsi="Arial" w:cs="Arial"/>
          <w:b/>
          <w:bCs/>
        </w:rPr>
        <w:t>V</w:t>
      </w:r>
      <w:r w:rsidRPr="002B5C2C">
        <w:rPr>
          <w:rFonts w:ascii="Arial" w:hAnsi="Arial" w:cs="Arial"/>
          <w:b/>
          <w:bCs/>
        </w:rPr>
        <w:t>)</w:t>
      </w:r>
    </w:p>
    <w:p w14:paraId="4BF110A5" w14:textId="136D1E42" w:rsidR="002E183A" w:rsidRPr="002B5C2C" w:rsidRDefault="00000000" w:rsidP="00E97BF5">
      <w:pPr>
        <w:spacing w:after="0" w:line="312" w:lineRule="auto"/>
        <w:jc w:val="both"/>
        <w:rPr>
          <w:rFonts w:ascii="Arial" w:hAnsi="Arial" w:cs="Arial"/>
          <w:b/>
          <w:bCs/>
        </w:rPr>
      </w:pPr>
      <w:hyperlink r:id="rId8" w:history="1">
        <w:r w:rsidR="0009519D" w:rsidRPr="002B5C2C">
          <w:rPr>
            <w:rStyle w:val="Hipervnculo"/>
            <w:rFonts w:ascii="Arial" w:hAnsi="Arial" w:cs="Arial"/>
          </w:rPr>
          <w:t>adm13cali@cendoj.ramajudicial.gov.co</w:t>
        </w:r>
      </w:hyperlink>
      <w:r w:rsidR="005D7138" w:rsidRPr="002B5C2C">
        <w:rPr>
          <w:rFonts w:ascii="Arial" w:hAnsi="Arial" w:cs="Arial"/>
        </w:rPr>
        <w:t xml:space="preserve"> / </w:t>
      </w:r>
      <w:hyperlink r:id="rId9" w:history="1">
        <w:r w:rsidR="005D7138" w:rsidRPr="002B5C2C">
          <w:rPr>
            <w:rStyle w:val="Hipervnculo"/>
            <w:rFonts w:ascii="Arial" w:hAnsi="Arial" w:cs="Arial"/>
          </w:rPr>
          <w:t>of02admcali@cendoj.ramajudicial.gov.co</w:t>
        </w:r>
      </w:hyperlink>
      <w:r w:rsidR="005D7138" w:rsidRPr="002B5C2C">
        <w:rPr>
          <w:rFonts w:ascii="Arial" w:hAnsi="Arial" w:cs="Arial"/>
        </w:rPr>
        <w:t xml:space="preserve"> </w:t>
      </w:r>
    </w:p>
    <w:p w14:paraId="7A185CA9" w14:textId="77777777" w:rsidR="002E183A" w:rsidRPr="002B5C2C" w:rsidRDefault="002E183A" w:rsidP="00E97BF5">
      <w:pPr>
        <w:spacing w:after="0" w:line="312" w:lineRule="auto"/>
        <w:jc w:val="both"/>
        <w:rPr>
          <w:rFonts w:ascii="Arial" w:hAnsi="Arial" w:cs="Arial"/>
          <w:b/>
          <w:bCs/>
        </w:rPr>
      </w:pPr>
    </w:p>
    <w:p w14:paraId="13A7AD9E" w14:textId="77777777" w:rsidR="002E183A" w:rsidRPr="002B5C2C" w:rsidRDefault="002E183A" w:rsidP="00E97BF5">
      <w:pPr>
        <w:spacing w:after="0" w:line="312" w:lineRule="auto"/>
        <w:jc w:val="both"/>
        <w:rPr>
          <w:rFonts w:ascii="Arial" w:hAnsi="Arial" w:cs="Arial"/>
          <w:b/>
          <w:bCs/>
        </w:rPr>
      </w:pPr>
    </w:p>
    <w:p w14:paraId="22BC415E" w14:textId="77777777" w:rsidR="002E183A" w:rsidRPr="002B5C2C" w:rsidRDefault="002E183A" w:rsidP="00E97BF5">
      <w:pPr>
        <w:spacing w:after="0" w:line="312" w:lineRule="auto"/>
        <w:jc w:val="both"/>
        <w:rPr>
          <w:rFonts w:ascii="Arial" w:hAnsi="Arial" w:cs="Arial"/>
          <w:b/>
          <w:bCs/>
          <w:u w:val="single"/>
        </w:rPr>
      </w:pPr>
      <w:r w:rsidRPr="002B5C2C">
        <w:rPr>
          <w:rFonts w:ascii="Arial" w:hAnsi="Arial" w:cs="Arial"/>
          <w:b/>
          <w:bCs/>
        </w:rPr>
        <w:t>REFERENCIA</w:t>
      </w:r>
      <w:r w:rsidRPr="002B5C2C">
        <w:rPr>
          <w:rFonts w:ascii="Arial" w:hAnsi="Arial" w:cs="Arial"/>
        </w:rPr>
        <w:t xml:space="preserve">: </w:t>
      </w:r>
      <w:r w:rsidRPr="002B5C2C">
        <w:rPr>
          <w:rFonts w:ascii="Arial" w:hAnsi="Arial" w:cs="Arial"/>
        </w:rPr>
        <w:tab/>
        <w:t xml:space="preserve"> </w:t>
      </w:r>
      <w:r w:rsidRPr="002B5C2C">
        <w:rPr>
          <w:rFonts w:ascii="Arial" w:hAnsi="Arial" w:cs="Arial"/>
          <w:b/>
          <w:bCs/>
          <w:u w:val="single"/>
        </w:rPr>
        <w:t xml:space="preserve">RECURSO DE REPOSICIÓN EN SUBSIDIO APELACIÓN CONTRA </w:t>
      </w:r>
    </w:p>
    <w:p w14:paraId="2B248B1E" w14:textId="243B42F8" w:rsidR="002E183A" w:rsidRPr="002B5C2C" w:rsidRDefault="002E183A" w:rsidP="00E97BF5">
      <w:pPr>
        <w:spacing w:after="0" w:line="312" w:lineRule="auto"/>
        <w:ind w:left="2160"/>
        <w:jc w:val="both"/>
        <w:rPr>
          <w:rFonts w:ascii="Arial" w:hAnsi="Arial" w:cs="Arial"/>
        </w:rPr>
      </w:pPr>
      <w:r w:rsidRPr="002B5C2C">
        <w:rPr>
          <w:rFonts w:ascii="Arial" w:hAnsi="Arial" w:cs="Arial"/>
        </w:rPr>
        <w:t xml:space="preserve"> </w:t>
      </w:r>
      <w:r w:rsidRPr="002B5C2C">
        <w:rPr>
          <w:rFonts w:ascii="Arial" w:hAnsi="Arial" w:cs="Arial"/>
          <w:b/>
          <w:bCs/>
          <w:u w:val="single"/>
        </w:rPr>
        <w:t xml:space="preserve">AUTO </w:t>
      </w:r>
      <w:r w:rsidR="0009519D" w:rsidRPr="002B5C2C">
        <w:rPr>
          <w:rFonts w:ascii="Arial" w:hAnsi="Arial" w:cs="Arial"/>
          <w:b/>
          <w:bCs/>
          <w:u w:val="single"/>
        </w:rPr>
        <w:t>No. 649 del 19 de julio de 2024</w:t>
      </w:r>
    </w:p>
    <w:p w14:paraId="37F3624C" w14:textId="77777777" w:rsidR="00F94364" w:rsidRPr="002B5C2C" w:rsidRDefault="00F94364" w:rsidP="00E97BF5">
      <w:pPr>
        <w:spacing w:after="0" w:line="312" w:lineRule="auto"/>
        <w:jc w:val="both"/>
        <w:rPr>
          <w:rFonts w:ascii="Arial" w:hAnsi="Arial" w:cs="Arial"/>
          <w:b/>
          <w:bCs/>
        </w:rPr>
      </w:pPr>
    </w:p>
    <w:p w14:paraId="33F9BAD1" w14:textId="0FF4A890" w:rsidR="002E183A" w:rsidRPr="002B5C2C" w:rsidRDefault="002E183A" w:rsidP="00E97BF5">
      <w:pPr>
        <w:spacing w:after="0" w:line="312" w:lineRule="auto"/>
        <w:jc w:val="both"/>
        <w:rPr>
          <w:rFonts w:ascii="Arial" w:hAnsi="Arial" w:cs="Arial"/>
        </w:rPr>
      </w:pPr>
      <w:r w:rsidRPr="002B5C2C">
        <w:rPr>
          <w:rFonts w:ascii="Arial" w:hAnsi="Arial" w:cs="Arial"/>
          <w:b/>
          <w:bCs/>
        </w:rPr>
        <w:t>PROCESO</w:t>
      </w:r>
      <w:r w:rsidRPr="002B5C2C">
        <w:rPr>
          <w:rFonts w:ascii="Arial" w:hAnsi="Arial" w:cs="Arial"/>
        </w:rPr>
        <w:t>:</w:t>
      </w:r>
      <w:r w:rsidRPr="002B5C2C">
        <w:rPr>
          <w:rFonts w:ascii="Arial" w:hAnsi="Arial" w:cs="Arial"/>
        </w:rPr>
        <w:tab/>
      </w:r>
      <w:r w:rsidRPr="002B5C2C">
        <w:rPr>
          <w:rFonts w:ascii="Arial" w:hAnsi="Arial" w:cs="Arial"/>
        </w:rPr>
        <w:tab/>
        <w:t xml:space="preserve"> REPARACIÓN DIRECTA  </w:t>
      </w:r>
    </w:p>
    <w:p w14:paraId="0E80B141" w14:textId="23E2EE26" w:rsidR="002E183A" w:rsidRPr="002B5C2C" w:rsidRDefault="002E183A" w:rsidP="00E97BF5">
      <w:pPr>
        <w:spacing w:after="0" w:line="312" w:lineRule="auto"/>
        <w:jc w:val="both"/>
        <w:rPr>
          <w:rFonts w:ascii="Arial" w:hAnsi="Arial" w:cs="Arial"/>
        </w:rPr>
      </w:pPr>
      <w:r w:rsidRPr="002B5C2C">
        <w:rPr>
          <w:rFonts w:ascii="Arial" w:hAnsi="Arial" w:cs="Arial"/>
          <w:b/>
          <w:bCs/>
        </w:rPr>
        <w:t>RADICADO</w:t>
      </w:r>
      <w:r w:rsidRPr="002B5C2C">
        <w:rPr>
          <w:rFonts w:ascii="Arial" w:hAnsi="Arial" w:cs="Arial"/>
        </w:rPr>
        <w:t xml:space="preserve">: </w:t>
      </w:r>
      <w:r w:rsidRPr="002B5C2C">
        <w:rPr>
          <w:rFonts w:ascii="Arial" w:hAnsi="Arial" w:cs="Arial"/>
        </w:rPr>
        <w:tab/>
      </w:r>
      <w:r w:rsidRPr="002B5C2C">
        <w:rPr>
          <w:rFonts w:ascii="Arial" w:hAnsi="Arial" w:cs="Arial"/>
        </w:rPr>
        <w:tab/>
        <w:t xml:space="preserve"> </w:t>
      </w:r>
      <w:r w:rsidR="001B50EC" w:rsidRPr="002B5C2C">
        <w:rPr>
          <w:rFonts w:ascii="Arial" w:hAnsi="Arial" w:cs="Arial"/>
        </w:rPr>
        <w:t>76001-3333</w:t>
      </w:r>
      <w:r w:rsidR="0009519D" w:rsidRPr="002B5C2C">
        <w:rPr>
          <w:rFonts w:ascii="Arial" w:hAnsi="Arial" w:cs="Arial"/>
        </w:rPr>
        <w:t>-013-</w:t>
      </w:r>
      <w:r w:rsidR="0009519D" w:rsidRPr="002B5C2C">
        <w:rPr>
          <w:rFonts w:ascii="Arial" w:hAnsi="Arial" w:cs="Arial"/>
          <w:b/>
          <w:bCs/>
          <w:u w:val="single"/>
        </w:rPr>
        <w:t>2016-00056</w:t>
      </w:r>
      <w:r w:rsidR="0009519D" w:rsidRPr="002B5C2C">
        <w:rPr>
          <w:rFonts w:ascii="Arial" w:hAnsi="Arial" w:cs="Arial"/>
        </w:rPr>
        <w:t>-00</w:t>
      </w:r>
    </w:p>
    <w:p w14:paraId="7A1CCF78" w14:textId="70A9D0E0" w:rsidR="002E183A" w:rsidRPr="002B5C2C" w:rsidRDefault="002E183A" w:rsidP="00E97BF5">
      <w:pPr>
        <w:spacing w:after="0" w:line="312" w:lineRule="auto"/>
        <w:jc w:val="both"/>
        <w:rPr>
          <w:rFonts w:ascii="Arial" w:hAnsi="Arial" w:cs="Arial"/>
        </w:rPr>
      </w:pPr>
      <w:r w:rsidRPr="002B5C2C">
        <w:rPr>
          <w:rFonts w:ascii="Arial" w:hAnsi="Arial" w:cs="Arial"/>
          <w:b/>
          <w:bCs/>
        </w:rPr>
        <w:t>DEMANDANTES</w:t>
      </w:r>
      <w:r w:rsidRPr="002B5C2C">
        <w:rPr>
          <w:rFonts w:ascii="Arial" w:hAnsi="Arial" w:cs="Arial"/>
        </w:rPr>
        <w:t xml:space="preserve">: </w:t>
      </w:r>
      <w:r w:rsidRPr="002B5C2C">
        <w:rPr>
          <w:rFonts w:ascii="Arial" w:hAnsi="Arial" w:cs="Arial"/>
        </w:rPr>
        <w:tab/>
        <w:t xml:space="preserve"> </w:t>
      </w:r>
      <w:r w:rsidR="0009519D" w:rsidRPr="002B5C2C">
        <w:rPr>
          <w:rFonts w:ascii="Arial" w:hAnsi="Arial" w:cs="Arial"/>
        </w:rPr>
        <w:t>DIANA CANAVAL PAREDES</w:t>
      </w:r>
      <w:r w:rsidR="006F22B5" w:rsidRPr="002B5C2C">
        <w:rPr>
          <w:rFonts w:ascii="Arial" w:hAnsi="Arial" w:cs="Arial"/>
        </w:rPr>
        <w:t xml:space="preserve"> </w:t>
      </w:r>
      <w:r w:rsidRPr="002B5C2C">
        <w:rPr>
          <w:rFonts w:ascii="Arial" w:hAnsi="Arial" w:cs="Arial"/>
        </w:rPr>
        <w:t>Y OTROS</w:t>
      </w:r>
    </w:p>
    <w:p w14:paraId="3E502C06" w14:textId="5BDCEA8A" w:rsidR="002E183A" w:rsidRPr="002B5C2C" w:rsidRDefault="002E183A" w:rsidP="00E97BF5">
      <w:pPr>
        <w:spacing w:after="0" w:line="312" w:lineRule="auto"/>
        <w:jc w:val="both"/>
        <w:rPr>
          <w:rFonts w:ascii="Arial" w:hAnsi="Arial" w:cs="Arial"/>
        </w:rPr>
      </w:pPr>
      <w:r w:rsidRPr="002B5C2C">
        <w:rPr>
          <w:rFonts w:ascii="Arial" w:hAnsi="Arial" w:cs="Arial"/>
          <w:b/>
          <w:bCs/>
        </w:rPr>
        <w:t>DEMANDADOS</w:t>
      </w:r>
      <w:r w:rsidRPr="002B5C2C">
        <w:rPr>
          <w:rFonts w:ascii="Arial" w:hAnsi="Arial" w:cs="Arial"/>
        </w:rPr>
        <w:t xml:space="preserve">: </w:t>
      </w:r>
      <w:r w:rsidRPr="002B5C2C">
        <w:rPr>
          <w:rFonts w:ascii="Arial" w:hAnsi="Arial" w:cs="Arial"/>
        </w:rPr>
        <w:tab/>
        <w:t xml:space="preserve"> </w:t>
      </w:r>
      <w:r w:rsidR="005438AD" w:rsidRPr="002B5C2C">
        <w:rPr>
          <w:rFonts w:ascii="Arial" w:hAnsi="Arial" w:cs="Arial"/>
        </w:rPr>
        <w:t>DISTRITO ESPECIAL DE SANTIAGO DE CALI</w:t>
      </w:r>
      <w:r w:rsidR="006F22B5" w:rsidRPr="002B5C2C">
        <w:rPr>
          <w:rFonts w:ascii="Arial" w:hAnsi="Arial" w:cs="Arial"/>
        </w:rPr>
        <w:t xml:space="preserve"> Y OTROS</w:t>
      </w:r>
    </w:p>
    <w:p w14:paraId="6B6258D5" w14:textId="64D46C95" w:rsidR="002E183A" w:rsidRPr="002B5C2C" w:rsidRDefault="002E183A" w:rsidP="001E0D1F">
      <w:pPr>
        <w:spacing w:after="0" w:line="312" w:lineRule="auto"/>
        <w:jc w:val="both"/>
      </w:pPr>
      <w:r w:rsidRPr="002B5C2C">
        <w:rPr>
          <w:rFonts w:ascii="Arial" w:hAnsi="Arial" w:cs="Arial"/>
          <w:b/>
          <w:bCs/>
        </w:rPr>
        <w:t>LLAMADO EN GTÍA</w:t>
      </w:r>
      <w:r w:rsidRPr="002B5C2C">
        <w:rPr>
          <w:rFonts w:ascii="Arial" w:hAnsi="Arial" w:cs="Arial"/>
        </w:rPr>
        <w:t xml:space="preserve">.: </w:t>
      </w:r>
      <w:r w:rsidR="005438AD" w:rsidRPr="002B5C2C">
        <w:rPr>
          <w:rFonts w:ascii="Arial" w:hAnsi="Arial" w:cs="Arial"/>
        </w:rPr>
        <w:t>LA PREVISORA S.A. COMPAÑÍA DE SEGUROS</w:t>
      </w:r>
    </w:p>
    <w:p w14:paraId="36F6C1DD" w14:textId="77777777" w:rsidR="002E183A" w:rsidRPr="002B5C2C" w:rsidRDefault="002E183A" w:rsidP="00E97BF5">
      <w:pPr>
        <w:pStyle w:val="Textoindependiente3"/>
        <w:spacing w:after="0" w:line="312" w:lineRule="auto"/>
        <w:jc w:val="both"/>
        <w:rPr>
          <w:rFonts w:ascii="Arial" w:hAnsi="Arial" w:cs="Arial"/>
          <w:b/>
          <w:sz w:val="22"/>
          <w:szCs w:val="22"/>
        </w:rPr>
      </w:pPr>
    </w:p>
    <w:p w14:paraId="33781713" w14:textId="3696DBB8" w:rsidR="002E183A" w:rsidRPr="002B5C2C" w:rsidRDefault="002E183A" w:rsidP="00E97BF5">
      <w:pPr>
        <w:spacing w:after="0" w:line="312" w:lineRule="auto"/>
        <w:jc w:val="both"/>
        <w:rPr>
          <w:rFonts w:ascii="Arial" w:hAnsi="Arial" w:cs="Arial"/>
        </w:rPr>
      </w:pPr>
      <w:r w:rsidRPr="002B5C2C">
        <w:rPr>
          <w:rFonts w:ascii="Arial" w:hAnsi="Arial" w:cs="Arial"/>
          <w:b/>
        </w:rPr>
        <w:t>GUSTAVO ALBERTO HERRERA ÁVILA</w:t>
      </w:r>
      <w:r w:rsidRPr="002B5C2C">
        <w:rPr>
          <w:rFonts w:ascii="Arial" w:hAnsi="Arial" w:cs="Arial"/>
          <w:bCs/>
        </w:rPr>
        <w:t>,</w:t>
      </w:r>
      <w:r w:rsidRPr="002B5C2C">
        <w:rPr>
          <w:rFonts w:ascii="Arial" w:hAnsi="Arial" w:cs="Arial"/>
          <w:b/>
        </w:rPr>
        <w:t xml:space="preserve"> </w:t>
      </w:r>
      <w:r w:rsidRPr="002B5C2C">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5438AD" w:rsidRPr="002B5C2C">
        <w:rPr>
          <w:rFonts w:ascii="Arial" w:hAnsi="Arial" w:cs="Arial"/>
        </w:rPr>
        <w:t xml:space="preserve">de </w:t>
      </w:r>
      <w:r w:rsidR="004267E4" w:rsidRPr="002B5C2C">
        <w:rPr>
          <w:rFonts w:ascii="Arial" w:hAnsi="Arial" w:cs="Arial"/>
          <w:b/>
          <w:bCs/>
        </w:rPr>
        <w:t>LA PREVISORA S.A. COMPAÑÍA DE SEGUROS</w:t>
      </w:r>
      <w:r w:rsidR="000C3DAE" w:rsidRPr="002B5C2C">
        <w:rPr>
          <w:rFonts w:ascii="Arial" w:hAnsi="Arial" w:cs="Arial"/>
        </w:rPr>
        <w:t>, e</w:t>
      </w:r>
      <w:r w:rsidRPr="002B5C2C">
        <w:rPr>
          <w:rFonts w:ascii="Arial" w:hAnsi="Arial" w:cs="Arial"/>
        </w:rPr>
        <w:t xml:space="preserve">ncontrándome dentro del término legal previsto para el efecto, me dirijo a su despacho con el fin de presentar </w:t>
      </w:r>
      <w:r w:rsidRPr="002B5C2C">
        <w:rPr>
          <w:rFonts w:ascii="Arial" w:hAnsi="Arial" w:cs="Arial"/>
          <w:b/>
          <w:bCs/>
        </w:rPr>
        <w:t xml:space="preserve">RECURSO DE REPOSICIÓN Y EN SUBSIDIO APELACIÓN </w:t>
      </w:r>
      <w:r w:rsidRPr="002B5C2C">
        <w:rPr>
          <w:rFonts w:ascii="Arial" w:hAnsi="Arial" w:cs="Arial"/>
        </w:rPr>
        <w:t xml:space="preserve">contra </w:t>
      </w:r>
      <w:r w:rsidR="00587E31" w:rsidRPr="002B5C2C">
        <w:rPr>
          <w:rFonts w:ascii="Arial" w:hAnsi="Arial" w:cs="Arial"/>
        </w:rPr>
        <w:t xml:space="preserve">el auto </w:t>
      </w:r>
      <w:r w:rsidR="00802B29" w:rsidRPr="002B5C2C">
        <w:rPr>
          <w:rFonts w:ascii="Arial" w:hAnsi="Arial" w:cs="Arial"/>
        </w:rPr>
        <w:t xml:space="preserve">interlocutorio No. 649 del 19 de julio de 2024 </w:t>
      </w:r>
      <w:r w:rsidRPr="002B5C2C">
        <w:rPr>
          <w:rFonts w:ascii="Arial" w:hAnsi="Arial" w:cs="Arial"/>
        </w:rPr>
        <w:t xml:space="preserve">proferido por su despacho, </w:t>
      </w:r>
      <w:r w:rsidR="00AC5A14">
        <w:rPr>
          <w:rFonts w:ascii="Arial" w:hAnsi="Arial" w:cs="Arial"/>
        </w:rPr>
        <w:t xml:space="preserve">mediante el cual se negó el llamamiento en garantía realizado por mi procurada a sus coaseguradoras, </w:t>
      </w:r>
      <w:r w:rsidRPr="002B5C2C">
        <w:rPr>
          <w:rFonts w:ascii="Arial" w:hAnsi="Arial" w:cs="Arial"/>
        </w:rPr>
        <w:t xml:space="preserve">a fin de que se </w:t>
      </w:r>
      <w:r w:rsidRPr="002B5C2C">
        <w:rPr>
          <w:rFonts w:ascii="Arial" w:hAnsi="Arial" w:cs="Arial"/>
          <w:b/>
          <w:bCs/>
          <w:u w:val="single"/>
        </w:rPr>
        <w:t>REPONGA</w:t>
      </w:r>
      <w:r w:rsidRPr="002B5C2C">
        <w:rPr>
          <w:rFonts w:ascii="Arial" w:hAnsi="Arial" w:cs="Arial"/>
        </w:rPr>
        <w:t xml:space="preserve"> y</w:t>
      </w:r>
      <w:r w:rsidR="00AC5A14">
        <w:rPr>
          <w:rFonts w:ascii="Arial" w:hAnsi="Arial" w:cs="Arial"/>
        </w:rPr>
        <w:t xml:space="preserve"> consecuentemente</w:t>
      </w:r>
      <w:r w:rsidRPr="002B5C2C">
        <w:rPr>
          <w:rFonts w:ascii="Arial" w:hAnsi="Arial" w:cs="Arial"/>
        </w:rPr>
        <w:t xml:space="preserve"> se </w:t>
      </w:r>
      <w:r w:rsidR="00CA2EE7" w:rsidRPr="002B5C2C">
        <w:rPr>
          <w:rFonts w:ascii="Arial" w:hAnsi="Arial" w:cs="Arial"/>
        </w:rPr>
        <w:t xml:space="preserve">admita el llamamiento en garantía formulado contra </w:t>
      </w:r>
      <w:r w:rsidR="006376A7" w:rsidRPr="002B5C2C">
        <w:rPr>
          <w:rFonts w:ascii="Arial" w:hAnsi="Arial" w:cs="Arial"/>
          <w:color w:val="000000"/>
        </w:rPr>
        <w:t>Mapfre Seguros Generales de Colombia S.A., Axa Colpatria Seguros S.A. y a Allianz Seguros S.A.</w:t>
      </w:r>
      <w:r w:rsidR="0041676E" w:rsidRPr="002B5C2C">
        <w:rPr>
          <w:rFonts w:ascii="Arial" w:hAnsi="Arial" w:cs="Arial"/>
        </w:rPr>
        <w:t>, el cual</w:t>
      </w:r>
      <w:r w:rsidRPr="002B5C2C">
        <w:rPr>
          <w:rFonts w:ascii="Arial" w:hAnsi="Arial" w:cs="Arial"/>
        </w:rPr>
        <w:t xml:space="preserve"> sustento en los siguientes términos:</w:t>
      </w:r>
    </w:p>
    <w:p w14:paraId="2BC06C8A" w14:textId="77777777" w:rsidR="002E183A" w:rsidRPr="002B5C2C" w:rsidRDefault="002E183A" w:rsidP="00E97BF5">
      <w:pPr>
        <w:spacing w:after="0" w:line="312" w:lineRule="auto"/>
        <w:jc w:val="both"/>
        <w:rPr>
          <w:rFonts w:ascii="Arial" w:hAnsi="Arial" w:cs="Arial"/>
        </w:rPr>
      </w:pPr>
    </w:p>
    <w:p w14:paraId="7CBC8427" w14:textId="7F1DF136" w:rsidR="002E183A" w:rsidRPr="002B5C2C" w:rsidRDefault="002E183A" w:rsidP="001E0D1F">
      <w:pPr>
        <w:spacing w:after="0" w:line="312" w:lineRule="auto"/>
        <w:jc w:val="center"/>
        <w:rPr>
          <w:rFonts w:ascii="Arial" w:hAnsi="Arial" w:cs="Arial"/>
        </w:rPr>
      </w:pPr>
      <w:r w:rsidRPr="002B5C2C">
        <w:rPr>
          <w:rFonts w:ascii="Arial" w:hAnsi="Arial" w:cs="Arial"/>
          <w:b/>
          <w:bCs/>
          <w:u w:val="single"/>
        </w:rPr>
        <w:t>CAPÍTULO I. OPORTUNIDAD</w:t>
      </w:r>
    </w:p>
    <w:p w14:paraId="3D58BA6C" w14:textId="77777777" w:rsidR="00F94364" w:rsidRPr="002B5C2C" w:rsidRDefault="00F94364" w:rsidP="00E97BF5">
      <w:pPr>
        <w:spacing w:after="0" w:line="312" w:lineRule="auto"/>
        <w:jc w:val="both"/>
        <w:rPr>
          <w:rFonts w:ascii="Arial" w:hAnsi="Arial" w:cs="Arial"/>
        </w:rPr>
      </w:pPr>
    </w:p>
    <w:p w14:paraId="6726CA7F" w14:textId="1865CB66" w:rsidR="002E183A" w:rsidRPr="002B5C2C" w:rsidRDefault="00AC5A14" w:rsidP="00E97BF5">
      <w:pPr>
        <w:spacing w:after="0" w:line="312" w:lineRule="auto"/>
        <w:jc w:val="both"/>
        <w:rPr>
          <w:rFonts w:ascii="Arial" w:hAnsi="Arial" w:cs="Arial"/>
        </w:rPr>
      </w:pPr>
      <w:r>
        <w:rPr>
          <w:rFonts w:ascii="Arial" w:hAnsi="Arial" w:cs="Arial"/>
        </w:rPr>
        <w:t>El presente escrito se presenta en oportunidad, t</w:t>
      </w:r>
      <w:r w:rsidR="002E183A" w:rsidRPr="002B5C2C">
        <w:rPr>
          <w:rFonts w:ascii="Arial" w:hAnsi="Arial" w:cs="Arial"/>
        </w:rPr>
        <w:t xml:space="preserve">eniendo en consideración que el auto </w:t>
      </w:r>
      <w:r w:rsidR="00073211" w:rsidRPr="002B5C2C">
        <w:rPr>
          <w:rFonts w:ascii="Arial" w:hAnsi="Arial" w:cs="Arial"/>
        </w:rPr>
        <w:t xml:space="preserve">interlocutorio No. 649 </w:t>
      </w:r>
      <w:r w:rsidR="005B3BC8" w:rsidRPr="002B5C2C">
        <w:rPr>
          <w:rFonts w:ascii="Arial" w:hAnsi="Arial" w:cs="Arial"/>
        </w:rPr>
        <w:t xml:space="preserve">del 19 de julio de 2024 </w:t>
      </w:r>
      <w:r w:rsidR="002E183A" w:rsidRPr="002B5C2C">
        <w:rPr>
          <w:rFonts w:ascii="Arial" w:hAnsi="Arial" w:cs="Arial"/>
        </w:rPr>
        <w:t xml:space="preserve">se notificó a través de estados electrónicos publicados en la página oficial del despacho el día </w:t>
      </w:r>
      <w:r w:rsidR="002A4580" w:rsidRPr="002B5C2C">
        <w:rPr>
          <w:rFonts w:ascii="Arial" w:hAnsi="Arial" w:cs="Arial"/>
        </w:rPr>
        <w:t>22 de julio</w:t>
      </w:r>
      <w:r w:rsidR="004F1A28" w:rsidRPr="002B5C2C">
        <w:rPr>
          <w:rFonts w:ascii="Arial" w:hAnsi="Arial" w:cs="Arial"/>
        </w:rPr>
        <w:t xml:space="preserve"> de la misma anualidad</w:t>
      </w:r>
      <w:r w:rsidR="002E183A" w:rsidRPr="002B5C2C">
        <w:rPr>
          <w:rFonts w:ascii="Arial" w:hAnsi="Arial" w:cs="Arial"/>
        </w:rPr>
        <w:t xml:space="preserve"> y </w:t>
      </w:r>
      <w:r w:rsidR="005A07E2" w:rsidRPr="002B5C2C">
        <w:rPr>
          <w:rFonts w:ascii="Arial" w:hAnsi="Arial" w:cs="Arial"/>
        </w:rPr>
        <w:t>de acuerdo con</w:t>
      </w:r>
      <w:r w:rsidR="002E183A" w:rsidRPr="002B5C2C">
        <w:rPr>
          <w:rFonts w:ascii="Arial" w:hAnsi="Arial" w:cs="Arial"/>
        </w:rPr>
        <w:t xml:space="preserve"> lo reseñado en el artículo 302 del Código General del Proceso que dice lo siguiente:</w:t>
      </w:r>
    </w:p>
    <w:p w14:paraId="56334D91" w14:textId="77777777" w:rsidR="002E183A" w:rsidRPr="002B5C2C" w:rsidRDefault="002E183A" w:rsidP="00E97BF5">
      <w:pPr>
        <w:pStyle w:val="NormalWeb"/>
        <w:spacing w:after="0" w:afterAutospacing="0" w:line="312" w:lineRule="auto"/>
        <w:ind w:left="851" w:right="843"/>
        <w:jc w:val="both"/>
        <w:rPr>
          <w:rFonts w:ascii="Arial" w:eastAsiaTheme="minorHAnsi" w:hAnsi="Arial" w:cs="Arial"/>
          <w:i/>
          <w:iCs/>
          <w:sz w:val="20"/>
          <w:szCs w:val="20"/>
          <w:lang w:eastAsia="en-US"/>
        </w:rPr>
      </w:pPr>
      <w:bookmarkStart w:id="3" w:name="302"/>
      <w:r w:rsidRPr="002B5C2C">
        <w:rPr>
          <w:rFonts w:ascii="Arial" w:eastAsiaTheme="minorHAnsi" w:hAnsi="Arial" w:cs="Arial"/>
          <w:i/>
          <w:iCs/>
          <w:sz w:val="20"/>
          <w:szCs w:val="20"/>
          <w:lang w:eastAsia="en-US"/>
        </w:rPr>
        <w:t>“ARTÍCULO 302. EJECUTORIA.</w:t>
      </w:r>
      <w:bookmarkEnd w:id="3"/>
      <w:r w:rsidRPr="002B5C2C">
        <w:rPr>
          <w:rFonts w:ascii="Arial" w:eastAsiaTheme="minorHAnsi" w:hAnsi="Arial" w:cs="Arial"/>
          <w:i/>
          <w:iCs/>
          <w:sz w:val="20"/>
          <w:szCs w:val="20"/>
          <w:lang w:eastAsia="en-US"/>
        </w:rPr>
        <w:t> Las providencias proferidas en audiencia adquieren ejecutoria una vez notificadas, cuando no sean impugnadas o no admitan recursos.</w:t>
      </w:r>
    </w:p>
    <w:p w14:paraId="09338EF1" w14:textId="77777777" w:rsidR="002E183A" w:rsidRPr="002B5C2C" w:rsidRDefault="002E183A" w:rsidP="00E97BF5">
      <w:pPr>
        <w:pStyle w:val="NormalWeb"/>
        <w:spacing w:after="0" w:afterAutospacing="0" w:line="312" w:lineRule="auto"/>
        <w:ind w:left="851" w:right="843"/>
        <w:jc w:val="both"/>
        <w:rPr>
          <w:rFonts w:ascii="Arial" w:eastAsiaTheme="minorHAnsi" w:hAnsi="Arial" w:cs="Arial"/>
          <w:i/>
          <w:iCs/>
          <w:sz w:val="20"/>
          <w:szCs w:val="20"/>
          <w:lang w:eastAsia="en-US"/>
        </w:rPr>
      </w:pPr>
      <w:r w:rsidRPr="002B5C2C">
        <w:rPr>
          <w:rFonts w:ascii="Arial" w:eastAsiaTheme="minorHAnsi" w:hAnsi="Arial" w:cs="Arial"/>
          <w:i/>
          <w:iCs/>
          <w:sz w:val="20"/>
          <w:szCs w:val="20"/>
          <w:lang w:eastAsia="en-US"/>
        </w:rPr>
        <w:t>No obstante, cuando se pida aclaración o complementación de una providencia, solo quedará ejecutoriada una vez resuelta la solicitud.</w:t>
      </w:r>
    </w:p>
    <w:p w14:paraId="19FF702C" w14:textId="77777777" w:rsidR="002E183A" w:rsidRPr="002B5C2C" w:rsidRDefault="002E183A" w:rsidP="00E97BF5">
      <w:pPr>
        <w:pStyle w:val="NormalWeb"/>
        <w:spacing w:after="0" w:afterAutospacing="0" w:line="312" w:lineRule="auto"/>
        <w:ind w:left="851" w:right="843"/>
        <w:jc w:val="both"/>
        <w:rPr>
          <w:rFonts w:ascii="Arial" w:eastAsiaTheme="minorHAnsi" w:hAnsi="Arial" w:cs="Arial"/>
          <w:i/>
          <w:iCs/>
          <w:sz w:val="20"/>
          <w:szCs w:val="20"/>
          <w:lang w:eastAsia="en-US"/>
        </w:rPr>
      </w:pPr>
      <w:r w:rsidRPr="002B5C2C">
        <w:rPr>
          <w:rFonts w:ascii="Arial" w:eastAsiaTheme="minorHAnsi" w:hAnsi="Arial" w:cs="Arial"/>
          <w:i/>
          <w:iCs/>
          <w:sz w:val="20"/>
          <w:szCs w:val="20"/>
          <w:lang w:eastAsia="en-US"/>
        </w:rPr>
        <w:t xml:space="preserve">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 </w:t>
      </w:r>
      <w:r w:rsidRPr="002B5C2C">
        <w:rPr>
          <w:rFonts w:ascii="Arial" w:hAnsi="Arial" w:cs="Arial"/>
          <w:b/>
          <w:bCs/>
          <w:i/>
          <w:iCs/>
          <w:sz w:val="20"/>
          <w:szCs w:val="20"/>
        </w:rPr>
        <w:t>(</w:t>
      </w:r>
      <w:r w:rsidRPr="002B5C2C">
        <w:rPr>
          <w:rFonts w:ascii="Arial" w:eastAsiaTheme="minorHAnsi" w:hAnsi="Arial" w:cs="Arial"/>
          <w:b/>
          <w:bCs/>
          <w:i/>
          <w:iCs/>
          <w:sz w:val="20"/>
          <w:szCs w:val="20"/>
          <w:lang w:eastAsia="en-US"/>
        </w:rPr>
        <w:t>negrilla y subrayado por fuera del texto original)</w:t>
      </w:r>
    </w:p>
    <w:p w14:paraId="69896F2F" w14:textId="77777777" w:rsidR="002E183A" w:rsidRPr="002B5C2C" w:rsidRDefault="002E183A" w:rsidP="00E97BF5">
      <w:pPr>
        <w:spacing w:after="0" w:line="312" w:lineRule="auto"/>
        <w:jc w:val="both"/>
        <w:rPr>
          <w:rFonts w:ascii="Arial" w:hAnsi="Arial" w:cs="Arial"/>
        </w:rPr>
      </w:pPr>
    </w:p>
    <w:p w14:paraId="777EF96F" w14:textId="24DBD7D3" w:rsidR="002E183A" w:rsidRPr="002B5C2C" w:rsidRDefault="002E183A" w:rsidP="00E97BF5">
      <w:pPr>
        <w:spacing w:after="0" w:line="312" w:lineRule="auto"/>
        <w:jc w:val="both"/>
        <w:rPr>
          <w:rFonts w:ascii="Arial" w:hAnsi="Arial" w:cs="Arial"/>
        </w:rPr>
      </w:pPr>
      <w:r w:rsidRPr="002B5C2C">
        <w:rPr>
          <w:rFonts w:ascii="Arial" w:hAnsi="Arial" w:cs="Arial"/>
        </w:rPr>
        <w:lastRenderedPageBreak/>
        <w:t xml:space="preserve">Del texto anterior, se evidencia que las providencias notificadas por fuera de audiencia quedan en firme tres (3) días después de la notificación, en este caso por estados electrónicos, </w:t>
      </w:r>
      <w:r w:rsidR="00B60F60" w:rsidRPr="002B5C2C">
        <w:rPr>
          <w:rFonts w:ascii="Arial" w:hAnsi="Arial" w:cs="Arial"/>
        </w:rPr>
        <w:t xml:space="preserve">sumado a ello, </w:t>
      </w:r>
      <w:r w:rsidR="009D275D" w:rsidRPr="002B5C2C">
        <w:rPr>
          <w:rFonts w:ascii="Arial" w:hAnsi="Arial" w:cs="Arial"/>
        </w:rPr>
        <w:t xml:space="preserve">de conformidad con lo señalado en el artículo </w:t>
      </w:r>
      <w:r w:rsidR="00861E8C" w:rsidRPr="002B5C2C">
        <w:rPr>
          <w:rFonts w:ascii="Arial" w:hAnsi="Arial" w:cs="Arial"/>
        </w:rPr>
        <w:t>318 del</w:t>
      </w:r>
      <w:r w:rsidR="009D275D" w:rsidRPr="002B5C2C">
        <w:rPr>
          <w:rFonts w:ascii="Arial" w:hAnsi="Arial" w:cs="Arial"/>
        </w:rPr>
        <w:t xml:space="preserve"> Código General del Proceso</w:t>
      </w:r>
      <w:r w:rsidR="00861E8C" w:rsidRPr="002B5C2C">
        <w:rPr>
          <w:rFonts w:ascii="Arial" w:hAnsi="Arial" w:cs="Arial"/>
        </w:rPr>
        <w:t xml:space="preserve"> el recurso se debe interponer dentro de los tres (3) días siguientes a la notificación del auto</w:t>
      </w:r>
      <w:r w:rsidR="00D07453">
        <w:rPr>
          <w:rFonts w:ascii="Arial" w:hAnsi="Arial" w:cs="Arial"/>
        </w:rPr>
        <w:t>,</w:t>
      </w:r>
      <w:r w:rsidR="00B60F60" w:rsidRPr="002B5C2C">
        <w:rPr>
          <w:rFonts w:ascii="Arial" w:hAnsi="Arial" w:cs="Arial"/>
        </w:rPr>
        <w:t xml:space="preserve"> por lo tanto, se concluye que el escrito se presenta dentro del término establecido para tal efecto,</w:t>
      </w:r>
    </w:p>
    <w:p w14:paraId="25F4B4E5" w14:textId="77777777" w:rsidR="00F94364" w:rsidRPr="002B5C2C" w:rsidRDefault="00F94364" w:rsidP="00E97BF5">
      <w:pPr>
        <w:spacing w:after="0" w:line="312" w:lineRule="auto"/>
        <w:jc w:val="both"/>
        <w:rPr>
          <w:rFonts w:ascii="Arial" w:hAnsi="Arial" w:cs="Arial"/>
        </w:rPr>
      </w:pPr>
    </w:p>
    <w:p w14:paraId="1D900B41" w14:textId="20F37E70" w:rsidR="00970F67" w:rsidRPr="002B5C2C" w:rsidRDefault="00970F67" w:rsidP="00E97BF5">
      <w:pPr>
        <w:pStyle w:val="Standard"/>
        <w:tabs>
          <w:tab w:val="left" w:pos="426"/>
          <w:tab w:val="left" w:pos="2268"/>
        </w:tabs>
        <w:spacing w:after="0" w:line="312" w:lineRule="auto"/>
        <w:jc w:val="center"/>
        <w:rPr>
          <w:rFonts w:ascii="Arial" w:hAnsi="Arial" w:cs="Arial"/>
          <w:b/>
          <w:bCs/>
          <w:u w:val="single"/>
        </w:rPr>
      </w:pPr>
      <w:r w:rsidRPr="002B5C2C">
        <w:rPr>
          <w:rFonts w:ascii="Arial" w:hAnsi="Arial" w:cs="Arial"/>
          <w:b/>
          <w:bCs/>
          <w:u w:val="single"/>
        </w:rPr>
        <w:t>CAPÍTULO II</w:t>
      </w:r>
      <w:r w:rsidR="00D07453">
        <w:rPr>
          <w:rFonts w:ascii="Arial" w:hAnsi="Arial" w:cs="Arial"/>
          <w:b/>
          <w:bCs/>
          <w:u w:val="single"/>
        </w:rPr>
        <w:t xml:space="preserve">. </w:t>
      </w:r>
      <w:r w:rsidRPr="002B5C2C">
        <w:rPr>
          <w:rFonts w:ascii="Arial" w:hAnsi="Arial" w:cs="Arial"/>
          <w:b/>
          <w:bCs/>
          <w:u w:val="single"/>
        </w:rPr>
        <w:t>PROCEDENCIA</w:t>
      </w:r>
    </w:p>
    <w:p w14:paraId="740A00EF" w14:textId="77777777" w:rsidR="00970F67" w:rsidRPr="002B5C2C" w:rsidRDefault="00970F67" w:rsidP="00E97BF5">
      <w:pPr>
        <w:spacing w:after="0" w:line="312" w:lineRule="auto"/>
        <w:jc w:val="both"/>
        <w:rPr>
          <w:rFonts w:ascii="Arial" w:hAnsi="Arial" w:cs="Arial"/>
        </w:rPr>
      </w:pPr>
    </w:p>
    <w:p w14:paraId="6AFB2CFF" w14:textId="38465EC9" w:rsidR="00255881" w:rsidRPr="002B5C2C" w:rsidRDefault="00255881" w:rsidP="00E97BF5">
      <w:pPr>
        <w:spacing w:after="0" w:line="312" w:lineRule="auto"/>
        <w:jc w:val="both"/>
        <w:rPr>
          <w:rFonts w:ascii="Arial" w:hAnsi="Arial" w:cs="Arial"/>
        </w:rPr>
      </w:pPr>
      <w:r w:rsidRPr="002B5C2C">
        <w:rPr>
          <w:rFonts w:ascii="Arial" w:hAnsi="Arial" w:cs="Arial"/>
        </w:rPr>
        <w:t>En atención a la aplicación del principio de integración normativa, establecido en el artículo 306 del Código de Procedimiento Administrativo y lo Contencioso Administrativo</w:t>
      </w:r>
      <w:r w:rsidR="00D07453">
        <w:rPr>
          <w:rFonts w:ascii="Arial" w:hAnsi="Arial" w:cs="Arial"/>
        </w:rPr>
        <w:t>,</w:t>
      </w:r>
      <w:r w:rsidRPr="002B5C2C">
        <w:rPr>
          <w:rFonts w:ascii="Arial" w:hAnsi="Arial" w:cs="Arial"/>
        </w:rPr>
        <w:t xml:space="preserve"> debe tenerse en cuenta lo establecido en los artículos 318 a 322 del Código General del Proceso y lo señalado en el artículo 242 de la Ley 1437 de 2011</w:t>
      </w:r>
      <w:r w:rsidR="00D07453">
        <w:rPr>
          <w:rFonts w:ascii="Arial" w:hAnsi="Arial" w:cs="Arial"/>
        </w:rPr>
        <w:t>,</w:t>
      </w:r>
      <w:r w:rsidRPr="002B5C2C">
        <w:rPr>
          <w:rFonts w:ascii="Arial" w:hAnsi="Arial" w:cs="Arial"/>
        </w:rPr>
        <w:t xml:space="preserve"> modificado por </w:t>
      </w:r>
      <w:r w:rsidRPr="002B5C2C">
        <w:rPr>
          <w:rFonts w:ascii="Arial" w:hAnsi="Arial" w:cs="Arial"/>
          <w:color w:val="000000"/>
        </w:rPr>
        <w:t xml:space="preserve">el artículo 61 de la Ley 2080 de 2021, </w:t>
      </w:r>
      <w:r w:rsidR="00D07453">
        <w:rPr>
          <w:rFonts w:ascii="Arial" w:hAnsi="Arial" w:cs="Arial"/>
          <w:color w:val="000000"/>
        </w:rPr>
        <w:t xml:space="preserve">los cuales regulan lo pertinente a la interposición de recursos de reposición y apelación contra autos y </w:t>
      </w:r>
      <w:r w:rsidRPr="002B5C2C">
        <w:rPr>
          <w:rFonts w:ascii="Arial" w:hAnsi="Arial" w:cs="Arial"/>
          <w:color w:val="000000"/>
        </w:rPr>
        <w:t>dispone</w:t>
      </w:r>
      <w:r w:rsidR="00D07453">
        <w:rPr>
          <w:rFonts w:ascii="Arial" w:hAnsi="Arial" w:cs="Arial"/>
          <w:color w:val="000000"/>
        </w:rPr>
        <w:t>n</w:t>
      </w:r>
      <w:r w:rsidRPr="002B5C2C">
        <w:rPr>
          <w:rFonts w:ascii="Arial" w:hAnsi="Arial" w:cs="Arial"/>
          <w:color w:val="000000"/>
        </w:rPr>
        <w:t xml:space="preserve">: </w:t>
      </w:r>
    </w:p>
    <w:p w14:paraId="40FA305E" w14:textId="77777777" w:rsidR="00255881" w:rsidRPr="002B5C2C" w:rsidRDefault="00255881" w:rsidP="001E0D1F">
      <w:pPr>
        <w:autoSpaceDE w:val="0"/>
        <w:autoSpaceDN w:val="0"/>
        <w:adjustRightInd w:val="0"/>
        <w:spacing w:after="0" w:line="312" w:lineRule="auto"/>
        <w:jc w:val="both"/>
        <w:rPr>
          <w:rFonts w:ascii="Arial" w:hAnsi="Arial" w:cs="Arial"/>
          <w:color w:val="000000"/>
        </w:rPr>
      </w:pPr>
    </w:p>
    <w:p w14:paraId="591E5832" w14:textId="07416715" w:rsidR="00255881" w:rsidRPr="00896BB9" w:rsidRDefault="00896BB9" w:rsidP="001E0D1F">
      <w:pPr>
        <w:autoSpaceDE w:val="0"/>
        <w:autoSpaceDN w:val="0"/>
        <w:adjustRightInd w:val="0"/>
        <w:spacing w:after="0" w:line="312" w:lineRule="auto"/>
        <w:ind w:left="851" w:right="1165"/>
        <w:jc w:val="both"/>
        <w:rPr>
          <w:rFonts w:ascii="Arial" w:hAnsi="Arial" w:cs="Arial"/>
          <w:i/>
          <w:iCs/>
          <w:color w:val="000000"/>
          <w:sz w:val="20"/>
          <w:szCs w:val="20"/>
        </w:rPr>
      </w:pPr>
      <w:r>
        <w:rPr>
          <w:rFonts w:ascii="Arial" w:hAnsi="Arial" w:cs="Arial"/>
          <w:i/>
          <w:iCs/>
          <w:color w:val="000000"/>
          <w:sz w:val="20"/>
          <w:szCs w:val="20"/>
        </w:rPr>
        <w:t xml:space="preserve">“(…) </w:t>
      </w:r>
      <w:r w:rsidR="00255881" w:rsidRPr="00896BB9">
        <w:rPr>
          <w:rFonts w:ascii="Arial" w:hAnsi="Arial" w:cs="Arial"/>
          <w:i/>
          <w:iCs/>
          <w:color w:val="000000"/>
          <w:sz w:val="20"/>
          <w:szCs w:val="20"/>
        </w:rPr>
        <w:t xml:space="preserve">El recurso de reposición procede contra todos los autos, salvo norma legal en contrario. </w:t>
      </w:r>
    </w:p>
    <w:p w14:paraId="7C2A4C07" w14:textId="77777777" w:rsidR="00255881" w:rsidRPr="00896BB9" w:rsidRDefault="00255881" w:rsidP="001E0D1F">
      <w:pPr>
        <w:autoSpaceDE w:val="0"/>
        <w:autoSpaceDN w:val="0"/>
        <w:adjustRightInd w:val="0"/>
        <w:spacing w:after="0" w:line="312" w:lineRule="auto"/>
        <w:ind w:left="851" w:right="1165"/>
        <w:jc w:val="both"/>
        <w:rPr>
          <w:rFonts w:ascii="Arial" w:hAnsi="Arial" w:cs="Arial"/>
          <w:i/>
          <w:iCs/>
          <w:color w:val="000000"/>
          <w:sz w:val="20"/>
          <w:szCs w:val="20"/>
        </w:rPr>
      </w:pPr>
    </w:p>
    <w:p w14:paraId="7DB3AEE3" w14:textId="77777777" w:rsidR="00255881" w:rsidRPr="00896BB9" w:rsidRDefault="00255881" w:rsidP="00286F4E">
      <w:pPr>
        <w:spacing w:after="0" w:line="312" w:lineRule="auto"/>
        <w:ind w:left="851" w:right="1165"/>
        <w:jc w:val="both"/>
        <w:rPr>
          <w:rFonts w:ascii="Arial" w:hAnsi="Arial" w:cs="Arial"/>
          <w:i/>
          <w:iCs/>
          <w:sz w:val="20"/>
          <w:szCs w:val="20"/>
        </w:rPr>
      </w:pPr>
      <w:r w:rsidRPr="00896BB9">
        <w:rPr>
          <w:rFonts w:ascii="Arial" w:hAnsi="Arial" w:cs="Arial"/>
          <w:i/>
          <w:iCs/>
          <w:color w:val="000000"/>
          <w:sz w:val="20"/>
          <w:szCs w:val="20"/>
        </w:rPr>
        <w:t>En cuanto a su oportunidad y trámite, se aplicará lo dispuesto en el Código General del Proceso.</w:t>
      </w:r>
    </w:p>
    <w:p w14:paraId="71492E87" w14:textId="77777777" w:rsidR="00255881" w:rsidRPr="00896BB9" w:rsidRDefault="00255881" w:rsidP="00286F4E">
      <w:pPr>
        <w:spacing w:after="0" w:line="312" w:lineRule="auto"/>
        <w:ind w:left="851" w:right="1165"/>
        <w:jc w:val="both"/>
        <w:rPr>
          <w:rFonts w:ascii="Arial" w:hAnsi="Arial" w:cs="Arial"/>
          <w:i/>
          <w:iCs/>
          <w:sz w:val="20"/>
          <w:szCs w:val="20"/>
        </w:rPr>
      </w:pPr>
    </w:p>
    <w:p w14:paraId="1F8AD8D2" w14:textId="77777777" w:rsidR="00255881" w:rsidRPr="001E0D1F" w:rsidRDefault="00255881" w:rsidP="001E0D1F">
      <w:pPr>
        <w:autoSpaceDE w:val="0"/>
        <w:autoSpaceDN w:val="0"/>
        <w:adjustRightInd w:val="0"/>
        <w:spacing w:after="0" w:line="312" w:lineRule="auto"/>
        <w:ind w:right="-7"/>
        <w:jc w:val="both"/>
        <w:rPr>
          <w:rFonts w:ascii="Arial" w:hAnsi="Arial" w:cs="Arial"/>
          <w:color w:val="000000"/>
          <w:sz w:val="21"/>
          <w:szCs w:val="21"/>
        </w:rPr>
      </w:pPr>
      <w:r w:rsidRPr="001E0D1F">
        <w:rPr>
          <w:rFonts w:ascii="Arial" w:hAnsi="Arial" w:cs="Arial"/>
          <w:color w:val="000000"/>
          <w:sz w:val="21"/>
          <w:szCs w:val="21"/>
        </w:rPr>
        <w:t xml:space="preserve">De igual forma, se tiene que el artículo 243 del Código de Procedimiento Administrativo y de lo Contencioso Administrativo, subrogado por el artículo 62 de la Ley 2080 de 2021, dispone que: </w:t>
      </w:r>
    </w:p>
    <w:p w14:paraId="2CACB9CC" w14:textId="77777777" w:rsidR="00255881" w:rsidRPr="00896BB9" w:rsidRDefault="00255881" w:rsidP="001E0D1F">
      <w:pPr>
        <w:autoSpaceDE w:val="0"/>
        <w:autoSpaceDN w:val="0"/>
        <w:adjustRightInd w:val="0"/>
        <w:spacing w:after="0" w:line="312" w:lineRule="auto"/>
        <w:ind w:left="851" w:right="1165"/>
        <w:jc w:val="both"/>
        <w:rPr>
          <w:rFonts w:ascii="Arial" w:hAnsi="Arial" w:cs="Arial"/>
          <w:i/>
          <w:iCs/>
          <w:color w:val="000000"/>
          <w:sz w:val="20"/>
          <w:szCs w:val="20"/>
        </w:rPr>
      </w:pPr>
    </w:p>
    <w:p w14:paraId="796081DA" w14:textId="77777777" w:rsidR="00255881" w:rsidRDefault="00255881" w:rsidP="00286F4E">
      <w:pPr>
        <w:autoSpaceDE w:val="0"/>
        <w:autoSpaceDN w:val="0"/>
        <w:adjustRightInd w:val="0"/>
        <w:spacing w:after="0" w:line="312" w:lineRule="auto"/>
        <w:ind w:left="851" w:right="1165"/>
        <w:jc w:val="both"/>
        <w:rPr>
          <w:rFonts w:ascii="Arial" w:hAnsi="Arial" w:cs="Arial"/>
          <w:i/>
          <w:iCs/>
          <w:color w:val="000000"/>
          <w:sz w:val="20"/>
          <w:szCs w:val="20"/>
        </w:rPr>
      </w:pPr>
      <w:r w:rsidRPr="00896BB9">
        <w:rPr>
          <w:rFonts w:ascii="Arial" w:hAnsi="Arial" w:cs="Arial"/>
          <w:i/>
          <w:iCs/>
          <w:color w:val="000000"/>
          <w:sz w:val="20"/>
          <w:szCs w:val="20"/>
        </w:rPr>
        <w:t xml:space="preserve">“Son apelables las sentencias de primera instancia y los siguientes autos proferidos en la misma instancia: </w:t>
      </w:r>
    </w:p>
    <w:p w14:paraId="0C9D4A9A" w14:textId="77777777" w:rsidR="00286F4E" w:rsidRPr="00896BB9" w:rsidRDefault="00286F4E" w:rsidP="001E0D1F">
      <w:pPr>
        <w:autoSpaceDE w:val="0"/>
        <w:autoSpaceDN w:val="0"/>
        <w:adjustRightInd w:val="0"/>
        <w:spacing w:after="0" w:line="312" w:lineRule="auto"/>
        <w:ind w:left="851" w:right="1165"/>
        <w:jc w:val="both"/>
        <w:rPr>
          <w:rFonts w:ascii="Arial" w:hAnsi="Arial" w:cs="Arial"/>
          <w:i/>
          <w:iCs/>
          <w:color w:val="000000"/>
          <w:sz w:val="20"/>
          <w:szCs w:val="20"/>
        </w:rPr>
      </w:pPr>
    </w:p>
    <w:p w14:paraId="066271A0" w14:textId="77777777" w:rsidR="00255881" w:rsidRDefault="00255881" w:rsidP="00286F4E">
      <w:pPr>
        <w:autoSpaceDE w:val="0"/>
        <w:autoSpaceDN w:val="0"/>
        <w:adjustRightInd w:val="0"/>
        <w:spacing w:after="0" w:line="312" w:lineRule="auto"/>
        <w:ind w:left="851" w:right="1165"/>
        <w:jc w:val="both"/>
        <w:rPr>
          <w:rFonts w:ascii="Arial" w:hAnsi="Arial" w:cs="Arial"/>
          <w:i/>
          <w:iCs/>
          <w:color w:val="000000"/>
          <w:sz w:val="20"/>
          <w:szCs w:val="20"/>
        </w:rPr>
      </w:pPr>
      <w:r w:rsidRPr="00896BB9">
        <w:rPr>
          <w:rFonts w:ascii="Arial" w:hAnsi="Arial" w:cs="Arial"/>
          <w:i/>
          <w:iCs/>
          <w:color w:val="000000"/>
          <w:sz w:val="20"/>
          <w:szCs w:val="20"/>
        </w:rPr>
        <w:t xml:space="preserve">(…) </w:t>
      </w:r>
    </w:p>
    <w:p w14:paraId="6C274F93" w14:textId="77777777" w:rsidR="00286F4E" w:rsidRPr="00896BB9" w:rsidRDefault="00286F4E" w:rsidP="001E0D1F">
      <w:pPr>
        <w:autoSpaceDE w:val="0"/>
        <w:autoSpaceDN w:val="0"/>
        <w:adjustRightInd w:val="0"/>
        <w:spacing w:after="0" w:line="312" w:lineRule="auto"/>
        <w:ind w:left="851" w:right="1165"/>
        <w:jc w:val="both"/>
        <w:rPr>
          <w:rFonts w:ascii="Arial" w:hAnsi="Arial" w:cs="Arial"/>
          <w:i/>
          <w:iCs/>
          <w:color w:val="000000"/>
          <w:sz w:val="20"/>
          <w:szCs w:val="20"/>
        </w:rPr>
      </w:pPr>
    </w:p>
    <w:p w14:paraId="09ADAA1F" w14:textId="77777777" w:rsidR="00255881" w:rsidRDefault="00255881" w:rsidP="00286F4E">
      <w:pPr>
        <w:autoSpaceDE w:val="0"/>
        <w:autoSpaceDN w:val="0"/>
        <w:adjustRightInd w:val="0"/>
        <w:spacing w:after="0" w:line="312" w:lineRule="auto"/>
        <w:ind w:left="851" w:right="1165"/>
        <w:jc w:val="both"/>
        <w:rPr>
          <w:rFonts w:ascii="Arial" w:hAnsi="Arial" w:cs="Arial"/>
          <w:b/>
          <w:bCs/>
          <w:i/>
          <w:iCs/>
          <w:color w:val="000000"/>
          <w:sz w:val="20"/>
          <w:szCs w:val="20"/>
          <w:u w:val="single"/>
        </w:rPr>
      </w:pPr>
      <w:r w:rsidRPr="001E0D1F">
        <w:rPr>
          <w:rFonts w:ascii="Arial" w:hAnsi="Arial" w:cs="Arial"/>
          <w:b/>
          <w:bCs/>
          <w:i/>
          <w:iCs/>
          <w:color w:val="000000"/>
          <w:sz w:val="20"/>
          <w:szCs w:val="20"/>
          <w:u w:val="single"/>
        </w:rPr>
        <w:t xml:space="preserve">6. El que niegue la intervención de terceros. </w:t>
      </w:r>
    </w:p>
    <w:p w14:paraId="6674E97F" w14:textId="77777777" w:rsidR="00286F4E" w:rsidRPr="001E0D1F" w:rsidRDefault="00286F4E" w:rsidP="001E0D1F">
      <w:pPr>
        <w:autoSpaceDE w:val="0"/>
        <w:autoSpaceDN w:val="0"/>
        <w:adjustRightInd w:val="0"/>
        <w:spacing w:after="0" w:line="312" w:lineRule="auto"/>
        <w:ind w:left="851" w:right="1165"/>
        <w:jc w:val="both"/>
        <w:rPr>
          <w:rFonts w:ascii="Arial" w:hAnsi="Arial" w:cs="Arial"/>
          <w:b/>
          <w:bCs/>
          <w:i/>
          <w:iCs/>
          <w:color w:val="000000"/>
          <w:sz w:val="20"/>
          <w:szCs w:val="20"/>
          <w:u w:val="single"/>
        </w:rPr>
      </w:pPr>
    </w:p>
    <w:p w14:paraId="66641411" w14:textId="5C19E19E" w:rsidR="00255881" w:rsidRPr="00896BB9" w:rsidRDefault="00255881" w:rsidP="001E0D1F">
      <w:pPr>
        <w:autoSpaceDE w:val="0"/>
        <w:autoSpaceDN w:val="0"/>
        <w:adjustRightInd w:val="0"/>
        <w:spacing w:after="0" w:line="312" w:lineRule="auto"/>
        <w:ind w:left="851" w:right="1165"/>
        <w:jc w:val="both"/>
        <w:rPr>
          <w:rFonts w:ascii="Arial" w:hAnsi="Arial" w:cs="Arial"/>
          <w:i/>
          <w:iCs/>
          <w:color w:val="000000"/>
          <w:sz w:val="20"/>
          <w:szCs w:val="20"/>
        </w:rPr>
      </w:pPr>
      <w:r w:rsidRPr="00896BB9">
        <w:rPr>
          <w:rFonts w:ascii="Arial" w:hAnsi="Arial" w:cs="Arial"/>
          <w:i/>
          <w:iCs/>
          <w:color w:val="000000"/>
          <w:sz w:val="20"/>
          <w:szCs w:val="20"/>
        </w:rPr>
        <w:t>(…)</w:t>
      </w:r>
      <w:r w:rsidR="00896BB9">
        <w:rPr>
          <w:rFonts w:ascii="Arial" w:hAnsi="Arial" w:cs="Arial"/>
          <w:i/>
          <w:iCs/>
          <w:color w:val="000000"/>
          <w:sz w:val="20"/>
          <w:szCs w:val="20"/>
        </w:rPr>
        <w:t>”</w:t>
      </w:r>
      <w:r w:rsidR="00286F4E">
        <w:rPr>
          <w:rFonts w:ascii="Arial" w:hAnsi="Arial" w:cs="Arial"/>
          <w:i/>
          <w:iCs/>
          <w:color w:val="000000"/>
          <w:sz w:val="20"/>
          <w:szCs w:val="20"/>
        </w:rPr>
        <w:t>.</w:t>
      </w:r>
    </w:p>
    <w:p w14:paraId="2862C1D8" w14:textId="77777777" w:rsidR="00255881" w:rsidRPr="002B5C2C" w:rsidRDefault="00255881" w:rsidP="00E97BF5">
      <w:pPr>
        <w:spacing w:after="0" w:line="312" w:lineRule="auto"/>
        <w:jc w:val="both"/>
        <w:rPr>
          <w:rFonts w:ascii="Arial" w:hAnsi="Arial" w:cs="Arial"/>
          <w:color w:val="000000"/>
        </w:rPr>
      </w:pPr>
    </w:p>
    <w:p w14:paraId="2593D0D9" w14:textId="049377D1" w:rsidR="00255881" w:rsidRPr="002B5C2C" w:rsidRDefault="00255881" w:rsidP="00E97BF5">
      <w:pPr>
        <w:spacing w:after="0" w:line="312" w:lineRule="auto"/>
        <w:jc w:val="both"/>
        <w:rPr>
          <w:rFonts w:ascii="Arial" w:hAnsi="Arial" w:cs="Arial"/>
          <w:color w:val="000000"/>
        </w:rPr>
      </w:pPr>
      <w:r w:rsidRPr="002B5C2C">
        <w:rPr>
          <w:rFonts w:ascii="Arial" w:hAnsi="Arial" w:cs="Arial"/>
          <w:color w:val="000000"/>
        </w:rPr>
        <w:t>Por lo anterior, y en la medida en que el auto que se recur</w:t>
      </w:r>
      <w:r w:rsidR="00286F4E">
        <w:rPr>
          <w:rFonts w:ascii="Arial" w:hAnsi="Arial" w:cs="Arial"/>
          <w:color w:val="000000"/>
        </w:rPr>
        <w:t>r</w:t>
      </w:r>
      <w:r w:rsidRPr="002B5C2C">
        <w:rPr>
          <w:rFonts w:ascii="Arial" w:hAnsi="Arial" w:cs="Arial"/>
          <w:color w:val="000000"/>
        </w:rPr>
        <w:t>e negó la intervención de terceros,</w:t>
      </w:r>
      <w:r w:rsidR="00284CC8" w:rsidRPr="002B5C2C">
        <w:rPr>
          <w:rFonts w:ascii="Arial" w:hAnsi="Arial" w:cs="Arial"/>
          <w:color w:val="000000"/>
        </w:rPr>
        <w:t xml:space="preserve"> concretamente </w:t>
      </w:r>
      <w:r w:rsidR="00286F4E">
        <w:rPr>
          <w:rFonts w:ascii="Arial" w:hAnsi="Arial" w:cs="Arial"/>
          <w:color w:val="000000"/>
        </w:rPr>
        <w:t>negó</w:t>
      </w:r>
      <w:r w:rsidR="006376A7" w:rsidRPr="002B5C2C">
        <w:rPr>
          <w:rFonts w:ascii="Arial" w:hAnsi="Arial" w:cs="Arial"/>
          <w:color w:val="000000"/>
        </w:rPr>
        <w:t xml:space="preserve"> el llamamiento en garantía formulado por mi prohijada a </w:t>
      </w:r>
      <w:r w:rsidR="007564B4">
        <w:rPr>
          <w:rFonts w:ascii="Arial" w:hAnsi="Arial" w:cs="Arial"/>
          <w:color w:val="000000"/>
        </w:rPr>
        <w:t xml:space="preserve">las coaseguradoras </w:t>
      </w:r>
      <w:r w:rsidR="006376A7" w:rsidRPr="002B5C2C">
        <w:rPr>
          <w:rFonts w:ascii="Arial" w:hAnsi="Arial" w:cs="Arial"/>
          <w:color w:val="000000"/>
        </w:rPr>
        <w:t>Mapfre Seguros Generales de Colombia S.A., Axa Colpatria Seguros S.A. y a Allianz Seguros S.A.</w:t>
      </w:r>
      <w:r w:rsidR="00286F4E">
        <w:rPr>
          <w:rFonts w:ascii="Arial" w:hAnsi="Arial" w:cs="Arial"/>
          <w:b/>
          <w:bCs/>
        </w:rPr>
        <w:t>;</w:t>
      </w:r>
      <w:r w:rsidRPr="002B5C2C">
        <w:rPr>
          <w:rFonts w:ascii="Arial" w:hAnsi="Arial" w:cs="Arial"/>
          <w:color w:val="000000"/>
        </w:rPr>
        <w:t xml:space="preserve"> el presente recurso de reposición y en subsidio de apelación resulta procedente de conformidad con la normatividad anteriormente señalada.</w:t>
      </w:r>
    </w:p>
    <w:p w14:paraId="0AEE7755" w14:textId="77777777" w:rsidR="00F94364" w:rsidRPr="002B5C2C" w:rsidRDefault="00F94364" w:rsidP="00E97BF5">
      <w:pPr>
        <w:spacing w:after="0" w:line="312" w:lineRule="auto"/>
        <w:jc w:val="both"/>
        <w:rPr>
          <w:rFonts w:ascii="Arial" w:hAnsi="Arial" w:cs="Arial"/>
        </w:rPr>
      </w:pPr>
    </w:p>
    <w:p w14:paraId="14749A2E" w14:textId="7D2370D8" w:rsidR="002E183A" w:rsidRPr="002B5C2C" w:rsidRDefault="002E183A" w:rsidP="00E97BF5">
      <w:pPr>
        <w:pStyle w:val="Standard"/>
        <w:tabs>
          <w:tab w:val="left" w:pos="426"/>
          <w:tab w:val="left" w:pos="2268"/>
        </w:tabs>
        <w:spacing w:after="0" w:line="312" w:lineRule="auto"/>
        <w:jc w:val="center"/>
        <w:rPr>
          <w:rFonts w:ascii="Arial" w:hAnsi="Arial" w:cs="Arial"/>
          <w:b/>
          <w:bCs/>
          <w:u w:val="single"/>
        </w:rPr>
      </w:pPr>
      <w:r w:rsidRPr="002B5C2C">
        <w:rPr>
          <w:rFonts w:ascii="Arial" w:hAnsi="Arial" w:cs="Arial"/>
          <w:b/>
          <w:bCs/>
          <w:u w:val="single"/>
        </w:rPr>
        <w:t>CAPÍTULO I</w:t>
      </w:r>
      <w:r w:rsidR="00CD557F" w:rsidRPr="002B5C2C">
        <w:rPr>
          <w:rFonts w:ascii="Arial" w:hAnsi="Arial" w:cs="Arial"/>
          <w:b/>
          <w:bCs/>
          <w:u w:val="single"/>
        </w:rPr>
        <w:t>I</w:t>
      </w:r>
      <w:r w:rsidRPr="002B5C2C">
        <w:rPr>
          <w:rFonts w:ascii="Arial" w:hAnsi="Arial" w:cs="Arial"/>
          <w:b/>
          <w:bCs/>
          <w:u w:val="single"/>
        </w:rPr>
        <w:t xml:space="preserve">. MANIFESTACIÓN DE </w:t>
      </w:r>
      <w:r w:rsidR="00CD557F" w:rsidRPr="002B5C2C">
        <w:rPr>
          <w:rFonts w:ascii="Arial" w:hAnsi="Arial" w:cs="Arial"/>
          <w:b/>
          <w:bCs/>
          <w:u w:val="single"/>
        </w:rPr>
        <w:t xml:space="preserve">INCONFORMIDAD CONTRA EL AUTO </w:t>
      </w:r>
      <w:r w:rsidR="006376A7" w:rsidRPr="002B5C2C">
        <w:rPr>
          <w:rFonts w:ascii="Arial" w:hAnsi="Arial" w:cs="Arial"/>
          <w:b/>
          <w:bCs/>
          <w:u w:val="single"/>
        </w:rPr>
        <w:t>INTERLOCUTORIO No. 649 del 19 de julio de 2024</w:t>
      </w:r>
    </w:p>
    <w:p w14:paraId="584B8BAF" w14:textId="77777777" w:rsidR="002E183A" w:rsidRPr="002B5C2C" w:rsidRDefault="002E183A" w:rsidP="00E97BF5">
      <w:pPr>
        <w:pStyle w:val="Standard"/>
        <w:tabs>
          <w:tab w:val="left" w:pos="426"/>
          <w:tab w:val="left" w:pos="2268"/>
        </w:tabs>
        <w:spacing w:after="0" w:line="312" w:lineRule="auto"/>
        <w:ind w:left="1080"/>
        <w:rPr>
          <w:rFonts w:ascii="Arial" w:hAnsi="Arial" w:cs="Arial"/>
          <w:b/>
          <w:bCs/>
          <w:u w:val="single"/>
        </w:rPr>
      </w:pPr>
    </w:p>
    <w:p w14:paraId="07E25AF4" w14:textId="0A0E3B26" w:rsidR="000D07CE" w:rsidRPr="002B5C2C" w:rsidRDefault="002E183A" w:rsidP="00E97BF5">
      <w:pPr>
        <w:pStyle w:val="Default"/>
        <w:spacing w:line="312" w:lineRule="auto"/>
        <w:ind w:right="49"/>
        <w:jc w:val="both"/>
        <w:rPr>
          <w:sz w:val="22"/>
          <w:szCs w:val="22"/>
        </w:rPr>
      </w:pPr>
      <w:r w:rsidRPr="002B5C2C">
        <w:rPr>
          <w:color w:val="auto"/>
          <w:sz w:val="22"/>
          <w:szCs w:val="22"/>
        </w:rPr>
        <w:t xml:space="preserve">No </w:t>
      </w:r>
      <w:r w:rsidR="00856B12" w:rsidRPr="002B5C2C">
        <w:rPr>
          <w:color w:val="auto"/>
          <w:sz w:val="22"/>
          <w:szCs w:val="22"/>
        </w:rPr>
        <w:t xml:space="preserve">se </w:t>
      </w:r>
      <w:r w:rsidRPr="002B5C2C">
        <w:rPr>
          <w:color w:val="auto"/>
          <w:sz w:val="22"/>
          <w:szCs w:val="22"/>
        </w:rPr>
        <w:t>compart</w:t>
      </w:r>
      <w:r w:rsidR="00856B12" w:rsidRPr="002B5C2C">
        <w:rPr>
          <w:color w:val="auto"/>
          <w:sz w:val="22"/>
          <w:szCs w:val="22"/>
        </w:rPr>
        <w:t>e</w:t>
      </w:r>
      <w:r w:rsidRPr="002B5C2C">
        <w:rPr>
          <w:color w:val="auto"/>
          <w:sz w:val="22"/>
          <w:szCs w:val="22"/>
        </w:rPr>
        <w:t xml:space="preserve"> la decisi</w:t>
      </w:r>
      <w:r w:rsidR="00276E81" w:rsidRPr="002B5C2C">
        <w:rPr>
          <w:color w:val="auto"/>
          <w:sz w:val="22"/>
          <w:szCs w:val="22"/>
        </w:rPr>
        <w:t>ón</w:t>
      </w:r>
      <w:r w:rsidRPr="002B5C2C">
        <w:rPr>
          <w:color w:val="auto"/>
          <w:sz w:val="22"/>
          <w:szCs w:val="22"/>
        </w:rPr>
        <w:t xml:space="preserve"> adoptada por el despacho en el sentido de </w:t>
      </w:r>
      <w:r w:rsidR="000D07CE" w:rsidRPr="002B5C2C">
        <w:rPr>
          <w:color w:val="auto"/>
          <w:sz w:val="22"/>
          <w:szCs w:val="22"/>
        </w:rPr>
        <w:t xml:space="preserve">negar el llamamiento en garantía </w:t>
      </w:r>
      <w:r w:rsidR="000D07CE" w:rsidRPr="002B5C2C">
        <w:rPr>
          <w:sz w:val="22"/>
          <w:szCs w:val="22"/>
        </w:rPr>
        <w:t>formulado por mi prohijada a Mapfre Seguros Generales de Colombia S.A., Axa Colpatria Seguros S.A. y a Allianz Seguros S.A.</w:t>
      </w:r>
      <w:r w:rsidR="00286F4E">
        <w:rPr>
          <w:sz w:val="22"/>
          <w:szCs w:val="22"/>
        </w:rPr>
        <w:t>,</w:t>
      </w:r>
      <w:r w:rsidR="0017621F" w:rsidRPr="002B5C2C">
        <w:rPr>
          <w:sz w:val="22"/>
          <w:szCs w:val="22"/>
        </w:rPr>
        <w:t xml:space="preserve"> </w:t>
      </w:r>
      <w:r w:rsidR="000D07CE" w:rsidRPr="002B5C2C">
        <w:rPr>
          <w:sz w:val="22"/>
          <w:szCs w:val="22"/>
        </w:rPr>
        <w:t>bajo el argumento que no se allegó copia aut</w:t>
      </w:r>
      <w:r w:rsidR="00286F4E">
        <w:rPr>
          <w:sz w:val="22"/>
          <w:szCs w:val="22"/>
        </w:rPr>
        <w:t>é</w:t>
      </w:r>
      <w:r w:rsidR="000D07CE" w:rsidRPr="002B5C2C">
        <w:rPr>
          <w:sz w:val="22"/>
          <w:szCs w:val="22"/>
        </w:rPr>
        <w:t xml:space="preserve">ntica del contrato de seguros materializado en la </w:t>
      </w:r>
      <w:r w:rsidR="00C83D59" w:rsidRPr="002B5C2C">
        <w:rPr>
          <w:sz w:val="22"/>
          <w:szCs w:val="22"/>
        </w:rPr>
        <w:t>Póliza Responsabilidad Civil No. 1008053</w:t>
      </w:r>
      <w:r w:rsidR="00286F4E">
        <w:rPr>
          <w:sz w:val="22"/>
          <w:szCs w:val="22"/>
        </w:rPr>
        <w:t>; t</w:t>
      </w:r>
      <w:r w:rsidR="002445F4" w:rsidRPr="002B5C2C">
        <w:rPr>
          <w:sz w:val="22"/>
          <w:szCs w:val="22"/>
        </w:rPr>
        <w:t xml:space="preserve">oda vez que </w:t>
      </w:r>
      <w:r w:rsidR="00A82BB6" w:rsidRPr="002B5C2C">
        <w:rPr>
          <w:sz w:val="22"/>
          <w:szCs w:val="22"/>
        </w:rPr>
        <w:t xml:space="preserve">los documentos aportados se presumen auténticos </w:t>
      </w:r>
      <w:r w:rsidR="00D268B3" w:rsidRPr="002B5C2C">
        <w:rPr>
          <w:sz w:val="22"/>
          <w:szCs w:val="22"/>
        </w:rPr>
        <w:t xml:space="preserve">en virtud de lo consagrado en </w:t>
      </w:r>
      <w:r w:rsidR="006C38AF" w:rsidRPr="002B5C2C">
        <w:rPr>
          <w:sz w:val="22"/>
          <w:szCs w:val="22"/>
        </w:rPr>
        <w:t xml:space="preserve">el </w:t>
      </w:r>
      <w:r w:rsidR="00161260" w:rsidRPr="002B5C2C">
        <w:rPr>
          <w:sz w:val="22"/>
          <w:szCs w:val="22"/>
        </w:rPr>
        <w:t>artículo</w:t>
      </w:r>
      <w:r w:rsidR="006C38AF" w:rsidRPr="002B5C2C">
        <w:rPr>
          <w:sz w:val="22"/>
          <w:szCs w:val="22"/>
        </w:rPr>
        <w:t xml:space="preserve"> 244 </w:t>
      </w:r>
      <w:r w:rsidR="006C38AF" w:rsidRPr="002B5C2C">
        <w:rPr>
          <w:sz w:val="22"/>
          <w:szCs w:val="22"/>
        </w:rPr>
        <w:lastRenderedPageBreak/>
        <w:t xml:space="preserve">del </w:t>
      </w:r>
      <w:r w:rsidR="00161260" w:rsidRPr="002B5C2C">
        <w:rPr>
          <w:sz w:val="22"/>
          <w:szCs w:val="22"/>
        </w:rPr>
        <w:t>Código</w:t>
      </w:r>
      <w:r w:rsidR="006C38AF" w:rsidRPr="002B5C2C">
        <w:rPr>
          <w:sz w:val="22"/>
          <w:szCs w:val="22"/>
        </w:rPr>
        <w:t xml:space="preserve"> General del </w:t>
      </w:r>
      <w:r w:rsidR="0024256F" w:rsidRPr="002B5C2C">
        <w:rPr>
          <w:sz w:val="22"/>
          <w:szCs w:val="22"/>
        </w:rPr>
        <w:t>P</w:t>
      </w:r>
      <w:r w:rsidR="006C38AF" w:rsidRPr="002B5C2C">
        <w:rPr>
          <w:sz w:val="22"/>
          <w:szCs w:val="22"/>
        </w:rPr>
        <w:t>roces</w:t>
      </w:r>
      <w:r w:rsidR="00286F4E">
        <w:rPr>
          <w:sz w:val="22"/>
          <w:szCs w:val="22"/>
        </w:rPr>
        <w:t>o, aplicable</w:t>
      </w:r>
      <w:r w:rsidR="006C38AF" w:rsidRPr="002B5C2C">
        <w:rPr>
          <w:sz w:val="22"/>
          <w:szCs w:val="22"/>
        </w:rPr>
        <w:t xml:space="preserve"> por remisión </w:t>
      </w:r>
      <w:r w:rsidR="00837B7D" w:rsidRPr="002B5C2C">
        <w:rPr>
          <w:sz w:val="22"/>
          <w:szCs w:val="22"/>
        </w:rPr>
        <w:t>expresa</w:t>
      </w:r>
      <w:r w:rsidR="00D268B3" w:rsidRPr="002B5C2C">
        <w:rPr>
          <w:sz w:val="22"/>
          <w:szCs w:val="22"/>
        </w:rPr>
        <w:t xml:space="preserve"> </w:t>
      </w:r>
      <w:r w:rsidR="00674986" w:rsidRPr="002B5C2C">
        <w:rPr>
          <w:sz w:val="22"/>
          <w:szCs w:val="22"/>
        </w:rPr>
        <w:t xml:space="preserve">del artículo 306 </w:t>
      </w:r>
      <w:r w:rsidR="006C38AF" w:rsidRPr="002B5C2C">
        <w:rPr>
          <w:sz w:val="22"/>
          <w:szCs w:val="22"/>
        </w:rPr>
        <w:t xml:space="preserve">del </w:t>
      </w:r>
      <w:r w:rsidR="00161260" w:rsidRPr="002B5C2C">
        <w:rPr>
          <w:sz w:val="22"/>
          <w:szCs w:val="22"/>
        </w:rPr>
        <w:t>CPACA</w:t>
      </w:r>
      <w:r w:rsidR="00FC6AFA" w:rsidRPr="002B5C2C">
        <w:rPr>
          <w:sz w:val="22"/>
          <w:szCs w:val="22"/>
        </w:rPr>
        <w:t xml:space="preserve">. Es decir que </w:t>
      </w:r>
      <w:r w:rsidR="00161260" w:rsidRPr="002B5C2C">
        <w:rPr>
          <w:sz w:val="22"/>
          <w:szCs w:val="22"/>
        </w:rPr>
        <w:t>el requerimiento realizado por el despacho era totalmente innecesario y excesi</w:t>
      </w:r>
      <w:r w:rsidR="00CB5D9E" w:rsidRPr="002B5C2C">
        <w:rPr>
          <w:sz w:val="22"/>
          <w:szCs w:val="22"/>
        </w:rPr>
        <w:t>vo</w:t>
      </w:r>
      <w:r w:rsidR="0024256F" w:rsidRPr="002B5C2C">
        <w:rPr>
          <w:sz w:val="22"/>
          <w:szCs w:val="22"/>
        </w:rPr>
        <w:t xml:space="preserve">, máxime </w:t>
      </w:r>
      <w:r w:rsidR="00FC6AFA" w:rsidRPr="002B5C2C">
        <w:rPr>
          <w:sz w:val="22"/>
          <w:szCs w:val="22"/>
        </w:rPr>
        <w:t xml:space="preserve">cuando </w:t>
      </w:r>
      <w:r w:rsidR="0024256F" w:rsidRPr="002B5C2C">
        <w:rPr>
          <w:sz w:val="22"/>
          <w:szCs w:val="22"/>
        </w:rPr>
        <w:t>en la oportunidad procesal</w:t>
      </w:r>
      <w:r w:rsidR="00286F4E">
        <w:rPr>
          <w:sz w:val="22"/>
          <w:szCs w:val="22"/>
        </w:rPr>
        <w:t xml:space="preserve"> </w:t>
      </w:r>
      <w:r w:rsidR="0024256F" w:rsidRPr="002B5C2C">
        <w:rPr>
          <w:sz w:val="22"/>
          <w:szCs w:val="22"/>
        </w:rPr>
        <w:t xml:space="preserve">se </w:t>
      </w:r>
      <w:r w:rsidR="00FC6AFA" w:rsidRPr="002B5C2C">
        <w:rPr>
          <w:sz w:val="22"/>
          <w:szCs w:val="22"/>
        </w:rPr>
        <w:t>adjuntaron</w:t>
      </w:r>
      <w:r w:rsidR="00FC15D7" w:rsidRPr="002B5C2C">
        <w:rPr>
          <w:sz w:val="22"/>
          <w:szCs w:val="22"/>
        </w:rPr>
        <w:t xml:space="preserve"> todos los documentos que soporta</w:t>
      </w:r>
      <w:r w:rsidR="00FC6AFA" w:rsidRPr="002B5C2C">
        <w:rPr>
          <w:sz w:val="22"/>
          <w:szCs w:val="22"/>
        </w:rPr>
        <w:t>n</w:t>
      </w:r>
      <w:r w:rsidR="00FC15D7" w:rsidRPr="002B5C2C">
        <w:rPr>
          <w:sz w:val="22"/>
          <w:szCs w:val="22"/>
        </w:rPr>
        <w:t xml:space="preserve"> la solicitud del llamamiento en garantía</w:t>
      </w:r>
      <w:r w:rsidR="00FC6AFA" w:rsidRPr="002B5C2C">
        <w:rPr>
          <w:sz w:val="22"/>
          <w:szCs w:val="22"/>
        </w:rPr>
        <w:t xml:space="preserve"> y corresponden a documentos emitidos por esta entidad aseguradora</w:t>
      </w:r>
      <w:r w:rsidR="00286F4E">
        <w:rPr>
          <w:sz w:val="22"/>
          <w:szCs w:val="22"/>
        </w:rPr>
        <w:t>,</w:t>
      </w:r>
      <w:r w:rsidR="00FC6AFA" w:rsidRPr="002B5C2C">
        <w:rPr>
          <w:sz w:val="22"/>
          <w:szCs w:val="22"/>
        </w:rPr>
        <w:t xml:space="preserve"> por lo que se </w:t>
      </w:r>
      <w:r w:rsidR="00286F4E">
        <w:rPr>
          <w:sz w:val="22"/>
          <w:szCs w:val="22"/>
        </w:rPr>
        <w:t xml:space="preserve">presume </w:t>
      </w:r>
      <w:r w:rsidR="00FC6AFA" w:rsidRPr="002B5C2C">
        <w:rPr>
          <w:sz w:val="22"/>
          <w:szCs w:val="22"/>
        </w:rPr>
        <w:t>su autenticidad.</w:t>
      </w:r>
      <w:r w:rsidR="00FC15D7" w:rsidRPr="002B5C2C">
        <w:rPr>
          <w:sz w:val="22"/>
          <w:szCs w:val="22"/>
        </w:rPr>
        <w:t xml:space="preserve"> Así las cosas, </w:t>
      </w:r>
      <w:r w:rsidR="008D5F13" w:rsidRPr="002B5C2C">
        <w:rPr>
          <w:sz w:val="22"/>
          <w:szCs w:val="22"/>
        </w:rPr>
        <w:t xml:space="preserve">el despacho deberá revocar el numeral sexto del auto interlocutorio No. </w:t>
      </w:r>
      <w:r w:rsidR="000A1CAE" w:rsidRPr="002B5C2C">
        <w:rPr>
          <w:sz w:val="22"/>
          <w:szCs w:val="22"/>
        </w:rPr>
        <w:t xml:space="preserve">649 del 19 de julio de 2024 y en su lugar admitir el llamamiento en garantía formulado por mi representada contra las coaseguradoras al considerar que incurrió en un excesivo ritual manifiesto </w:t>
      </w:r>
      <w:r w:rsidR="000443BD">
        <w:rPr>
          <w:sz w:val="22"/>
          <w:szCs w:val="22"/>
        </w:rPr>
        <w:t>el</w:t>
      </w:r>
      <w:r w:rsidR="000A1CAE" w:rsidRPr="002B5C2C">
        <w:rPr>
          <w:sz w:val="22"/>
          <w:szCs w:val="22"/>
        </w:rPr>
        <w:t xml:space="preserve"> cual </w:t>
      </w:r>
      <w:r w:rsidR="004A08E5" w:rsidRPr="002B5C2C">
        <w:rPr>
          <w:sz w:val="22"/>
          <w:szCs w:val="22"/>
        </w:rPr>
        <w:t xml:space="preserve">estaría afectando directamente el derecho de acceso a la administración de justicia. </w:t>
      </w:r>
    </w:p>
    <w:p w14:paraId="13438A6E" w14:textId="77777777" w:rsidR="006C38AF" w:rsidRPr="002B5C2C" w:rsidRDefault="006C38AF" w:rsidP="00E97BF5">
      <w:pPr>
        <w:pStyle w:val="Default"/>
        <w:spacing w:line="312" w:lineRule="auto"/>
        <w:ind w:right="49"/>
        <w:jc w:val="both"/>
        <w:rPr>
          <w:sz w:val="22"/>
          <w:szCs w:val="22"/>
        </w:rPr>
      </w:pPr>
    </w:p>
    <w:p w14:paraId="2D306546" w14:textId="3B0F7D0D" w:rsidR="00737E32" w:rsidRPr="002B5C2C" w:rsidRDefault="00286F4E" w:rsidP="00737E32">
      <w:pPr>
        <w:pStyle w:val="Standard"/>
        <w:tabs>
          <w:tab w:val="left" w:pos="426"/>
          <w:tab w:val="left" w:pos="2268"/>
        </w:tabs>
        <w:spacing w:after="0" w:line="312" w:lineRule="auto"/>
        <w:jc w:val="both"/>
        <w:rPr>
          <w:rFonts w:ascii="Arial" w:hAnsi="Arial" w:cs="Arial"/>
        </w:rPr>
      </w:pPr>
      <w:r>
        <w:rPr>
          <w:rFonts w:ascii="Arial" w:hAnsi="Arial" w:cs="Arial"/>
        </w:rPr>
        <w:t>Al respecto, e</w:t>
      </w:r>
      <w:r w:rsidR="00737E32" w:rsidRPr="002B5C2C">
        <w:rPr>
          <w:rFonts w:ascii="Arial" w:hAnsi="Arial" w:cs="Arial"/>
        </w:rPr>
        <w:t xml:space="preserve">l despacho manifiesta que se niega el llamamiento en garantía formulado por </w:t>
      </w:r>
      <w:r w:rsidR="00737E32" w:rsidRPr="002B5C2C">
        <w:rPr>
          <w:rFonts w:ascii="Arial" w:hAnsi="Arial" w:cs="Arial"/>
          <w:b/>
          <w:bCs/>
        </w:rPr>
        <w:t>LA PREVISORA S.A. COMPAÑÍA DE SEGUROS</w:t>
      </w:r>
      <w:r w:rsidR="00737E32" w:rsidRPr="002B5C2C">
        <w:rPr>
          <w:rFonts w:ascii="Arial" w:hAnsi="Arial" w:cs="Arial"/>
        </w:rPr>
        <w:t xml:space="preserve"> al considerar que no se dio cumplimiento a lo requerido en el auto interlocutorio No. 450 del 07 de junio de 2016. Sin embargo, tal apreciación no es cierta, </w:t>
      </w:r>
      <w:r>
        <w:rPr>
          <w:rFonts w:ascii="Arial" w:hAnsi="Arial" w:cs="Arial"/>
        </w:rPr>
        <w:t>pues</w:t>
      </w:r>
      <w:r w:rsidR="00737E32" w:rsidRPr="002B5C2C">
        <w:rPr>
          <w:rFonts w:ascii="Arial" w:hAnsi="Arial" w:cs="Arial"/>
        </w:rPr>
        <w:t xml:space="preserve"> no es que la compañía aseguradora no haya dado cumplimiento, sino que los documentos aportados gozan de total autenticidad y por lo tanto deben ser tenidos en cuenta sin ninguna restricción, </w:t>
      </w:r>
      <w:r>
        <w:rPr>
          <w:rFonts w:ascii="Arial" w:hAnsi="Arial" w:cs="Arial"/>
        </w:rPr>
        <w:t>dado que</w:t>
      </w:r>
      <w:r w:rsidRPr="002B5C2C">
        <w:rPr>
          <w:rFonts w:ascii="Arial" w:hAnsi="Arial" w:cs="Arial"/>
        </w:rPr>
        <w:t xml:space="preserve"> </w:t>
      </w:r>
      <w:r w:rsidR="00737E32" w:rsidRPr="002B5C2C">
        <w:rPr>
          <w:rFonts w:ascii="Arial" w:hAnsi="Arial" w:cs="Arial"/>
        </w:rPr>
        <w:t>hasta la fecha no se ha presentado tacha frente a estos. En consecuencia, el despacho no ha indicado las razones concretas bajo las cuales considera que la póliza aportada no goza de autenticidad</w:t>
      </w:r>
      <w:r>
        <w:rPr>
          <w:rFonts w:ascii="Arial" w:hAnsi="Arial" w:cs="Arial"/>
        </w:rPr>
        <w:t>,</w:t>
      </w:r>
      <w:r w:rsidR="00737E32" w:rsidRPr="002B5C2C">
        <w:rPr>
          <w:rFonts w:ascii="Arial" w:hAnsi="Arial" w:cs="Arial"/>
        </w:rPr>
        <w:t xml:space="preserve"> violando con ello el derecho de defensa y contradicción de mi procurada</w:t>
      </w:r>
      <w:r>
        <w:rPr>
          <w:rFonts w:ascii="Arial" w:hAnsi="Arial" w:cs="Arial"/>
        </w:rPr>
        <w:t>.</w:t>
      </w:r>
      <w:r w:rsidR="00737E32" w:rsidRPr="002B5C2C">
        <w:rPr>
          <w:rFonts w:ascii="Arial" w:hAnsi="Arial" w:cs="Arial"/>
        </w:rPr>
        <w:t xml:space="preserve"> </w:t>
      </w:r>
    </w:p>
    <w:p w14:paraId="110F2231" w14:textId="77777777" w:rsidR="00737E32" w:rsidRDefault="00737E32" w:rsidP="00E97BF5">
      <w:pPr>
        <w:pStyle w:val="Default"/>
        <w:spacing w:line="312" w:lineRule="auto"/>
        <w:ind w:right="49"/>
        <w:jc w:val="both"/>
        <w:rPr>
          <w:sz w:val="22"/>
          <w:szCs w:val="22"/>
        </w:rPr>
      </w:pPr>
    </w:p>
    <w:p w14:paraId="3D178725" w14:textId="513B1890" w:rsidR="000D07CE" w:rsidRPr="002B5C2C" w:rsidRDefault="00286F4E" w:rsidP="00E97BF5">
      <w:pPr>
        <w:pStyle w:val="Default"/>
        <w:spacing w:line="312" w:lineRule="auto"/>
        <w:ind w:right="49"/>
        <w:jc w:val="both"/>
        <w:rPr>
          <w:color w:val="auto"/>
          <w:sz w:val="22"/>
          <w:szCs w:val="22"/>
        </w:rPr>
      </w:pPr>
      <w:r>
        <w:rPr>
          <w:sz w:val="22"/>
          <w:szCs w:val="22"/>
        </w:rPr>
        <w:t xml:space="preserve">Sobre el particular, </w:t>
      </w:r>
      <w:r w:rsidR="00737E32">
        <w:rPr>
          <w:sz w:val="22"/>
          <w:szCs w:val="22"/>
        </w:rPr>
        <w:t>e</w:t>
      </w:r>
      <w:r w:rsidR="006F2ECB" w:rsidRPr="002B5C2C">
        <w:rPr>
          <w:sz w:val="22"/>
          <w:szCs w:val="22"/>
        </w:rPr>
        <w:t xml:space="preserve">l artículo 244 del Código General del Proceso señala lo siguiente: </w:t>
      </w:r>
    </w:p>
    <w:p w14:paraId="3E0A80CD" w14:textId="77777777" w:rsidR="006F2ECB" w:rsidRPr="002B5C2C" w:rsidRDefault="006F2ECB" w:rsidP="00E97BF5">
      <w:pPr>
        <w:spacing w:after="0" w:line="312" w:lineRule="auto"/>
        <w:ind w:left="851" w:right="843"/>
        <w:rPr>
          <w:rFonts w:ascii="Arial" w:hAnsi="Arial" w:cs="Arial"/>
          <w:i/>
          <w:iCs/>
          <w:sz w:val="20"/>
          <w:szCs w:val="20"/>
        </w:rPr>
      </w:pPr>
    </w:p>
    <w:p w14:paraId="69C3021C" w14:textId="758793D0" w:rsidR="006F2ECB" w:rsidRDefault="006F2ECB" w:rsidP="00E97BF5">
      <w:pPr>
        <w:spacing w:after="0" w:line="312" w:lineRule="auto"/>
        <w:ind w:left="851" w:right="843"/>
        <w:jc w:val="both"/>
        <w:rPr>
          <w:rFonts w:ascii="Arial" w:hAnsi="Arial" w:cs="Arial"/>
          <w:i/>
          <w:iCs/>
          <w:sz w:val="20"/>
          <w:szCs w:val="20"/>
        </w:rPr>
      </w:pPr>
      <w:bookmarkStart w:id="4" w:name="244"/>
      <w:r w:rsidRPr="002B5C2C">
        <w:rPr>
          <w:rFonts w:ascii="Arial" w:hAnsi="Arial" w:cs="Arial"/>
          <w:i/>
          <w:iCs/>
          <w:sz w:val="20"/>
          <w:szCs w:val="20"/>
        </w:rPr>
        <w:t xml:space="preserve">(…) </w:t>
      </w:r>
      <w:r w:rsidRPr="006F2ECB">
        <w:rPr>
          <w:rFonts w:ascii="Arial" w:hAnsi="Arial" w:cs="Arial"/>
          <w:i/>
          <w:iCs/>
          <w:sz w:val="20"/>
          <w:szCs w:val="20"/>
        </w:rPr>
        <w:t>ARTÍCULO 244. DOCUMENTO AUTÉNTICO.</w:t>
      </w:r>
      <w:bookmarkEnd w:id="4"/>
      <w:r w:rsidRPr="006F2ECB">
        <w:rPr>
          <w:rFonts w:ascii="Arial" w:hAnsi="Arial" w:cs="Arial"/>
          <w:i/>
          <w:iCs/>
          <w:sz w:val="20"/>
          <w:szCs w:val="20"/>
        </w:rPr>
        <w:t> </w:t>
      </w:r>
      <w:r w:rsidRPr="006F2ECB">
        <w:rPr>
          <w:rFonts w:ascii="Arial" w:hAnsi="Arial" w:cs="Arial"/>
          <w:b/>
          <w:bCs/>
          <w:i/>
          <w:iCs/>
          <w:sz w:val="20"/>
          <w:szCs w:val="20"/>
          <w:u w:val="single"/>
        </w:rPr>
        <w:t>Es auténtico un documento cuando existe certeza sobre la persona que lo ha elaborado, manuscrito, firmado, o cuando exista certeza respecto de la persona a quien se atribuya el documento</w:t>
      </w:r>
      <w:r w:rsidRPr="006F2ECB">
        <w:rPr>
          <w:rFonts w:ascii="Arial" w:hAnsi="Arial" w:cs="Arial"/>
          <w:i/>
          <w:iCs/>
          <w:sz w:val="20"/>
          <w:szCs w:val="20"/>
        </w:rPr>
        <w:t>.</w:t>
      </w:r>
    </w:p>
    <w:p w14:paraId="3FFB1E98" w14:textId="77777777" w:rsidR="00286F4E" w:rsidRPr="006F2ECB" w:rsidRDefault="00286F4E" w:rsidP="00E97BF5">
      <w:pPr>
        <w:spacing w:after="0" w:line="312" w:lineRule="auto"/>
        <w:ind w:left="851" w:right="843"/>
        <w:jc w:val="both"/>
        <w:rPr>
          <w:rFonts w:ascii="Arial" w:hAnsi="Arial" w:cs="Arial"/>
          <w:i/>
          <w:iCs/>
          <w:sz w:val="20"/>
          <w:szCs w:val="20"/>
        </w:rPr>
      </w:pPr>
    </w:p>
    <w:p w14:paraId="7934E3AE" w14:textId="77777777" w:rsidR="006F2ECB" w:rsidRDefault="006F2ECB" w:rsidP="00E97BF5">
      <w:pPr>
        <w:spacing w:after="0" w:line="312" w:lineRule="auto"/>
        <w:ind w:left="851" w:right="843"/>
        <w:jc w:val="both"/>
        <w:rPr>
          <w:rFonts w:ascii="Arial" w:hAnsi="Arial" w:cs="Arial"/>
          <w:i/>
          <w:iCs/>
          <w:sz w:val="20"/>
          <w:szCs w:val="20"/>
        </w:rPr>
      </w:pPr>
      <w:r w:rsidRPr="006F2ECB">
        <w:rPr>
          <w:rFonts w:ascii="Arial" w:hAnsi="Arial" w:cs="Arial"/>
          <w:i/>
          <w:iCs/>
          <w:sz w:val="20"/>
          <w:szCs w:val="20"/>
        </w:rPr>
        <w:t xml:space="preserve">Los documentos públicos y los privados emanados de las partes o de terceros, en original o en copia, elaborados, firmados o manuscritos, y los que contengan la reproducción de la voz o de la imagen, </w:t>
      </w:r>
      <w:r w:rsidRPr="006F2ECB">
        <w:rPr>
          <w:rFonts w:ascii="Arial" w:hAnsi="Arial" w:cs="Arial"/>
          <w:b/>
          <w:bCs/>
          <w:i/>
          <w:iCs/>
          <w:sz w:val="20"/>
          <w:szCs w:val="20"/>
          <w:u w:val="single"/>
        </w:rPr>
        <w:t>se presumen auténticos, mientras no hayan sido tachados de falso o desconocidos, según el caso</w:t>
      </w:r>
      <w:r w:rsidRPr="006F2ECB">
        <w:rPr>
          <w:rFonts w:ascii="Arial" w:hAnsi="Arial" w:cs="Arial"/>
          <w:i/>
          <w:iCs/>
          <w:sz w:val="20"/>
          <w:szCs w:val="20"/>
        </w:rPr>
        <w:t>.</w:t>
      </w:r>
    </w:p>
    <w:p w14:paraId="7C910FE2" w14:textId="77777777" w:rsidR="00286F4E" w:rsidRPr="006F2ECB" w:rsidRDefault="00286F4E" w:rsidP="00E97BF5">
      <w:pPr>
        <w:spacing w:after="0" w:line="312" w:lineRule="auto"/>
        <w:ind w:left="851" w:right="843"/>
        <w:jc w:val="both"/>
        <w:rPr>
          <w:rFonts w:ascii="Arial" w:hAnsi="Arial" w:cs="Arial"/>
          <w:i/>
          <w:iCs/>
          <w:sz w:val="20"/>
          <w:szCs w:val="20"/>
        </w:rPr>
      </w:pPr>
    </w:p>
    <w:p w14:paraId="7D0F7F8C" w14:textId="77777777" w:rsidR="006F2ECB" w:rsidRDefault="006F2ECB" w:rsidP="00E97BF5">
      <w:pPr>
        <w:spacing w:after="0" w:line="312" w:lineRule="auto"/>
        <w:ind w:left="851" w:right="843"/>
        <w:jc w:val="both"/>
        <w:rPr>
          <w:rFonts w:ascii="Arial" w:hAnsi="Arial" w:cs="Arial"/>
          <w:i/>
          <w:iCs/>
          <w:sz w:val="20"/>
          <w:szCs w:val="20"/>
        </w:rPr>
      </w:pPr>
      <w:r w:rsidRPr="006F2ECB">
        <w:rPr>
          <w:rFonts w:ascii="Arial" w:hAnsi="Arial" w:cs="Arial"/>
          <w:i/>
          <w:iCs/>
          <w:sz w:val="20"/>
          <w:szCs w:val="20"/>
        </w:rPr>
        <w:t>También se presumirán auténticos los memoriales presentados para que formen parte del expediente, incluidas las demandas, sus contestaciones, los que impliquen disposición del derecho en litigio y los poderes en caso de sustitución.</w:t>
      </w:r>
    </w:p>
    <w:p w14:paraId="3D07D6CC" w14:textId="77777777" w:rsidR="00286F4E" w:rsidRPr="006F2ECB" w:rsidRDefault="00286F4E" w:rsidP="00E97BF5">
      <w:pPr>
        <w:spacing w:after="0" w:line="312" w:lineRule="auto"/>
        <w:ind w:left="851" w:right="843"/>
        <w:jc w:val="both"/>
        <w:rPr>
          <w:rFonts w:ascii="Arial" w:hAnsi="Arial" w:cs="Arial"/>
          <w:i/>
          <w:iCs/>
          <w:sz w:val="20"/>
          <w:szCs w:val="20"/>
        </w:rPr>
      </w:pPr>
    </w:p>
    <w:p w14:paraId="775205EB" w14:textId="22AE35FD" w:rsidR="006F2ECB" w:rsidRPr="006F2ECB" w:rsidRDefault="006F2ECB" w:rsidP="00E97BF5">
      <w:pPr>
        <w:spacing w:after="0" w:line="312" w:lineRule="auto"/>
        <w:ind w:left="851" w:right="843"/>
        <w:jc w:val="both"/>
        <w:rPr>
          <w:rFonts w:ascii="Arial" w:hAnsi="Arial" w:cs="Arial"/>
          <w:i/>
          <w:iCs/>
          <w:sz w:val="20"/>
          <w:szCs w:val="20"/>
        </w:rPr>
      </w:pPr>
      <w:r w:rsidRPr="002B5C2C">
        <w:rPr>
          <w:rFonts w:ascii="Arial" w:hAnsi="Arial" w:cs="Arial"/>
          <w:i/>
          <w:iCs/>
          <w:sz w:val="20"/>
          <w:szCs w:val="20"/>
        </w:rPr>
        <w:t xml:space="preserve"> (…) </w:t>
      </w:r>
      <w:r w:rsidRPr="002B5C2C">
        <w:rPr>
          <w:rFonts w:ascii="Arial" w:hAnsi="Arial" w:cs="Arial"/>
          <w:b/>
          <w:bCs/>
          <w:i/>
          <w:iCs/>
          <w:sz w:val="20"/>
          <w:szCs w:val="20"/>
          <w:u w:val="single"/>
        </w:rPr>
        <w:t>(negrilla y subrayada por fuera del texto original</w:t>
      </w:r>
      <w:r w:rsidRPr="002B5C2C">
        <w:rPr>
          <w:rFonts w:ascii="Arial" w:hAnsi="Arial" w:cs="Arial"/>
          <w:i/>
          <w:iCs/>
          <w:sz w:val="20"/>
          <w:szCs w:val="20"/>
        </w:rPr>
        <w:t>)</w:t>
      </w:r>
    </w:p>
    <w:p w14:paraId="3BF2D9DB" w14:textId="77777777" w:rsidR="00B20807" w:rsidRPr="002B5C2C" w:rsidRDefault="00B20807" w:rsidP="00E97BF5">
      <w:pPr>
        <w:pStyle w:val="Default"/>
        <w:spacing w:line="312" w:lineRule="auto"/>
        <w:ind w:right="49"/>
        <w:jc w:val="both"/>
        <w:rPr>
          <w:sz w:val="22"/>
          <w:szCs w:val="22"/>
        </w:rPr>
      </w:pPr>
    </w:p>
    <w:p w14:paraId="26DD7347" w14:textId="20BA6C1C" w:rsidR="008B48BA" w:rsidRPr="002B5C2C" w:rsidRDefault="004C4DAB" w:rsidP="00E97BF5">
      <w:pPr>
        <w:pStyle w:val="Standard"/>
        <w:tabs>
          <w:tab w:val="left" w:pos="426"/>
          <w:tab w:val="left" w:pos="2268"/>
        </w:tabs>
        <w:spacing w:after="0" w:line="312" w:lineRule="auto"/>
        <w:jc w:val="both"/>
        <w:rPr>
          <w:rFonts w:ascii="Arial" w:eastAsia="Times New Roman" w:hAnsi="Arial" w:cs="Arial"/>
        </w:rPr>
      </w:pPr>
      <w:r w:rsidRPr="002B5C2C">
        <w:rPr>
          <w:rFonts w:ascii="Arial" w:eastAsia="Times New Roman" w:hAnsi="Arial" w:cs="Arial"/>
        </w:rPr>
        <w:t>En la misma línea el Consejo de Estado precisó lo siguiente</w:t>
      </w:r>
    </w:p>
    <w:p w14:paraId="479068DD" w14:textId="77777777" w:rsidR="004C4DAB" w:rsidRPr="002B5C2C" w:rsidRDefault="004C4DAB" w:rsidP="00E97BF5">
      <w:pPr>
        <w:pStyle w:val="Standard"/>
        <w:tabs>
          <w:tab w:val="left" w:pos="426"/>
          <w:tab w:val="left" w:pos="2268"/>
        </w:tabs>
        <w:spacing w:after="0" w:line="312" w:lineRule="auto"/>
        <w:jc w:val="both"/>
        <w:rPr>
          <w:rFonts w:ascii="Arial" w:eastAsia="Times New Roman" w:hAnsi="Arial" w:cs="Arial"/>
        </w:rPr>
      </w:pPr>
    </w:p>
    <w:p w14:paraId="330ED9AD" w14:textId="6EFE29D5" w:rsidR="004C4DAB" w:rsidRPr="002B5C2C" w:rsidRDefault="004C4DAB" w:rsidP="00E97BF5">
      <w:pPr>
        <w:pStyle w:val="Standard"/>
        <w:tabs>
          <w:tab w:val="left" w:pos="426"/>
          <w:tab w:val="left" w:pos="2268"/>
        </w:tabs>
        <w:spacing w:after="0" w:line="312" w:lineRule="auto"/>
        <w:ind w:left="851" w:right="843"/>
        <w:jc w:val="both"/>
        <w:rPr>
          <w:rFonts w:ascii="Arial" w:eastAsia="Times New Roman" w:hAnsi="Arial" w:cs="Arial"/>
          <w:i/>
          <w:iCs/>
          <w:sz w:val="20"/>
          <w:szCs w:val="20"/>
        </w:rPr>
      </w:pPr>
      <w:r w:rsidRPr="002B5C2C">
        <w:rPr>
          <w:rFonts w:ascii="Arial" w:eastAsia="Times New Roman" w:hAnsi="Arial" w:cs="Arial"/>
          <w:i/>
          <w:iCs/>
          <w:sz w:val="20"/>
          <w:szCs w:val="20"/>
        </w:rPr>
        <w:t xml:space="preserve">DEBIDO PROCESO – Derecho fundamental. Aplicación / DOCUMENTO PUBLICO – Presunción de autenticidad / PODER Y CONTESTACION DE LA DEMANDA – Son documentos públicos que se presumen auténticos / DERECHO DE DEFENSA – </w:t>
      </w:r>
      <w:r w:rsidRPr="001E0D1F">
        <w:rPr>
          <w:rFonts w:ascii="Arial" w:eastAsia="Times New Roman" w:hAnsi="Arial" w:cs="Arial"/>
          <w:b/>
          <w:bCs/>
          <w:i/>
          <w:iCs/>
          <w:sz w:val="20"/>
          <w:szCs w:val="20"/>
          <w:u w:val="single"/>
        </w:rPr>
        <w:t>Se vulnera cuando no se tiene en cuenta la contestación de la demanda cuando ésta se presume auténtica</w:t>
      </w:r>
      <w:r w:rsidRPr="002B5C2C">
        <w:rPr>
          <w:rFonts w:ascii="Arial" w:eastAsia="Times New Roman" w:hAnsi="Arial" w:cs="Arial"/>
          <w:i/>
          <w:iCs/>
          <w:sz w:val="20"/>
          <w:szCs w:val="20"/>
        </w:rPr>
        <w:t xml:space="preserve">  Sobre el particular, se precisa que el debido proceso consagrado en el artículo 29 de la Constitución Política es una garantía y un derecho fundamental de aplicación inmediata, compuesto por tres ejes fundamentales: (i) el derecho de defensa y contradicción, (</w:t>
      </w:r>
      <w:proofErr w:type="spellStart"/>
      <w:r w:rsidRPr="002B5C2C">
        <w:rPr>
          <w:rFonts w:ascii="Arial" w:eastAsia="Times New Roman" w:hAnsi="Arial" w:cs="Arial"/>
          <w:i/>
          <w:iCs/>
          <w:sz w:val="20"/>
          <w:szCs w:val="20"/>
        </w:rPr>
        <w:t>ii</w:t>
      </w:r>
      <w:proofErr w:type="spellEnd"/>
      <w:r w:rsidRPr="002B5C2C">
        <w:rPr>
          <w:rFonts w:ascii="Arial" w:eastAsia="Times New Roman" w:hAnsi="Arial" w:cs="Arial"/>
          <w:i/>
          <w:iCs/>
          <w:sz w:val="20"/>
          <w:szCs w:val="20"/>
        </w:rPr>
        <w:t xml:space="preserve">) el impulso y trámite de los procesos conforme con las formas </w:t>
      </w:r>
      <w:r w:rsidRPr="002B5C2C">
        <w:rPr>
          <w:rFonts w:ascii="Arial" w:eastAsia="Times New Roman" w:hAnsi="Arial" w:cs="Arial"/>
          <w:i/>
          <w:iCs/>
          <w:sz w:val="20"/>
          <w:szCs w:val="20"/>
        </w:rPr>
        <w:lastRenderedPageBreak/>
        <w:t>establecidas para cada juicio o procedimiento y (</w:t>
      </w:r>
      <w:proofErr w:type="spellStart"/>
      <w:r w:rsidRPr="002B5C2C">
        <w:rPr>
          <w:rFonts w:ascii="Arial" w:eastAsia="Times New Roman" w:hAnsi="Arial" w:cs="Arial"/>
          <w:i/>
          <w:iCs/>
          <w:sz w:val="20"/>
          <w:szCs w:val="20"/>
        </w:rPr>
        <w:t>iii</w:t>
      </w:r>
      <w:proofErr w:type="spellEnd"/>
      <w:r w:rsidRPr="002B5C2C">
        <w:rPr>
          <w:rFonts w:ascii="Arial" w:eastAsia="Times New Roman" w:hAnsi="Arial" w:cs="Arial"/>
          <w:i/>
          <w:iCs/>
          <w:sz w:val="20"/>
          <w:szCs w:val="20"/>
        </w:rPr>
        <w:t xml:space="preserve">) que el asunto sea resuelto por el juez o funcionario competente para ello. </w:t>
      </w:r>
      <w:r w:rsidRPr="002B5C2C">
        <w:rPr>
          <w:rFonts w:ascii="Arial" w:eastAsia="Times New Roman" w:hAnsi="Arial" w:cs="Arial"/>
          <w:b/>
          <w:bCs/>
          <w:i/>
          <w:iCs/>
          <w:sz w:val="20"/>
          <w:szCs w:val="20"/>
          <w:u w:val="single"/>
        </w:rPr>
        <w:t>La grave violación de cualquiera de esos ejes comporta la vulneración de esa garantía fundamental</w:t>
      </w:r>
      <w:r w:rsidRPr="002B5C2C">
        <w:rPr>
          <w:rFonts w:ascii="Arial" w:eastAsia="Times New Roman" w:hAnsi="Arial" w:cs="Arial"/>
          <w:i/>
          <w:iCs/>
          <w:sz w:val="20"/>
          <w:szCs w:val="20"/>
        </w:rPr>
        <w:t xml:space="preserve">. De hecho, es la ley, en sentido amplio, la encargada de materializar las reglas derivadas del debido proceso. Los documentos que aportó el Departamento de La Guajira junto con el poder anexo a la contestación de la demanda, a pesar de ser copias simples, conforme con el artículo 252 </w:t>
      </w:r>
      <w:proofErr w:type="spellStart"/>
      <w:r w:rsidRPr="002B5C2C">
        <w:rPr>
          <w:rFonts w:ascii="Arial" w:eastAsia="Times New Roman" w:hAnsi="Arial" w:cs="Arial"/>
          <w:i/>
          <w:iCs/>
          <w:sz w:val="20"/>
          <w:szCs w:val="20"/>
        </w:rPr>
        <w:t>ibídem</w:t>
      </w:r>
      <w:proofErr w:type="spellEnd"/>
      <w:r w:rsidRPr="002B5C2C">
        <w:rPr>
          <w:rFonts w:ascii="Arial" w:eastAsia="Times New Roman" w:hAnsi="Arial" w:cs="Arial"/>
          <w:i/>
          <w:iCs/>
          <w:sz w:val="20"/>
          <w:szCs w:val="20"/>
        </w:rPr>
        <w:t xml:space="preserve"> son documentos de carácter público que se presumen auténticos, y resultan suficientes para acreditar que quien otorgó el poder al abogado Blas Osorio, en representación del departamento, laboraba para la entidad y estaba facultado para el efecto. </w:t>
      </w:r>
      <w:r w:rsidRPr="002B5C2C">
        <w:rPr>
          <w:rFonts w:ascii="Arial" w:eastAsia="Times New Roman" w:hAnsi="Arial" w:cs="Arial"/>
          <w:b/>
          <w:bCs/>
          <w:i/>
          <w:iCs/>
          <w:sz w:val="20"/>
          <w:szCs w:val="20"/>
          <w:u w:val="single"/>
        </w:rPr>
        <w:t>Las copias que aportó la administración departamental junto con el poder y la contestación de la demanda son documentos públicos que no fueron tachados de falsos, y tienen el reconocimiento implícito de quien los aportó, razón por la que no puede descartarse de plano su valor probatorio en la forma como lo hizo el Tribunal</w:t>
      </w:r>
      <w:r w:rsidRPr="002B5C2C">
        <w:rPr>
          <w:rFonts w:ascii="Arial" w:eastAsia="Times New Roman" w:hAnsi="Arial" w:cs="Arial"/>
          <w:i/>
          <w:iCs/>
          <w:sz w:val="20"/>
          <w:szCs w:val="20"/>
        </w:rPr>
        <w:t>. De tal manera que, para la Sala, el hecho de que el Tribunal haya tenido por no contestada la demanda y no presentados los alegatos violó el derecho de defensa del Departamento de La Guajira, razón por la que en esta instancia se le otorgará el valor probatorio suficiente a los anexos del poder aportado junto con la contestación de la demanda, y, en consecuencia, para efectos del presente recurso, se tendrán en cuenta los argumentos esgrimidos en ella y en los alegatos de conclusión</w:t>
      </w:r>
      <w:r w:rsidRPr="002B5C2C">
        <w:rPr>
          <w:rStyle w:val="Refdenotaalpie"/>
          <w:rFonts w:ascii="Arial" w:eastAsia="Times New Roman" w:hAnsi="Arial" w:cs="Arial"/>
          <w:i/>
          <w:iCs/>
          <w:sz w:val="20"/>
          <w:szCs w:val="20"/>
        </w:rPr>
        <w:footnoteReference w:id="1"/>
      </w:r>
      <w:r w:rsidRPr="002B5C2C">
        <w:rPr>
          <w:rFonts w:ascii="Arial" w:eastAsia="Times New Roman" w:hAnsi="Arial" w:cs="Arial"/>
          <w:i/>
          <w:iCs/>
          <w:sz w:val="20"/>
          <w:szCs w:val="20"/>
        </w:rPr>
        <w:t xml:space="preserve"> (…). </w:t>
      </w:r>
      <w:r w:rsidRPr="002B5C2C">
        <w:rPr>
          <w:rFonts w:ascii="Arial" w:hAnsi="Arial" w:cs="Arial"/>
          <w:b/>
          <w:bCs/>
          <w:i/>
          <w:iCs/>
          <w:sz w:val="20"/>
          <w:szCs w:val="20"/>
          <w:u w:val="single"/>
        </w:rPr>
        <w:t>(negrilla y subrayada por fuera del texto original</w:t>
      </w:r>
      <w:r w:rsidRPr="002B5C2C">
        <w:rPr>
          <w:rFonts w:ascii="Arial" w:hAnsi="Arial" w:cs="Arial"/>
          <w:i/>
          <w:iCs/>
          <w:sz w:val="20"/>
          <w:szCs w:val="20"/>
        </w:rPr>
        <w:t>)</w:t>
      </w:r>
    </w:p>
    <w:p w14:paraId="2D61C1E7" w14:textId="77777777" w:rsidR="004C4DAB" w:rsidRPr="002B5C2C" w:rsidRDefault="004C4DAB" w:rsidP="00E97BF5">
      <w:pPr>
        <w:pStyle w:val="Standard"/>
        <w:tabs>
          <w:tab w:val="left" w:pos="426"/>
          <w:tab w:val="left" w:pos="2268"/>
        </w:tabs>
        <w:spacing w:after="0" w:line="312" w:lineRule="auto"/>
        <w:jc w:val="both"/>
        <w:rPr>
          <w:rFonts w:ascii="Arial" w:eastAsia="Times New Roman" w:hAnsi="Arial" w:cs="Arial"/>
        </w:rPr>
      </w:pPr>
    </w:p>
    <w:p w14:paraId="4311ED7C" w14:textId="33E81139" w:rsidR="00873A69" w:rsidRDefault="007B42E4" w:rsidP="00E97BF5">
      <w:pPr>
        <w:pStyle w:val="Standard"/>
        <w:tabs>
          <w:tab w:val="left" w:pos="426"/>
          <w:tab w:val="left" w:pos="2268"/>
        </w:tabs>
        <w:spacing w:after="0" w:line="312" w:lineRule="auto"/>
        <w:jc w:val="both"/>
        <w:rPr>
          <w:rFonts w:ascii="Arial" w:hAnsi="Arial" w:cs="Arial"/>
        </w:rPr>
      </w:pPr>
      <w:r>
        <w:rPr>
          <w:rFonts w:ascii="Arial" w:hAnsi="Arial" w:cs="Arial"/>
        </w:rPr>
        <w:t>La misma</w:t>
      </w:r>
      <w:r>
        <w:rPr>
          <w:rFonts w:ascii="Arial" w:hAnsi="Arial" w:cs="Arial"/>
        </w:rPr>
        <w:t xml:space="preserve"> Corporación en sentencia de Unificación señaló </w:t>
      </w:r>
      <w:r w:rsidR="00617EC0">
        <w:rPr>
          <w:rFonts w:ascii="Arial" w:hAnsi="Arial" w:cs="Arial"/>
        </w:rPr>
        <w:t>sobre el valor probatorio de las copias simples lo siguiente:</w:t>
      </w:r>
    </w:p>
    <w:p w14:paraId="0F7174E5" w14:textId="77777777" w:rsidR="00617EC0" w:rsidRDefault="00617EC0" w:rsidP="00E97BF5">
      <w:pPr>
        <w:pStyle w:val="Standard"/>
        <w:tabs>
          <w:tab w:val="left" w:pos="426"/>
          <w:tab w:val="left" w:pos="2268"/>
        </w:tabs>
        <w:spacing w:after="0" w:line="312" w:lineRule="auto"/>
        <w:jc w:val="both"/>
        <w:rPr>
          <w:rFonts w:ascii="Arial" w:hAnsi="Arial" w:cs="Arial"/>
        </w:rPr>
      </w:pPr>
    </w:p>
    <w:p w14:paraId="63C1C2D8" w14:textId="632A2746" w:rsidR="00617EC0" w:rsidRPr="00EF7A1D" w:rsidRDefault="00EF7A1D" w:rsidP="00EF7A1D">
      <w:pPr>
        <w:pStyle w:val="Standard"/>
        <w:tabs>
          <w:tab w:val="left" w:pos="426"/>
          <w:tab w:val="left" w:pos="2268"/>
        </w:tabs>
        <w:spacing w:after="0" w:line="312" w:lineRule="auto"/>
        <w:ind w:left="851" w:right="843"/>
        <w:jc w:val="both"/>
        <w:rPr>
          <w:rFonts w:ascii="Arial" w:eastAsia="Times New Roman" w:hAnsi="Arial" w:cs="Arial"/>
          <w:i/>
          <w:iCs/>
          <w:sz w:val="20"/>
          <w:szCs w:val="20"/>
        </w:rPr>
      </w:pPr>
      <w:r>
        <w:rPr>
          <w:rFonts w:ascii="Arial" w:hAnsi="Arial" w:cs="Arial"/>
          <w:i/>
          <w:iCs/>
          <w:sz w:val="20"/>
          <w:szCs w:val="20"/>
        </w:rPr>
        <w:t>“</w:t>
      </w:r>
      <w:r w:rsidRPr="00EF7A1D">
        <w:rPr>
          <w:rFonts w:ascii="Arial" w:hAnsi="Arial" w:cs="Arial"/>
          <w:i/>
          <w:iCs/>
          <w:sz w:val="20"/>
          <w:szCs w:val="20"/>
        </w:rPr>
        <w:t xml:space="preserve">La Sala en esta oportunidad, debido a la necesidad de unificar su jurisprudencia, </w:t>
      </w:r>
      <w:r w:rsidRPr="005349E5">
        <w:rPr>
          <w:rFonts w:ascii="Arial" w:hAnsi="Arial" w:cs="Arial"/>
          <w:b/>
          <w:bCs/>
          <w:i/>
          <w:iCs/>
          <w:sz w:val="20"/>
          <w:szCs w:val="20"/>
          <w:u w:val="single"/>
        </w:rPr>
        <w:t>considerará que debe reconocerse valor probatorio a las copias simples, tesis expuesta por las Secciones Segunda y Tercera de esta Corporación</w:t>
      </w:r>
      <w:r w:rsidRPr="00EF7A1D">
        <w:rPr>
          <w:rFonts w:ascii="Arial" w:hAnsi="Arial" w:cs="Arial"/>
          <w:i/>
          <w:iCs/>
          <w:sz w:val="20"/>
          <w:szCs w:val="20"/>
        </w:rPr>
        <w:t xml:space="preserve">, </w:t>
      </w:r>
      <w:r w:rsidRPr="005349E5">
        <w:rPr>
          <w:rFonts w:ascii="Arial" w:hAnsi="Arial" w:cs="Arial"/>
          <w:b/>
          <w:bCs/>
          <w:i/>
          <w:iCs/>
          <w:sz w:val="20"/>
          <w:szCs w:val="20"/>
          <w:u w:val="single"/>
        </w:rPr>
        <w:t>con fundamento en los siguientes argumentos: Respeto por los principios constitucionales como la buena fe y la primacía de lo sustancial sobre lo formal.</w:t>
      </w:r>
      <w:r w:rsidRPr="00EF7A1D">
        <w:rPr>
          <w:rFonts w:ascii="Arial" w:hAnsi="Arial" w:cs="Arial"/>
          <w:i/>
          <w:iCs/>
          <w:sz w:val="20"/>
          <w:szCs w:val="20"/>
        </w:rPr>
        <w:t xml:space="preserve"> </w:t>
      </w:r>
      <w:r w:rsidRPr="005349E5">
        <w:rPr>
          <w:rFonts w:ascii="Arial" w:hAnsi="Arial" w:cs="Arial"/>
          <w:b/>
          <w:bCs/>
          <w:i/>
          <w:iCs/>
          <w:sz w:val="20"/>
          <w:szCs w:val="20"/>
          <w:u w:val="single"/>
        </w:rPr>
        <w:t>La autenticación de las copias tiene por objeto que éstas puedan ser valoradas bajo el criterio de la sana crítica</w:t>
      </w:r>
      <w:r w:rsidRPr="00EF7A1D">
        <w:rPr>
          <w:rFonts w:ascii="Arial" w:hAnsi="Arial" w:cs="Arial"/>
          <w:i/>
          <w:iCs/>
          <w:sz w:val="20"/>
          <w:szCs w:val="20"/>
        </w:rPr>
        <w:t xml:space="preserve"> </w:t>
      </w:r>
      <w:r w:rsidRPr="000F6A50">
        <w:rPr>
          <w:rFonts w:ascii="Arial" w:hAnsi="Arial" w:cs="Arial"/>
          <w:b/>
          <w:bCs/>
          <w:i/>
          <w:iCs/>
          <w:sz w:val="20"/>
          <w:szCs w:val="20"/>
          <w:u w:val="single"/>
        </w:rPr>
        <w:t>como si se tratara de documentos originales</w:t>
      </w:r>
      <w:r w:rsidRPr="00EF7A1D">
        <w:rPr>
          <w:rFonts w:ascii="Arial" w:hAnsi="Arial" w:cs="Arial"/>
          <w:i/>
          <w:iCs/>
          <w:sz w:val="20"/>
          <w:szCs w:val="20"/>
        </w:rPr>
        <w:t xml:space="preserve">, de manera que frente a la parte contra quien se aducen, ese requisito tiene por finalidad garantizar su derecho de defensa, máxime cuando con tal prueba se pretende probar un hecho que en principio se aduce en su contra. No obstante, las copias simples, cuando no son tachadas de falsas por la parte contra la cual se aducen, no sería posible infringir ese interés para exigir el cumplimiento de una formalidad y las partes no podrían desconocer la decisión que con sustento en tal documento se adoptare por cuanto esa conducta atentaría contra el principio de la buena fe e implicaría atentar contra sus propios actos. La desestimación de las copias no autenticadas como pruebas en el proceso contencioso administrativo está inexorablemente unida a la concepción antropológica que no solamente es ajena a la Constitución de 1991, sino diametralmente opuesta a esta última. Dicha medida supone, en efecto, una especie de asunción de que las partes intervinientes en un proceso de esta naturaleza necesariamente actuarán de mala fe, por lo que deben acreditar, que la documentación que presentan no es falsa. Así, en aras de la prevalencia del derecho sustancial sobre el formal y de la garantía del derecho de acceso a la justicia consagrado en los artículos 228 y 229 de la Constitución Política, esta Sala considera que no pueden </w:t>
      </w:r>
      <w:r w:rsidRPr="00EF7A1D">
        <w:rPr>
          <w:rFonts w:ascii="Arial" w:hAnsi="Arial" w:cs="Arial"/>
          <w:i/>
          <w:iCs/>
          <w:sz w:val="20"/>
          <w:szCs w:val="20"/>
        </w:rPr>
        <w:lastRenderedPageBreak/>
        <w:t>aplicarse las formas procesales con excesivo rigorismo y en forma restrictiva, con el fin de desconocer lo que las mismas partes no han hecho, como lo es la autenticidad del documento aportado en copia simple. En ese orden de ideas, las copias simples, en tanto no sean tachadas de falsas por la contraparte, sí tienen valor probatorio, lo que deviene en una especie de “autenticidad tácita” que no es otra cosa que la materialización del principio de buena fe constitucional</w:t>
      </w:r>
      <w:r w:rsidR="000F6A50">
        <w:rPr>
          <w:rStyle w:val="Refdenotaalpie"/>
          <w:rFonts w:ascii="Arial" w:hAnsi="Arial" w:cs="Arial"/>
          <w:i/>
          <w:iCs/>
          <w:sz w:val="20"/>
          <w:szCs w:val="20"/>
        </w:rPr>
        <w:footnoteReference w:id="2"/>
      </w:r>
      <w:r w:rsidRPr="00EF7A1D">
        <w:rPr>
          <w:rFonts w:ascii="Arial" w:hAnsi="Arial" w:cs="Arial"/>
          <w:i/>
          <w:iCs/>
          <w:sz w:val="20"/>
          <w:szCs w:val="20"/>
        </w:rPr>
        <w:t>.</w:t>
      </w:r>
      <w:r>
        <w:rPr>
          <w:rFonts w:ascii="Arial" w:hAnsi="Arial" w:cs="Arial"/>
          <w:i/>
          <w:iCs/>
          <w:sz w:val="20"/>
          <w:szCs w:val="20"/>
        </w:rPr>
        <w:t xml:space="preserve">” </w:t>
      </w:r>
      <w:r w:rsidRPr="002B5C2C">
        <w:rPr>
          <w:rFonts w:ascii="Arial" w:eastAsia="Times New Roman" w:hAnsi="Arial" w:cs="Arial"/>
          <w:i/>
          <w:iCs/>
          <w:sz w:val="20"/>
          <w:szCs w:val="20"/>
        </w:rPr>
        <w:t xml:space="preserve">(…). </w:t>
      </w:r>
      <w:r w:rsidRPr="002B5C2C">
        <w:rPr>
          <w:rFonts w:ascii="Arial" w:hAnsi="Arial" w:cs="Arial"/>
          <w:b/>
          <w:bCs/>
          <w:i/>
          <w:iCs/>
          <w:sz w:val="20"/>
          <w:szCs w:val="20"/>
          <w:u w:val="single"/>
        </w:rPr>
        <w:t>(negrilla y subrayada por fuera del texto original</w:t>
      </w:r>
      <w:r w:rsidRPr="002B5C2C">
        <w:rPr>
          <w:rFonts w:ascii="Arial" w:hAnsi="Arial" w:cs="Arial"/>
          <w:i/>
          <w:iCs/>
          <w:sz w:val="20"/>
          <w:szCs w:val="20"/>
        </w:rPr>
        <w:t>)</w:t>
      </w:r>
    </w:p>
    <w:p w14:paraId="0C37281A" w14:textId="77777777" w:rsidR="00873A69" w:rsidRDefault="00873A69" w:rsidP="00E97BF5">
      <w:pPr>
        <w:pStyle w:val="Standard"/>
        <w:tabs>
          <w:tab w:val="left" w:pos="426"/>
          <w:tab w:val="left" w:pos="2268"/>
        </w:tabs>
        <w:spacing w:after="0" w:line="312" w:lineRule="auto"/>
        <w:jc w:val="both"/>
        <w:rPr>
          <w:rFonts w:ascii="Arial" w:hAnsi="Arial" w:cs="Arial"/>
        </w:rPr>
      </w:pPr>
    </w:p>
    <w:p w14:paraId="0C543135" w14:textId="1A74C1AF" w:rsidR="00286F4E" w:rsidRDefault="0000324F" w:rsidP="00E97BF5">
      <w:pPr>
        <w:pStyle w:val="Standard"/>
        <w:tabs>
          <w:tab w:val="left" w:pos="426"/>
          <w:tab w:val="left" w:pos="2268"/>
        </w:tabs>
        <w:spacing w:after="0" w:line="312" w:lineRule="auto"/>
        <w:jc w:val="both"/>
        <w:rPr>
          <w:rFonts w:ascii="Arial" w:eastAsia="Times New Roman" w:hAnsi="Arial" w:cs="Arial"/>
          <w:i/>
          <w:iCs/>
        </w:rPr>
      </w:pPr>
      <w:r w:rsidRPr="002B5C2C">
        <w:rPr>
          <w:rFonts w:ascii="Arial" w:hAnsi="Arial" w:cs="Arial"/>
        </w:rPr>
        <w:t xml:space="preserve">El Consejo de Estado bien ha hecho en indicar que el debido proceso es un derecho fundamental y garantía de aplicación inmediata, y que cualquier vulneración comporta una grave violación a esa garantía. </w:t>
      </w:r>
      <w:r w:rsidR="00286F4E">
        <w:rPr>
          <w:rFonts w:ascii="Arial" w:hAnsi="Arial" w:cs="Arial"/>
        </w:rPr>
        <w:t xml:space="preserve">En el caso de marras, </w:t>
      </w:r>
      <w:r w:rsidR="00701219" w:rsidRPr="002B5C2C">
        <w:rPr>
          <w:rFonts w:ascii="Arial" w:hAnsi="Arial" w:cs="Arial"/>
        </w:rPr>
        <w:t xml:space="preserve">la </w:t>
      </w:r>
      <w:r w:rsidR="00C751EC" w:rsidRPr="002B5C2C">
        <w:rPr>
          <w:rFonts w:ascii="Arial" w:hAnsi="Arial" w:cs="Arial"/>
        </w:rPr>
        <w:t xml:space="preserve">indebida valoración probatoria del despacho al poner en tela de juicio la autenticidad del documento materializado en la Póliza Responsabilidad Civil No. 1008053 expedida directamente por la aseguradora líder, en este caso </w:t>
      </w:r>
      <w:r w:rsidR="008227A3" w:rsidRPr="002B5C2C">
        <w:rPr>
          <w:rFonts w:ascii="Arial" w:hAnsi="Arial" w:cs="Arial"/>
          <w:b/>
          <w:bCs/>
        </w:rPr>
        <w:t>LA PREVISORA S.A. COMPAÑÍA DE SEGUROS</w:t>
      </w:r>
      <w:r w:rsidR="00C751EC" w:rsidRPr="002B5C2C">
        <w:rPr>
          <w:rFonts w:ascii="Arial" w:hAnsi="Arial" w:cs="Arial"/>
        </w:rPr>
        <w:t xml:space="preserve">, </w:t>
      </w:r>
      <w:r w:rsidR="00766E61" w:rsidRPr="002B5C2C">
        <w:rPr>
          <w:rFonts w:ascii="Arial" w:hAnsi="Arial" w:cs="Arial"/>
        </w:rPr>
        <w:t>indudablemente cae directamente en la violación al debido proceso, especialmente en el eje denominado por el máximo órgano de cierre de esta jurisdicción como</w:t>
      </w:r>
      <w:r w:rsidR="00286F4E">
        <w:rPr>
          <w:rFonts w:ascii="Arial" w:hAnsi="Arial" w:cs="Arial"/>
        </w:rPr>
        <w:t xml:space="preserve">: </w:t>
      </w:r>
      <w:r w:rsidR="00766E61" w:rsidRPr="002B5C2C">
        <w:rPr>
          <w:rFonts w:ascii="Arial" w:hAnsi="Arial" w:cs="Arial"/>
        </w:rPr>
        <w:t>“</w:t>
      </w:r>
      <w:r w:rsidR="00766E61" w:rsidRPr="001E0D1F">
        <w:rPr>
          <w:rFonts w:ascii="Arial" w:eastAsia="Times New Roman" w:hAnsi="Arial" w:cs="Arial"/>
          <w:i/>
          <w:iCs/>
        </w:rPr>
        <w:t>el impulso y trámite de los procesos conforme con las formas establecidas para cada juicio o procedimiento”.</w:t>
      </w:r>
    </w:p>
    <w:p w14:paraId="3F3836E9" w14:textId="77777777" w:rsidR="00286F4E" w:rsidRDefault="00286F4E" w:rsidP="00E97BF5">
      <w:pPr>
        <w:pStyle w:val="Standard"/>
        <w:tabs>
          <w:tab w:val="left" w:pos="426"/>
          <w:tab w:val="left" w:pos="2268"/>
        </w:tabs>
        <w:spacing w:after="0" w:line="312" w:lineRule="auto"/>
        <w:jc w:val="both"/>
        <w:rPr>
          <w:rFonts w:ascii="Arial" w:eastAsia="Times New Roman" w:hAnsi="Arial" w:cs="Arial"/>
          <w:i/>
          <w:iCs/>
        </w:rPr>
      </w:pPr>
    </w:p>
    <w:p w14:paraId="27FE9CAF" w14:textId="117F731D" w:rsidR="0000324F" w:rsidRPr="002B5C2C" w:rsidRDefault="00766E61" w:rsidP="00E97BF5">
      <w:pPr>
        <w:pStyle w:val="Standard"/>
        <w:tabs>
          <w:tab w:val="left" w:pos="426"/>
          <w:tab w:val="left" w:pos="2268"/>
        </w:tabs>
        <w:spacing w:after="0" w:line="312" w:lineRule="auto"/>
        <w:jc w:val="both"/>
        <w:rPr>
          <w:rFonts w:ascii="Arial" w:hAnsi="Arial" w:cs="Arial"/>
        </w:rPr>
      </w:pPr>
      <w:r w:rsidRPr="002B5C2C">
        <w:rPr>
          <w:rFonts w:ascii="Arial" w:hAnsi="Arial" w:cs="Arial"/>
        </w:rPr>
        <w:t xml:space="preserve">Lo anterior, en razón a que el despacho </w:t>
      </w:r>
      <w:r w:rsidR="0012167C" w:rsidRPr="002B5C2C">
        <w:rPr>
          <w:rFonts w:ascii="Arial" w:hAnsi="Arial" w:cs="Arial"/>
        </w:rPr>
        <w:t>pasó por alto la disposición normativa que claramente otorga el valor de autenticidad a los documentos</w:t>
      </w:r>
      <w:r w:rsidR="00E73753">
        <w:rPr>
          <w:rFonts w:ascii="Arial" w:hAnsi="Arial" w:cs="Arial"/>
        </w:rPr>
        <w:t xml:space="preserve"> que se aportan en copia simple</w:t>
      </w:r>
      <w:r w:rsidR="0012167C" w:rsidRPr="002B5C2C">
        <w:rPr>
          <w:rFonts w:ascii="Arial" w:hAnsi="Arial" w:cs="Arial"/>
        </w:rPr>
        <w:t xml:space="preserve"> </w:t>
      </w:r>
      <w:r w:rsidR="008227A3" w:rsidRPr="002B5C2C">
        <w:rPr>
          <w:rFonts w:ascii="Arial" w:hAnsi="Arial" w:cs="Arial"/>
        </w:rPr>
        <w:t>de los cuales se tiene certeza sobre la persona o entidad que los elabor</w:t>
      </w:r>
      <w:r w:rsidR="005452FE">
        <w:rPr>
          <w:rFonts w:ascii="Arial" w:hAnsi="Arial" w:cs="Arial"/>
        </w:rPr>
        <w:t>ó</w:t>
      </w:r>
      <w:r w:rsidR="008227A3" w:rsidRPr="002B5C2C">
        <w:rPr>
          <w:rFonts w:ascii="Arial" w:hAnsi="Arial" w:cs="Arial"/>
        </w:rPr>
        <w:t xml:space="preserve">. Es decir, </w:t>
      </w:r>
      <w:r w:rsidR="00D60EAE" w:rsidRPr="002B5C2C">
        <w:rPr>
          <w:rFonts w:ascii="Arial" w:hAnsi="Arial" w:cs="Arial"/>
        </w:rPr>
        <w:t xml:space="preserve">en el caso en concreto, </w:t>
      </w:r>
      <w:r w:rsidR="008227A3" w:rsidRPr="002B5C2C">
        <w:rPr>
          <w:rFonts w:ascii="Arial" w:hAnsi="Arial" w:cs="Arial"/>
        </w:rPr>
        <w:t xml:space="preserve">al ser un contrato de seguro expedido directamente por </w:t>
      </w:r>
      <w:r w:rsidR="00D60EAE" w:rsidRPr="002B5C2C">
        <w:rPr>
          <w:rFonts w:ascii="Arial" w:hAnsi="Arial" w:cs="Arial"/>
        </w:rPr>
        <w:t xml:space="preserve">mi prohijada, entidad llamante en garantía - </w:t>
      </w:r>
      <w:r w:rsidR="008227A3" w:rsidRPr="002B5C2C">
        <w:rPr>
          <w:rFonts w:ascii="Arial" w:hAnsi="Arial" w:cs="Arial"/>
          <w:b/>
          <w:bCs/>
        </w:rPr>
        <w:t>LA PREVISORA S.A. COMPAÑÍA DE SEGUROS</w:t>
      </w:r>
      <w:r w:rsidR="008E5BCA" w:rsidRPr="002B5C2C">
        <w:rPr>
          <w:rFonts w:ascii="Arial" w:hAnsi="Arial" w:cs="Arial"/>
          <w:b/>
          <w:bCs/>
        </w:rPr>
        <w:t xml:space="preserve"> </w:t>
      </w:r>
      <w:r w:rsidR="00E21051">
        <w:rPr>
          <w:rFonts w:ascii="Arial" w:hAnsi="Arial" w:cs="Arial"/>
        </w:rPr>
        <w:t xml:space="preserve">se </w:t>
      </w:r>
      <w:r w:rsidR="008E5BCA" w:rsidRPr="002B5C2C">
        <w:rPr>
          <w:rFonts w:ascii="Arial" w:hAnsi="Arial" w:cs="Arial"/>
        </w:rPr>
        <w:t>reconoce implícitamente su autenticidad al aporta</w:t>
      </w:r>
      <w:r w:rsidR="00E21051">
        <w:rPr>
          <w:rFonts w:ascii="Arial" w:hAnsi="Arial" w:cs="Arial"/>
        </w:rPr>
        <w:t>rlo</w:t>
      </w:r>
      <w:r w:rsidR="008E5BCA" w:rsidRPr="002B5C2C">
        <w:rPr>
          <w:rFonts w:ascii="Arial" w:hAnsi="Arial" w:cs="Arial"/>
        </w:rPr>
        <w:t xml:space="preserve"> al proceso como prueba de las condiciones particulares </w:t>
      </w:r>
      <w:r w:rsidR="00D60EAE" w:rsidRPr="002B5C2C">
        <w:rPr>
          <w:rFonts w:ascii="Arial" w:hAnsi="Arial" w:cs="Arial"/>
        </w:rPr>
        <w:t xml:space="preserve">y generales </w:t>
      </w:r>
      <w:r w:rsidR="008E5BCA" w:rsidRPr="002B5C2C">
        <w:rPr>
          <w:rFonts w:ascii="Arial" w:hAnsi="Arial" w:cs="Arial"/>
        </w:rPr>
        <w:t xml:space="preserve">bajo las cuales </w:t>
      </w:r>
      <w:r w:rsidR="00D60EAE" w:rsidRPr="002B5C2C">
        <w:rPr>
          <w:rFonts w:ascii="Arial" w:hAnsi="Arial" w:cs="Arial"/>
        </w:rPr>
        <w:t xml:space="preserve">se pactó </w:t>
      </w:r>
      <w:r w:rsidR="008E5BCA" w:rsidRPr="002B5C2C">
        <w:rPr>
          <w:rFonts w:ascii="Arial" w:hAnsi="Arial" w:cs="Arial"/>
        </w:rPr>
        <w:t xml:space="preserve">el negocio jurídico, </w:t>
      </w:r>
      <w:r w:rsidR="00150B22" w:rsidRPr="002B5C2C">
        <w:rPr>
          <w:rFonts w:ascii="Arial" w:hAnsi="Arial" w:cs="Arial"/>
        </w:rPr>
        <w:t>y que coincide con el documento aportado por el asegurado</w:t>
      </w:r>
      <w:r w:rsidR="005426F0" w:rsidRPr="002B5C2C">
        <w:rPr>
          <w:rFonts w:ascii="Arial" w:hAnsi="Arial" w:cs="Arial"/>
        </w:rPr>
        <w:t xml:space="preserve"> – </w:t>
      </w:r>
      <w:r w:rsidR="005426F0" w:rsidRPr="002B5C2C">
        <w:rPr>
          <w:rFonts w:ascii="Arial" w:hAnsi="Arial" w:cs="Arial"/>
          <w:b/>
          <w:bCs/>
        </w:rPr>
        <w:t>Distrito Especial de Santiago de Cali</w:t>
      </w:r>
      <w:r w:rsidR="005426F0" w:rsidRPr="002B5C2C">
        <w:rPr>
          <w:rFonts w:ascii="Arial" w:hAnsi="Arial" w:cs="Arial"/>
        </w:rPr>
        <w:t xml:space="preserve"> -</w:t>
      </w:r>
      <w:r w:rsidR="00150B22" w:rsidRPr="002B5C2C">
        <w:rPr>
          <w:rFonts w:ascii="Arial" w:hAnsi="Arial" w:cs="Arial"/>
        </w:rPr>
        <w:t xml:space="preserve"> cuando solicitó la vinculación a través del llamamiento en garantía a mi prohijada. </w:t>
      </w:r>
    </w:p>
    <w:p w14:paraId="163D5F82" w14:textId="77777777" w:rsidR="00150B22" w:rsidRPr="002B5C2C" w:rsidRDefault="00150B22" w:rsidP="00E97BF5">
      <w:pPr>
        <w:pStyle w:val="Standard"/>
        <w:tabs>
          <w:tab w:val="left" w:pos="426"/>
          <w:tab w:val="left" w:pos="2268"/>
        </w:tabs>
        <w:spacing w:after="0" w:line="312" w:lineRule="auto"/>
        <w:jc w:val="both"/>
        <w:rPr>
          <w:rFonts w:ascii="Arial" w:hAnsi="Arial" w:cs="Arial"/>
        </w:rPr>
      </w:pPr>
    </w:p>
    <w:p w14:paraId="64A5A50D" w14:textId="63CCE67E" w:rsidR="00150B22" w:rsidRPr="002B5C2C" w:rsidRDefault="00150B22" w:rsidP="00E97BF5">
      <w:pPr>
        <w:pStyle w:val="Standard"/>
        <w:tabs>
          <w:tab w:val="left" w:pos="426"/>
          <w:tab w:val="left" w:pos="2268"/>
        </w:tabs>
        <w:spacing w:after="0" w:line="312" w:lineRule="auto"/>
        <w:jc w:val="both"/>
        <w:rPr>
          <w:rFonts w:ascii="Arial" w:eastAsia="Times New Roman" w:hAnsi="Arial" w:cs="Arial"/>
        </w:rPr>
      </w:pPr>
      <w:r w:rsidRPr="002B5C2C">
        <w:rPr>
          <w:rFonts w:ascii="Arial" w:hAnsi="Arial" w:cs="Arial"/>
        </w:rPr>
        <w:t xml:space="preserve">Por lo que no entiende el suscrito, como es que </w:t>
      </w:r>
      <w:r w:rsidR="00867B41" w:rsidRPr="002B5C2C">
        <w:rPr>
          <w:rFonts w:ascii="Arial" w:hAnsi="Arial" w:cs="Arial"/>
        </w:rPr>
        <w:t xml:space="preserve">el llamamiento formulado por el </w:t>
      </w:r>
      <w:r w:rsidR="00867B41" w:rsidRPr="002B5C2C">
        <w:rPr>
          <w:rFonts w:ascii="Arial" w:hAnsi="Arial" w:cs="Arial"/>
          <w:b/>
          <w:bCs/>
        </w:rPr>
        <w:t xml:space="preserve">Distrito Especial de Santiago de Cali </w:t>
      </w:r>
      <w:r w:rsidR="00867B41" w:rsidRPr="002B5C2C">
        <w:rPr>
          <w:rFonts w:ascii="Arial" w:hAnsi="Arial" w:cs="Arial"/>
        </w:rPr>
        <w:t xml:space="preserve">contra mi prohijada </w:t>
      </w:r>
      <w:r w:rsidR="00867B41" w:rsidRPr="002B5C2C">
        <w:rPr>
          <w:rFonts w:ascii="Arial" w:hAnsi="Arial" w:cs="Arial"/>
          <w:b/>
          <w:bCs/>
        </w:rPr>
        <w:t>LA PREVISORA S.A. COMPAÑÍA DE SEGUROS</w:t>
      </w:r>
      <w:r w:rsidR="00867B41" w:rsidRPr="002B5C2C">
        <w:rPr>
          <w:rFonts w:ascii="Arial" w:hAnsi="Arial" w:cs="Arial"/>
        </w:rPr>
        <w:t xml:space="preserve"> </w:t>
      </w:r>
      <w:r w:rsidR="006B7A1A" w:rsidRPr="002B5C2C">
        <w:rPr>
          <w:rFonts w:ascii="Arial" w:hAnsi="Arial" w:cs="Arial"/>
        </w:rPr>
        <w:t>adjuntando copia de la Póliza Responsabilidad Civil No. 1008053</w:t>
      </w:r>
      <w:r w:rsidR="00E73753">
        <w:rPr>
          <w:rFonts w:ascii="Arial" w:hAnsi="Arial" w:cs="Arial"/>
        </w:rPr>
        <w:t xml:space="preserve"> </w:t>
      </w:r>
      <w:r w:rsidR="00867B41" w:rsidRPr="002B5C2C">
        <w:rPr>
          <w:rFonts w:ascii="Arial" w:hAnsi="Arial" w:cs="Arial"/>
        </w:rPr>
        <w:t xml:space="preserve">fue aceptado por el </w:t>
      </w:r>
      <w:r w:rsidR="00992BDC" w:rsidRPr="002B5C2C">
        <w:rPr>
          <w:rFonts w:ascii="Arial" w:hAnsi="Arial" w:cs="Arial"/>
        </w:rPr>
        <w:t>despacho,</w:t>
      </w:r>
      <w:r w:rsidR="00867B41" w:rsidRPr="002B5C2C">
        <w:rPr>
          <w:rFonts w:ascii="Arial" w:hAnsi="Arial" w:cs="Arial"/>
        </w:rPr>
        <w:t xml:space="preserve"> </w:t>
      </w:r>
      <w:r w:rsidR="00992BDC" w:rsidRPr="002B5C2C">
        <w:rPr>
          <w:rFonts w:ascii="Arial" w:hAnsi="Arial" w:cs="Arial"/>
        </w:rPr>
        <w:t>pero</w:t>
      </w:r>
      <w:r w:rsidR="006B7A1A" w:rsidRPr="002B5C2C">
        <w:rPr>
          <w:rFonts w:ascii="Arial" w:hAnsi="Arial" w:cs="Arial"/>
        </w:rPr>
        <w:t xml:space="preserve"> el realizado por la compañía de seguro frente a las coaseguradoras en virtud </w:t>
      </w:r>
      <w:r w:rsidR="00992BDC" w:rsidRPr="002B5C2C">
        <w:rPr>
          <w:rFonts w:ascii="Arial" w:hAnsi="Arial" w:cs="Arial"/>
        </w:rPr>
        <w:t>fue negado bajo un argumento totalmente errado</w:t>
      </w:r>
      <w:r w:rsidR="00AD024C" w:rsidRPr="002B5C2C">
        <w:rPr>
          <w:rFonts w:ascii="Arial" w:hAnsi="Arial" w:cs="Arial"/>
        </w:rPr>
        <w:t xml:space="preserve">, sin considerar que el escrito del llamamiento en </w:t>
      </w:r>
      <w:r w:rsidR="00D43EFB" w:rsidRPr="002B5C2C">
        <w:rPr>
          <w:rFonts w:ascii="Arial" w:hAnsi="Arial" w:cs="Arial"/>
        </w:rPr>
        <w:t>garantía</w:t>
      </w:r>
      <w:r w:rsidR="00AD024C" w:rsidRPr="002B5C2C">
        <w:rPr>
          <w:rFonts w:ascii="Arial" w:hAnsi="Arial" w:cs="Arial"/>
        </w:rPr>
        <w:t xml:space="preserve"> cumplía con todos los presupuestos señalados en el artículo </w:t>
      </w:r>
      <w:r w:rsidR="00D43EFB" w:rsidRPr="002B5C2C">
        <w:rPr>
          <w:rFonts w:ascii="Arial" w:hAnsi="Arial" w:cs="Arial"/>
        </w:rPr>
        <w:t xml:space="preserve">225 del CPACA. </w:t>
      </w:r>
    </w:p>
    <w:p w14:paraId="06D3B29A" w14:textId="77777777" w:rsidR="0000324F" w:rsidRPr="002B5C2C" w:rsidRDefault="0000324F" w:rsidP="00E97BF5">
      <w:pPr>
        <w:pStyle w:val="Standard"/>
        <w:tabs>
          <w:tab w:val="left" w:pos="426"/>
          <w:tab w:val="left" w:pos="2268"/>
        </w:tabs>
        <w:spacing w:after="0" w:line="312" w:lineRule="auto"/>
        <w:jc w:val="both"/>
        <w:rPr>
          <w:rFonts w:ascii="Arial" w:eastAsia="Times New Roman" w:hAnsi="Arial" w:cs="Arial"/>
        </w:rPr>
      </w:pPr>
    </w:p>
    <w:p w14:paraId="53ABA402" w14:textId="6DCDAF87" w:rsidR="004C4DAB" w:rsidRPr="002B5C2C" w:rsidRDefault="00D47D44" w:rsidP="00E97BF5">
      <w:pPr>
        <w:pStyle w:val="Standard"/>
        <w:tabs>
          <w:tab w:val="left" w:pos="426"/>
          <w:tab w:val="left" w:pos="2268"/>
        </w:tabs>
        <w:spacing w:after="0" w:line="312" w:lineRule="auto"/>
        <w:jc w:val="both"/>
        <w:rPr>
          <w:rFonts w:ascii="Arial" w:eastAsia="Times New Roman" w:hAnsi="Arial" w:cs="Arial"/>
        </w:rPr>
      </w:pPr>
      <w:r w:rsidRPr="002B5C2C">
        <w:rPr>
          <w:rFonts w:ascii="Arial" w:eastAsia="Times New Roman" w:hAnsi="Arial" w:cs="Arial"/>
        </w:rPr>
        <w:t>A</w:t>
      </w:r>
      <w:r w:rsidR="009A6E17" w:rsidRPr="002B5C2C">
        <w:rPr>
          <w:rFonts w:ascii="Arial" w:eastAsia="Times New Roman" w:hAnsi="Arial" w:cs="Arial"/>
        </w:rPr>
        <w:t>sí mimo el Departamento Administrativo de la Función Pública señaló frente a la autenticidad de documentos públicos y privados lo siguiente:</w:t>
      </w:r>
    </w:p>
    <w:p w14:paraId="1576C10A" w14:textId="77777777" w:rsidR="009A6E17" w:rsidRPr="002B5C2C" w:rsidRDefault="009A6E17" w:rsidP="00E97BF5">
      <w:pPr>
        <w:pStyle w:val="Standard"/>
        <w:tabs>
          <w:tab w:val="left" w:pos="426"/>
          <w:tab w:val="left" w:pos="2268"/>
        </w:tabs>
        <w:spacing w:after="0" w:line="312" w:lineRule="auto"/>
        <w:jc w:val="both"/>
        <w:rPr>
          <w:rFonts w:ascii="Arial" w:eastAsia="Times New Roman" w:hAnsi="Arial" w:cs="Arial"/>
        </w:rPr>
      </w:pPr>
    </w:p>
    <w:p w14:paraId="2B8FB9E1" w14:textId="57FB7D98" w:rsidR="004C4DAB" w:rsidRPr="002B5C2C" w:rsidRDefault="00D47D44" w:rsidP="00E97BF5">
      <w:pPr>
        <w:pStyle w:val="Standard"/>
        <w:tabs>
          <w:tab w:val="left" w:pos="426"/>
          <w:tab w:val="left" w:pos="2268"/>
        </w:tabs>
        <w:spacing w:after="0" w:line="312" w:lineRule="auto"/>
        <w:ind w:left="851" w:right="843"/>
        <w:jc w:val="both"/>
        <w:rPr>
          <w:rFonts w:ascii="Arial" w:eastAsia="Times New Roman" w:hAnsi="Arial" w:cs="Arial"/>
          <w:i/>
          <w:iCs/>
          <w:sz w:val="20"/>
          <w:szCs w:val="20"/>
        </w:rPr>
      </w:pPr>
      <w:r w:rsidRPr="002B5C2C">
        <w:rPr>
          <w:rFonts w:ascii="Arial" w:eastAsia="Times New Roman" w:hAnsi="Arial" w:cs="Arial"/>
          <w:i/>
          <w:iCs/>
          <w:sz w:val="20"/>
          <w:szCs w:val="20"/>
        </w:rPr>
        <w:t xml:space="preserve">“(…) </w:t>
      </w:r>
      <w:r w:rsidRPr="002B5C2C">
        <w:rPr>
          <w:rFonts w:ascii="Arial" w:eastAsia="Times New Roman" w:hAnsi="Arial" w:cs="Arial"/>
          <w:b/>
          <w:bCs/>
          <w:i/>
          <w:iCs/>
          <w:sz w:val="20"/>
          <w:szCs w:val="20"/>
          <w:u w:val="single"/>
        </w:rPr>
        <w:t>Así las cosas, los documentos públicos y privados se presumen auténticos, mientras no se compruebe lo contrario mediante la tacha de falsedad</w:t>
      </w:r>
      <w:r w:rsidRPr="002B5C2C">
        <w:rPr>
          <w:rStyle w:val="Refdenotaalpie"/>
          <w:rFonts w:ascii="Arial" w:eastAsia="Times New Roman" w:hAnsi="Arial" w:cs="Arial"/>
          <w:i/>
          <w:iCs/>
          <w:sz w:val="20"/>
          <w:szCs w:val="20"/>
        </w:rPr>
        <w:footnoteReference w:id="3"/>
      </w:r>
      <w:r w:rsidRPr="002B5C2C">
        <w:rPr>
          <w:rFonts w:ascii="Arial" w:eastAsia="Times New Roman" w:hAnsi="Arial" w:cs="Arial"/>
          <w:i/>
          <w:iCs/>
          <w:sz w:val="20"/>
          <w:szCs w:val="20"/>
        </w:rPr>
        <w:t xml:space="preserve"> (…)” </w:t>
      </w:r>
      <w:r w:rsidRPr="002B5C2C">
        <w:rPr>
          <w:rFonts w:ascii="Arial" w:hAnsi="Arial" w:cs="Arial"/>
          <w:b/>
          <w:bCs/>
          <w:i/>
          <w:iCs/>
          <w:sz w:val="20"/>
          <w:szCs w:val="20"/>
          <w:u w:val="single"/>
        </w:rPr>
        <w:t>(negrilla y subrayada por fuera del texto original</w:t>
      </w:r>
      <w:r w:rsidRPr="002B5C2C">
        <w:rPr>
          <w:rFonts w:ascii="Arial" w:hAnsi="Arial" w:cs="Arial"/>
          <w:i/>
          <w:iCs/>
          <w:sz w:val="20"/>
          <w:szCs w:val="20"/>
        </w:rPr>
        <w:t>)</w:t>
      </w:r>
    </w:p>
    <w:p w14:paraId="36DE0F42" w14:textId="77777777" w:rsidR="00D47D44" w:rsidRPr="002B5C2C" w:rsidRDefault="00D47D44" w:rsidP="00E97BF5">
      <w:pPr>
        <w:pStyle w:val="Standard"/>
        <w:tabs>
          <w:tab w:val="left" w:pos="426"/>
          <w:tab w:val="left" w:pos="2268"/>
        </w:tabs>
        <w:spacing w:after="0" w:line="312" w:lineRule="auto"/>
        <w:jc w:val="both"/>
        <w:rPr>
          <w:rFonts w:ascii="Arial" w:eastAsia="Times New Roman" w:hAnsi="Arial" w:cs="Arial"/>
        </w:rPr>
      </w:pPr>
    </w:p>
    <w:p w14:paraId="5FAB4ED1" w14:textId="6919AC05" w:rsidR="00710D97" w:rsidRPr="002B5C2C" w:rsidRDefault="002D05E2" w:rsidP="00E97BF5">
      <w:pPr>
        <w:pStyle w:val="Standard"/>
        <w:tabs>
          <w:tab w:val="left" w:pos="426"/>
          <w:tab w:val="left" w:pos="2268"/>
        </w:tabs>
        <w:spacing w:after="0" w:line="312" w:lineRule="auto"/>
        <w:jc w:val="both"/>
        <w:rPr>
          <w:rFonts w:ascii="Arial" w:hAnsi="Arial" w:cs="Arial"/>
        </w:rPr>
      </w:pPr>
      <w:r w:rsidRPr="002B5C2C">
        <w:rPr>
          <w:rFonts w:ascii="Arial" w:eastAsia="Times New Roman" w:hAnsi="Arial" w:cs="Arial"/>
        </w:rPr>
        <w:lastRenderedPageBreak/>
        <w:t>Por lo anterior, se evidencia que en pronunciamiento de carácter normativo y jurisprudencial se ha señalado que</w:t>
      </w:r>
      <w:r w:rsidR="00E93F7B" w:rsidRPr="002B5C2C">
        <w:rPr>
          <w:rFonts w:ascii="Arial" w:eastAsia="Times New Roman" w:hAnsi="Arial" w:cs="Arial"/>
        </w:rPr>
        <w:t xml:space="preserve"> los documentos se </w:t>
      </w:r>
      <w:r w:rsidR="00710D97" w:rsidRPr="002B5C2C">
        <w:rPr>
          <w:rFonts w:ascii="Arial" w:eastAsia="Times New Roman" w:hAnsi="Arial" w:cs="Arial"/>
        </w:rPr>
        <w:t>presumen</w:t>
      </w:r>
      <w:r w:rsidR="00E93F7B" w:rsidRPr="002B5C2C">
        <w:rPr>
          <w:rFonts w:ascii="Arial" w:eastAsia="Times New Roman" w:hAnsi="Arial" w:cs="Arial"/>
        </w:rPr>
        <w:t xml:space="preserve"> auténticos mientras no se tachen de falsos, situación que no ha ocurrido dentro del proceso. Pues el despacho detuvo </w:t>
      </w:r>
      <w:r w:rsidR="00706909" w:rsidRPr="002B5C2C">
        <w:rPr>
          <w:rFonts w:ascii="Arial" w:eastAsia="Times New Roman" w:hAnsi="Arial" w:cs="Arial"/>
        </w:rPr>
        <w:t xml:space="preserve">anticipadamente el proceso al darle una valoración probatoria incorrecta a los documentos, en especial a la </w:t>
      </w:r>
      <w:r w:rsidR="00706909" w:rsidRPr="002B5C2C">
        <w:rPr>
          <w:rFonts w:ascii="Arial" w:hAnsi="Arial" w:cs="Arial"/>
        </w:rPr>
        <w:t xml:space="preserve">Póliza Responsabilidad Civil No. 1008053 aportada por </w:t>
      </w:r>
      <w:r w:rsidR="000C7416" w:rsidRPr="002B5C2C">
        <w:rPr>
          <w:rFonts w:ascii="Arial" w:hAnsi="Arial" w:cs="Arial"/>
          <w:b/>
          <w:bCs/>
        </w:rPr>
        <w:t>LA PREVISORA S.A. COMPAÑÍA DE SEGUROS</w:t>
      </w:r>
      <w:r w:rsidR="00706909" w:rsidRPr="002B5C2C">
        <w:rPr>
          <w:rFonts w:ascii="Arial" w:hAnsi="Arial" w:cs="Arial"/>
        </w:rPr>
        <w:t>, pasando por alto que es la misma entidad de carácter mixto quien la expidió</w:t>
      </w:r>
      <w:r w:rsidR="00E73753">
        <w:rPr>
          <w:rFonts w:ascii="Arial" w:hAnsi="Arial" w:cs="Arial"/>
        </w:rPr>
        <w:t>,</w:t>
      </w:r>
      <w:r w:rsidR="00706909" w:rsidRPr="002B5C2C">
        <w:rPr>
          <w:rFonts w:ascii="Arial" w:hAnsi="Arial" w:cs="Arial"/>
        </w:rPr>
        <w:t xml:space="preserve"> por lo que implícitamente se reconoce </w:t>
      </w:r>
      <w:r w:rsidR="00710D97" w:rsidRPr="002B5C2C">
        <w:rPr>
          <w:rFonts w:ascii="Arial" w:hAnsi="Arial" w:cs="Arial"/>
        </w:rPr>
        <w:t xml:space="preserve">su contenido y validez. </w:t>
      </w:r>
    </w:p>
    <w:p w14:paraId="5596355C" w14:textId="77777777" w:rsidR="00710D97" w:rsidRDefault="00710D97" w:rsidP="00E97BF5">
      <w:pPr>
        <w:pStyle w:val="Standard"/>
        <w:tabs>
          <w:tab w:val="left" w:pos="426"/>
          <w:tab w:val="left" w:pos="2268"/>
        </w:tabs>
        <w:spacing w:after="0" w:line="312" w:lineRule="auto"/>
        <w:jc w:val="both"/>
        <w:rPr>
          <w:rFonts w:ascii="Arial" w:hAnsi="Arial" w:cs="Arial"/>
        </w:rPr>
      </w:pPr>
    </w:p>
    <w:p w14:paraId="229948ED" w14:textId="476466C0" w:rsidR="00CA1CBF" w:rsidRDefault="00A45A54" w:rsidP="00E97BF5">
      <w:pPr>
        <w:pStyle w:val="Standard"/>
        <w:tabs>
          <w:tab w:val="left" w:pos="426"/>
          <w:tab w:val="left" w:pos="2268"/>
        </w:tabs>
        <w:spacing w:after="0" w:line="312" w:lineRule="auto"/>
        <w:jc w:val="both"/>
        <w:rPr>
          <w:rFonts w:ascii="Arial" w:hAnsi="Arial" w:cs="Arial"/>
        </w:rPr>
      </w:pPr>
      <w:r>
        <w:rPr>
          <w:rFonts w:ascii="Arial" w:hAnsi="Arial" w:cs="Arial"/>
        </w:rPr>
        <w:t xml:space="preserve">Adicionalmente, </w:t>
      </w:r>
      <w:r w:rsidR="002B64C9">
        <w:rPr>
          <w:rFonts w:ascii="Arial" w:hAnsi="Arial" w:cs="Arial"/>
        </w:rPr>
        <w:t xml:space="preserve">las exigencias realizadas por el despacho de aportar </w:t>
      </w:r>
      <w:r w:rsidR="002E3252">
        <w:rPr>
          <w:rFonts w:ascii="Arial" w:hAnsi="Arial" w:cs="Arial"/>
        </w:rPr>
        <w:t xml:space="preserve">el documento “autentico” para lograr vincular a las coaseguradoras como llamadas en garantías, pugna </w:t>
      </w:r>
      <w:r w:rsidR="00446FAB">
        <w:rPr>
          <w:rFonts w:ascii="Arial" w:hAnsi="Arial" w:cs="Arial"/>
        </w:rPr>
        <w:t>la garantía del principio de la realidad sobre las formas, buena fe, y derechos fundamentales como el debido proceso y la administración de justicia,</w:t>
      </w:r>
      <w:r w:rsidR="00E77C01">
        <w:rPr>
          <w:rFonts w:ascii="Arial" w:hAnsi="Arial" w:cs="Arial"/>
        </w:rPr>
        <w:t xml:space="preserve"> toda vez que le restó merito probatorio a un documento en copia simple cuando ni siquiera se ha tachado de falso, por lo que se presume su autenticidad máxime cuando </w:t>
      </w:r>
      <w:r w:rsidR="00CE68CA">
        <w:rPr>
          <w:rFonts w:ascii="Arial" w:hAnsi="Arial" w:cs="Arial"/>
        </w:rPr>
        <w:t xml:space="preserve">existe certeza </w:t>
      </w:r>
      <w:r w:rsidR="00395793">
        <w:rPr>
          <w:rFonts w:ascii="Arial" w:hAnsi="Arial" w:cs="Arial"/>
        </w:rPr>
        <w:t xml:space="preserve">de la entidad que lo elaboró y expidió, cumpliendo el postulado señalado en la normatividad que regula el tema. </w:t>
      </w:r>
    </w:p>
    <w:p w14:paraId="48B8CFD1" w14:textId="77777777" w:rsidR="008F5A46" w:rsidRDefault="008F5A46" w:rsidP="00E97BF5">
      <w:pPr>
        <w:pStyle w:val="Standard"/>
        <w:tabs>
          <w:tab w:val="left" w:pos="426"/>
          <w:tab w:val="left" w:pos="2268"/>
        </w:tabs>
        <w:spacing w:after="0" w:line="312" w:lineRule="auto"/>
        <w:jc w:val="both"/>
        <w:rPr>
          <w:rFonts w:ascii="Arial" w:hAnsi="Arial" w:cs="Arial"/>
        </w:rPr>
      </w:pPr>
    </w:p>
    <w:p w14:paraId="2246BCB3" w14:textId="1F9E299C" w:rsidR="000E3977" w:rsidRPr="002B5C2C" w:rsidRDefault="00710D97" w:rsidP="00E97BF5">
      <w:pPr>
        <w:pStyle w:val="Standard"/>
        <w:tabs>
          <w:tab w:val="left" w:pos="426"/>
          <w:tab w:val="left" w:pos="2268"/>
        </w:tabs>
        <w:spacing w:after="0" w:line="312" w:lineRule="auto"/>
        <w:jc w:val="both"/>
        <w:rPr>
          <w:rFonts w:ascii="Arial" w:hAnsi="Arial" w:cs="Arial"/>
        </w:rPr>
      </w:pPr>
      <w:r w:rsidRPr="002B5C2C">
        <w:rPr>
          <w:rFonts w:ascii="Arial" w:hAnsi="Arial" w:cs="Arial"/>
        </w:rPr>
        <w:t xml:space="preserve">Ahora bien, para argüir que el documento no goza de autenticidad deberán ser las mismas coaseguradoras </w:t>
      </w:r>
      <w:r w:rsidR="000C410B" w:rsidRPr="002B5C2C">
        <w:rPr>
          <w:rFonts w:ascii="Arial" w:hAnsi="Arial" w:cs="Arial"/>
        </w:rPr>
        <w:t xml:space="preserve">quienes </w:t>
      </w:r>
      <w:r w:rsidR="0040004F" w:rsidRPr="002B5C2C">
        <w:rPr>
          <w:rFonts w:ascii="Arial" w:hAnsi="Arial" w:cs="Arial"/>
        </w:rPr>
        <w:t>forman</w:t>
      </w:r>
      <w:r w:rsidR="000C410B" w:rsidRPr="002B5C2C">
        <w:rPr>
          <w:rFonts w:ascii="Arial" w:hAnsi="Arial" w:cs="Arial"/>
        </w:rPr>
        <w:t xml:space="preserve"> parte de la unión temporal las que tachen de falso o </w:t>
      </w:r>
      <w:r w:rsidR="0040004F" w:rsidRPr="002B5C2C">
        <w:rPr>
          <w:rFonts w:ascii="Arial" w:hAnsi="Arial" w:cs="Arial"/>
        </w:rPr>
        <w:t xml:space="preserve">adviertan alguna irregularidad del documento, </w:t>
      </w:r>
      <w:r w:rsidR="00E73753">
        <w:rPr>
          <w:rFonts w:ascii="Arial" w:hAnsi="Arial" w:cs="Arial"/>
        </w:rPr>
        <w:t>por lo que no le es dable al operador judicial suponer que el documento es falso, precisamente en virtud del principio de la buena fe</w:t>
      </w:r>
      <w:r w:rsidR="0040004F" w:rsidRPr="002B5C2C">
        <w:rPr>
          <w:rFonts w:ascii="Arial" w:hAnsi="Arial" w:cs="Arial"/>
        </w:rPr>
        <w:t xml:space="preserve">. </w:t>
      </w:r>
      <w:r w:rsidR="00E73753">
        <w:rPr>
          <w:rFonts w:ascii="Arial" w:hAnsi="Arial" w:cs="Arial"/>
        </w:rPr>
        <w:t xml:space="preserve">Así pues, el juzgado desconoció </w:t>
      </w:r>
      <w:r w:rsidR="00225068" w:rsidRPr="002B5C2C">
        <w:rPr>
          <w:rFonts w:ascii="Arial" w:hAnsi="Arial" w:cs="Arial"/>
        </w:rPr>
        <w:t>los postulados normativos y jurisprudencial</w:t>
      </w:r>
      <w:r w:rsidR="00E73753">
        <w:rPr>
          <w:rFonts w:ascii="Arial" w:hAnsi="Arial" w:cs="Arial"/>
        </w:rPr>
        <w:t>es</w:t>
      </w:r>
      <w:r w:rsidR="00225068" w:rsidRPr="002B5C2C">
        <w:rPr>
          <w:rFonts w:ascii="Arial" w:hAnsi="Arial" w:cs="Arial"/>
        </w:rPr>
        <w:t xml:space="preserve"> que regulan el tema</w:t>
      </w:r>
      <w:r w:rsidR="00E73753">
        <w:rPr>
          <w:rFonts w:ascii="Arial" w:hAnsi="Arial" w:cs="Arial"/>
        </w:rPr>
        <w:t>, en donde</w:t>
      </w:r>
      <w:r w:rsidR="00225068" w:rsidRPr="002B5C2C">
        <w:rPr>
          <w:rFonts w:ascii="Arial" w:hAnsi="Arial" w:cs="Arial"/>
        </w:rPr>
        <w:t xml:space="preserve"> en sendas oportunidades </w:t>
      </w:r>
      <w:r w:rsidR="00E73753">
        <w:rPr>
          <w:rFonts w:ascii="Arial" w:hAnsi="Arial" w:cs="Arial"/>
        </w:rPr>
        <w:t xml:space="preserve">se </w:t>
      </w:r>
      <w:r w:rsidR="00225068" w:rsidRPr="002B5C2C">
        <w:rPr>
          <w:rFonts w:ascii="Arial" w:hAnsi="Arial" w:cs="Arial"/>
        </w:rPr>
        <w:t xml:space="preserve">ha reiterado que los </w:t>
      </w:r>
      <w:r w:rsidR="00225068" w:rsidRPr="002B5C2C">
        <w:rPr>
          <w:rFonts w:ascii="Arial" w:hAnsi="Arial" w:cs="Arial"/>
          <w:b/>
          <w:bCs/>
          <w:u w:val="single"/>
        </w:rPr>
        <w:t>documentos se presumen auténticos</w:t>
      </w:r>
      <w:r w:rsidR="00225068" w:rsidRPr="002B5C2C">
        <w:rPr>
          <w:rFonts w:ascii="Arial" w:hAnsi="Arial" w:cs="Arial"/>
        </w:rPr>
        <w:t xml:space="preserve">, máxime cuando </w:t>
      </w:r>
      <w:r w:rsidR="001F4328" w:rsidRPr="002B5C2C">
        <w:rPr>
          <w:rFonts w:ascii="Arial" w:hAnsi="Arial" w:cs="Arial"/>
        </w:rPr>
        <w:t>existe certeza sobre la persona o entidad</w:t>
      </w:r>
      <w:r w:rsidR="000E3977" w:rsidRPr="002B5C2C">
        <w:rPr>
          <w:rFonts w:ascii="Arial" w:hAnsi="Arial" w:cs="Arial"/>
        </w:rPr>
        <w:t>,</w:t>
      </w:r>
      <w:r w:rsidR="001F4328" w:rsidRPr="002B5C2C">
        <w:rPr>
          <w:rFonts w:ascii="Arial" w:hAnsi="Arial" w:cs="Arial"/>
        </w:rPr>
        <w:t xml:space="preserve"> en este caso</w:t>
      </w:r>
      <w:r w:rsidR="000E3977" w:rsidRPr="002B5C2C">
        <w:rPr>
          <w:rFonts w:ascii="Arial" w:hAnsi="Arial" w:cs="Arial"/>
        </w:rPr>
        <w:t>,</w:t>
      </w:r>
      <w:r w:rsidR="001F4328" w:rsidRPr="002B5C2C">
        <w:rPr>
          <w:rFonts w:ascii="Arial" w:hAnsi="Arial" w:cs="Arial"/>
        </w:rPr>
        <w:t xml:space="preserve"> </w:t>
      </w:r>
      <w:r w:rsidR="000E3977" w:rsidRPr="002B5C2C">
        <w:rPr>
          <w:rFonts w:ascii="Arial" w:hAnsi="Arial" w:cs="Arial"/>
        </w:rPr>
        <w:t>que expide el contrato de seguro contentivo en un documento privado</w:t>
      </w:r>
      <w:r w:rsidR="00E73753">
        <w:rPr>
          <w:rFonts w:ascii="Arial" w:hAnsi="Arial" w:cs="Arial"/>
        </w:rPr>
        <w:t xml:space="preserve">. Más aun, el Consejo de Estado, desde el 2014, unificó su jurisprudencia respecto al valor probatorio de las copias simples, arguyendo que se les debe otorgar tal, so pena de desconocer principios rectores como la buena fe y garantías fundamentales como el derecho a la administración de justicia, de manera que la decisión que se recurre está en contra de jurisprudencia unificada de su superior jerárquico, lo cual debe ser subsanado. </w:t>
      </w:r>
    </w:p>
    <w:p w14:paraId="3FCECCD7" w14:textId="77777777" w:rsidR="000E3977" w:rsidRPr="002B5C2C" w:rsidRDefault="000E3977" w:rsidP="00E97BF5">
      <w:pPr>
        <w:pStyle w:val="Standard"/>
        <w:tabs>
          <w:tab w:val="left" w:pos="426"/>
          <w:tab w:val="left" w:pos="2268"/>
        </w:tabs>
        <w:spacing w:after="0" w:line="312" w:lineRule="auto"/>
        <w:jc w:val="both"/>
        <w:rPr>
          <w:rFonts w:ascii="Arial" w:hAnsi="Arial" w:cs="Arial"/>
        </w:rPr>
      </w:pPr>
    </w:p>
    <w:p w14:paraId="4CFB28FB" w14:textId="3D68E7EE" w:rsidR="00C90F62" w:rsidRPr="002B5C2C" w:rsidRDefault="00567100" w:rsidP="00E97BF5">
      <w:pPr>
        <w:pStyle w:val="Standard"/>
        <w:tabs>
          <w:tab w:val="left" w:pos="426"/>
          <w:tab w:val="left" w:pos="2268"/>
        </w:tabs>
        <w:spacing w:after="0" w:line="312" w:lineRule="auto"/>
        <w:jc w:val="both"/>
        <w:rPr>
          <w:rFonts w:ascii="Arial" w:eastAsia="Times New Roman" w:hAnsi="Arial" w:cs="Arial"/>
        </w:rPr>
      </w:pPr>
      <w:r w:rsidRPr="002B5C2C">
        <w:rPr>
          <w:rFonts w:ascii="Arial" w:hAnsi="Arial" w:cs="Arial"/>
        </w:rPr>
        <w:t xml:space="preserve">En conclusión, </w:t>
      </w:r>
      <w:r w:rsidR="0083427B" w:rsidRPr="002B5C2C">
        <w:rPr>
          <w:rFonts w:ascii="Arial" w:hAnsi="Arial" w:cs="Arial"/>
        </w:rPr>
        <w:t xml:space="preserve">los documentos aportados con la solicitud de llamamiento en garantiza formulado por </w:t>
      </w:r>
      <w:r w:rsidR="0083427B" w:rsidRPr="002B5C2C">
        <w:rPr>
          <w:rFonts w:ascii="Arial" w:hAnsi="Arial" w:cs="Arial"/>
          <w:b/>
          <w:bCs/>
        </w:rPr>
        <w:t xml:space="preserve">LA PREVISORA S.A. COMPAÑÍA DE SEGUROS </w:t>
      </w:r>
      <w:r w:rsidR="0083427B" w:rsidRPr="002B5C2C">
        <w:rPr>
          <w:rFonts w:ascii="Arial" w:hAnsi="Arial" w:cs="Arial"/>
        </w:rPr>
        <w:t xml:space="preserve">contra </w:t>
      </w:r>
      <w:r w:rsidR="0083427B" w:rsidRPr="002B5C2C">
        <w:rPr>
          <w:rFonts w:ascii="Arial" w:hAnsi="Arial" w:cs="Arial"/>
          <w:color w:val="000000"/>
        </w:rPr>
        <w:t>Mapfre Seguros Generales de Colombia S.A., Axa Colpatria Seguros S.A. y a Allianz Seguros S.A.</w:t>
      </w:r>
      <w:r w:rsidR="0083427B" w:rsidRPr="002B5C2C">
        <w:rPr>
          <w:rFonts w:ascii="Arial" w:hAnsi="Arial" w:cs="Arial"/>
        </w:rPr>
        <w:t xml:space="preserve"> en virtud del coaseguro existente en el contrato de seguros materializado en la Póliza Responsabilidad Civil No. 1008053, goza de total autenticidad y validez para acreditar la relación contractual que existe </w:t>
      </w:r>
      <w:r w:rsidR="008042C0" w:rsidRPr="002B5C2C">
        <w:rPr>
          <w:rFonts w:ascii="Arial" w:hAnsi="Arial" w:cs="Arial"/>
        </w:rPr>
        <w:t xml:space="preserve">entre ellas. Razón por la cual el despacho deberá revocar </w:t>
      </w:r>
      <w:r w:rsidR="009116D3" w:rsidRPr="002B5C2C">
        <w:rPr>
          <w:rFonts w:ascii="Arial" w:hAnsi="Arial" w:cs="Arial"/>
        </w:rPr>
        <w:t xml:space="preserve">el numeral sexto del auto interlocutorio No. 649 del 19 de julio de 2024 y en su lugar admitir el llamamiento en garantía formulado por mi prohijada y </w:t>
      </w:r>
      <w:r w:rsidR="003B0F76" w:rsidRPr="002B5C2C">
        <w:rPr>
          <w:rFonts w:ascii="Arial" w:hAnsi="Arial" w:cs="Arial"/>
        </w:rPr>
        <w:t xml:space="preserve">en consecuencia ordenar que se notifique a las coaseguradoras. </w:t>
      </w:r>
    </w:p>
    <w:p w14:paraId="6BD341DA" w14:textId="77777777" w:rsidR="00395793" w:rsidRDefault="00395793" w:rsidP="00E97BF5">
      <w:pPr>
        <w:pStyle w:val="Standard"/>
        <w:tabs>
          <w:tab w:val="left" w:pos="426"/>
          <w:tab w:val="left" w:pos="2268"/>
        </w:tabs>
        <w:spacing w:after="0" w:line="312" w:lineRule="auto"/>
        <w:jc w:val="both"/>
        <w:rPr>
          <w:rFonts w:ascii="Arial" w:eastAsia="Times New Roman" w:hAnsi="Arial" w:cs="Arial"/>
        </w:rPr>
      </w:pPr>
    </w:p>
    <w:p w14:paraId="33B51CD5" w14:textId="77777777" w:rsidR="00395793" w:rsidRDefault="00395793" w:rsidP="00E97BF5">
      <w:pPr>
        <w:pStyle w:val="Standard"/>
        <w:tabs>
          <w:tab w:val="left" w:pos="426"/>
          <w:tab w:val="left" w:pos="2268"/>
        </w:tabs>
        <w:spacing w:after="0" w:line="312" w:lineRule="auto"/>
        <w:jc w:val="both"/>
        <w:rPr>
          <w:rFonts w:ascii="Arial" w:eastAsia="Times New Roman" w:hAnsi="Arial" w:cs="Arial"/>
        </w:rPr>
      </w:pPr>
    </w:p>
    <w:p w14:paraId="4330960E" w14:textId="59AB5E56" w:rsidR="002E183A" w:rsidRPr="002B5C2C" w:rsidRDefault="002E183A" w:rsidP="00E97BF5">
      <w:pPr>
        <w:spacing w:after="0" w:line="312" w:lineRule="auto"/>
        <w:jc w:val="center"/>
        <w:rPr>
          <w:rFonts w:ascii="Arial" w:hAnsi="Arial" w:cs="Arial"/>
          <w:u w:val="single"/>
        </w:rPr>
      </w:pPr>
      <w:r w:rsidRPr="002B5C2C">
        <w:rPr>
          <w:rFonts w:ascii="Arial" w:eastAsia="Arial" w:hAnsi="Arial" w:cs="Arial"/>
          <w:b/>
          <w:u w:val="single"/>
        </w:rPr>
        <w:t xml:space="preserve">CAPÍTULO </w:t>
      </w:r>
      <w:r w:rsidR="002235E8" w:rsidRPr="002B5C2C">
        <w:rPr>
          <w:rFonts w:ascii="Arial" w:eastAsia="Arial" w:hAnsi="Arial" w:cs="Arial"/>
          <w:b/>
          <w:u w:val="single"/>
        </w:rPr>
        <w:t>III</w:t>
      </w:r>
      <w:r w:rsidRPr="002B5C2C">
        <w:rPr>
          <w:rFonts w:ascii="Arial" w:eastAsia="Arial" w:hAnsi="Arial" w:cs="Arial"/>
          <w:b/>
          <w:u w:val="single"/>
        </w:rPr>
        <w:t>. PETICIONES</w:t>
      </w:r>
    </w:p>
    <w:p w14:paraId="39F96610" w14:textId="77777777" w:rsidR="002E183A" w:rsidRPr="002B5C2C" w:rsidRDefault="002E183A" w:rsidP="00E97BF5">
      <w:pPr>
        <w:spacing w:after="0" w:line="312" w:lineRule="auto"/>
        <w:rPr>
          <w:rFonts w:ascii="Arial" w:hAnsi="Arial" w:cs="Arial"/>
        </w:rPr>
      </w:pPr>
      <w:r w:rsidRPr="002B5C2C">
        <w:rPr>
          <w:rFonts w:ascii="Arial" w:eastAsia="Arial" w:hAnsi="Arial" w:cs="Arial"/>
          <w:b/>
        </w:rPr>
        <w:t xml:space="preserve"> </w:t>
      </w:r>
    </w:p>
    <w:p w14:paraId="2FCD3886" w14:textId="36B6956D" w:rsidR="002E183A" w:rsidRPr="002B5C2C" w:rsidRDefault="002E183A" w:rsidP="00E97BF5">
      <w:pPr>
        <w:spacing w:after="0" w:line="312" w:lineRule="auto"/>
        <w:jc w:val="both"/>
        <w:rPr>
          <w:rFonts w:ascii="Arial" w:hAnsi="Arial" w:cs="Arial"/>
        </w:rPr>
      </w:pPr>
      <w:r w:rsidRPr="002B5C2C">
        <w:rPr>
          <w:rFonts w:ascii="Arial" w:hAnsi="Arial" w:cs="Arial"/>
        </w:rPr>
        <w:t xml:space="preserve">En virtud de los argumentos expuestos, respetuosamente solicito al Juzgado </w:t>
      </w:r>
      <w:r w:rsidR="003B0F76" w:rsidRPr="002B5C2C">
        <w:rPr>
          <w:rFonts w:ascii="Arial" w:hAnsi="Arial" w:cs="Arial"/>
        </w:rPr>
        <w:t>Trece</w:t>
      </w:r>
      <w:r w:rsidRPr="002B5C2C">
        <w:rPr>
          <w:rFonts w:ascii="Arial" w:hAnsi="Arial" w:cs="Arial"/>
        </w:rPr>
        <w:t xml:space="preserve"> (</w:t>
      </w:r>
      <w:r w:rsidR="008B48BA" w:rsidRPr="002B5C2C">
        <w:rPr>
          <w:rFonts w:ascii="Arial" w:hAnsi="Arial" w:cs="Arial"/>
        </w:rPr>
        <w:t>1</w:t>
      </w:r>
      <w:r w:rsidR="003B0F76" w:rsidRPr="002B5C2C">
        <w:rPr>
          <w:rFonts w:ascii="Arial" w:hAnsi="Arial" w:cs="Arial"/>
        </w:rPr>
        <w:t>3</w:t>
      </w:r>
      <w:r w:rsidRPr="002B5C2C">
        <w:rPr>
          <w:rFonts w:ascii="Arial" w:hAnsi="Arial" w:cs="Arial"/>
        </w:rPr>
        <w:t xml:space="preserve">°) Administrativo de </w:t>
      </w:r>
      <w:r w:rsidR="00911F88" w:rsidRPr="002B5C2C">
        <w:rPr>
          <w:rFonts w:ascii="Arial" w:hAnsi="Arial" w:cs="Arial"/>
        </w:rPr>
        <w:t>Cali</w:t>
      </w:r>
      <w:r w:rsidRPr="002B5C2C">
        <w:rPr>
          <w:rFonts w:ascii="Arial" w:hAnsi="Arial" w:cs="Arial"/>
        </w:rPr>
        <w:t xml:space="preserve"> (</w:t>
      </w:r>
      <w:r w:rsidR="00911F88" w:rsidRPr="002B5C2C">
        <w:rPr>
          <w:rFonts w:ascii="Arial" w:hAnsi="Arial" w:cs="Arial"/>
        </w:rPr>
        <w:t>Valle del C</w:t>
      </w:r>
      <w:r w:rsidRPr="002B5C2C">
        <w:rPr>
          <w:rFonts w:ascii="Arial" w:hAnsi="Arial" w:cs="Arial"/>
        </w:rPr>
        <w:t xml:space="preserve">auca), ordene: </w:t>
      </w:r>
    </w:p>
    <w:p w14:paraId="6EFE35CF" w14:textId="77777777" w:rsidR="002E183A" w:rsidRPr="002B5C2C" w:rsidRDefault="002E183A" w:rsidP="00E97BF5">
      <w:pPr>
        <w:spacing w:after="0" w:line="312" w:lineRule="auto"/>
        <w:jc w:val="both"/>
        <w:rPr>
          <w:rFonts w:ascii="Arial" w:hAnsi="Arial" w:cs="Arial"/>
        </w:rPr>
      </w:pPr>
    </w:p>
    <w:p w14:paraId="29632AD4" w14:textId="3AA643C5" w:rsidR="002E183A" w:rsidRPr="002B5C2C" w:rsidRDefault="002E183A" w:rsidP="00E97BF5">
      <w:pPr>
        <w:spacing w:after="0" w:line="312" w:lineRule="auto"/>
        <w:jc w:val="both"/>
        <w:rPr>
          <w:rFonts w:ascii="Arial" w:hAnsi="Arial" w:cs="Arial"/>
          <w:b/>
        </w:rPr>
      </w:pPr>
      <w:r w:rsidRPr="002B5C2C">
        <w:rPr>
          <w:rFonts w:ascii="Arial" w:hAnsi="Arial" w:cs="Arial"/>
          <w:b/>
          <w:bCs/>
        </w:rPr>
        <w:lastRenderedPageBreak/>
        <w:t>PRIMERO:</w:t>
      </w:r>
      <w:r w:rsidRPr="002B5C2C">
        <w:rPr>
          <w:rFonts w:ascii="Arial" w:hAnsi="Arial" w:cs="Arial"/>
        </w:rPr>
        <w:t xml:space="preserve"> Qué se </w:t>
      </w:r>
      <w:r w:rsidRPr="002B5C2C">
        <w:rPr>
          <w:rFonts w:ascii="Arial" w:hAnsi="Arial" w:cs="Arial"/>
          <w:b/>
        </w:rPr>
        <w:t>REPONGA</w:t>
      </w:r>
      <w:r w:rsidRPr="002B5C2C">
        <w:rPr>
          <w:rFonts w:ascii="Arial" w:hAnsi="Arial" w:cs="Arial"/>
        </w:rPr>
        <w:t xml:space="preserve"> para </w:t>
      </w:r>
      <w:r w:rsidRPr="002B5C2C">
        <w:rPr>
          <w:rFonts w:ascii="Arial" w:hAnsi="Arial" w:cs="Arial"/>
          <w:b/>
        </w:rPr>
        <w:t>REVOCAR</w:t>
      </w:r>
      <w:r w:rsidRPr="002B5C2C">
        <w:rPr>
          <w:rFonts w:ascii="Arial" w:hAnsi="Arial" w:cs="Arial"/>
        </w:rPr>
        <w:t xml:space="preserve"> </w:t>
      </w:r>
      <w:r w:rsidR="008B48BA" w:rsidRPr="002B5C2C">
        <w:rPr>
          <w:rFonts w:ascii="Arial" w:hAnsi="Arial" w:cs="Arial"/>
        </w:rPr>
        <w:t xml:space="preserve">el numeral </w:t>
      </w:r>
      <w:r w:rsidR="003B0F76" w:rsidRPr="002B5C2C">
        <w:rPr>
          <w:rFonts w:ascii="Arial" w:hAnsi="Arial" w:cs="Arial"/>
          <w:b/>
          <w:bCs/>
          <w:u w:val="single"/>
        </w:rPr>
        <w:t>SEXTO</w:t>
      </w:r>
      <w:r w:rsidRPr="002B5C2C">
        <w:rPr>
          <w:rFonts w:ascii="Arial" w:hAnsi="Arial" w:cs="Arial"/>
        </w:rPr>
        <w:t xml:space="preserve"> del </w:t>
      </w:r>
      <w:r w:rsidR="003B0F76" w:rsidRPr="002B5C2C">
        <w:rPr>
          <w:rFonts w:ascii="Arial" w:hAnsi="Arial" w:cs="Arial"/>
        </w:rPr>
        <w:t>Auto Interlocutorio No. 649 del 19 de julio de 2024</w:t>
      </w:r>
      <w:r w:rsidRPr="002B5C2C">
        <w:rPr>
          <w:rFonts w:ascii="Arial" w:hAnsi="Arial" w:cs="Arial"/>
          <w:bCs/>
        </w:rPr>
        <w:t>, y en su lugar,</w:t>
      </w:r>
      <w:r w:rsidR="00E73753">
        <w:rPr>
          <w:rFonts w:ascii="Arial" w:hAnsi="Arial" w:cs="Arial"/>
          <w:bCs/>
        </w:rPr>
        <w:t xml:space="preserve"> se</w:t>
      </w:r>
      <w:r w:rsidRPr="002B5C2C">
        <w:rPr>
          <w:rFonts w:ascii="Arial" w:hAnsi="Arial" w:cs="Arial"/>
          <w:bCs/>
        </w:rPr>
        <w:t xml:space="preserve"> </w:t>
      </w:r>
      <w:r w:rsidR="003B0F76" w:rsidRPr="002B5C2C">
        <w:rPr>
          <w:rFonts w:ascii="Arial" w:hAnsi="Arial" w:cs="Arial"/>
          <w:b/>
        </w:rPr>
        <w:t>ADMITA</w:t>
      </w:r>
      <w:r w:rsidR="003B0F76" w:rsidRPr="002B5C2C">
        <w:rPr>
          <w:rFonts w:ascii="Arial" w:hAnsi="Arial" w:cs="Arial"/>
          <w:bCs/>
        </w:rPr>
        <w:t xml:space="preserve"> el llamamiento en garantía formulado contra las coaseguradoras </w:t>
      </w:r>
      <w:r w:rsidR="003B0F76" w:rsidRPr="002B5C2C">
        <w:rPr>
          <w:rFonts w:ascii="Arial" w:hAnsi="Arial" w:cs="Arial"/>
          <w:color w:val="000000"/>
        </w:rPr>
        <w:t>Mapfre Seguros Generales de Colombia S.A., Axa Colpatria Seguros S.A. y a Allianz Seguros S.A.</w:t>
      </w:r>
      <w:r w:rsidR="00B872E3" w:rsidRPr="002B5C2C">
        <w:rPr>
          <w:rFonts w:ascii="Arial" w:hAnsi="Arial" w:cs="Arial"/>
        </w:rPr>
        <w:t xml:space="preserve"> en virtud del coaseguro existente en el contrato de seguros materializado en la Póliza Responsabilidad Civil No. 1008053. </w:t>
      </w:r>
    </w:p>
    <w:p w14:paraId="5C6EDEC1" w14:textId="77777777" w:rsidR="002E183A" w:rsidRPr="002B5C2C" w:rsidRDefault="002E183A" w:rsidP="00E97BF5">
      <w:pPr>
        <w:spacing w:after="0" w:line="312" w:lineRule="auto"/>
        <w:jc w:val="both"/>
        <w:rPr>
          <w:rFonts w:ascii="Arial" w:hAnsi="Arial" w:cs="Arial"/>
          <w:b/>
          <w:bCs/>
        </w:rPr>
      </w:pPr>
    </w:p>
    <w:p w14:paraId="246486DB" w14:textId="77777777" w:rsidR="002E183A" w:rsidRPr="002B5C2C" w:rsidRDefault="002E183A" w:rsidP="00E97BF5">
      <w:pPr>
        <w:spacing w:after="0" w:line="312" w:lineRule="auto"/>
        <w:jc w:val="both"/>
        <w:rPr>
          <w:rFonts w:ascii="Arial" w:hAnsi="Arial" w:cs="Arial"/>
        </w:rPr>
      </w:pPr>
      <w:r w:rsidRPr="002B5C2C">
        <w:rPr>
          <w:rFonts w:ascii="Arial" w:hAnsi="Arial" w:cs="Arial"/>
          <w:b/>
          <w:bCs/>
        </w:rPr>
        <w:t>SEGUNDO:</w:t>
      </w:r>
      <w:r w:rsidRPr="002B5C2C">
        <w:rPr>
          <w:rFonts w:ascii="Arial" w:hAnsi="Arial" w:cs="Arial"/>
        </w:rPr>
        <w:t xml:space="preserve"> En el evento en que el H. Despacho no acceda a las peticiones anteriores, respetuosamente solicito se conceda el recurso apelación. </w:t>
      </w:r>
    </w:p>
    <w:p w14:paraId="3F9632E3" w14:textId="77777777" w:rsidR="002E183A" w:rsidRPr="002B5C2C" w:rsidRDefault="002E183A" w:rsidP="00E97BF5">
      <w:pPr>
        <w:spacing w:after="0" w:line="312" w:lineRule="auto"/>
        <w:jc w:val="both"/>
        <w:rPr>
          <w:rFonts w:ascii="Arial" w:hAnsi="Arial" w:cs="Arial"/>
        </w:rPr>
      </w:pPr>
    </w:p>
    <w:p w14:paraId="2B6D2EEA" w14:textId="77777777" w:rsidR="00DC3189" w:rsidRPr="002B5C2C" w:rsidRDefault="00DC3189" w:rsidP="00E97BF5">
      <w:pPr>
        <w:spacing w:after="0" w:line="312" w:lineRule="auto"/>
        <w:jc w:val="center"/>
        <w:rPr>
          <w:rFonts w:ascii="Arial" w:eastAsia="Arial" w:hAnsi="Arial" w:cs="Arial"/>
          <w:b/>
          <w:u w:val="single"/>
        </w:rPr>
      </w:pPr>
    </w:p>
    <w:p w14:paraId="4B7E5DA2" w14:textId="64C42192" w:rsidR="002E183A" w:rsidRPr="002B5C2C" w:rsidRDefault="002E183A" w:rsidP="00E97BF5">
      <w:pPr>
        <w:tabs>
          <w:tab w:val="left" w:pos="426"/>
        </w:tabs>
        <w:spacing w:after="0" w:line="312" w:lineRule="auto"/>
        <w:jc w:val="center"/>
        <w:rPr>
          <w:rFonts w:ascii="Arial" w:hAnsi="Arial" w:cs="Arial"/>
          <w:b/>
          <w:bCs/>
          <w:u w:val="single"/>
        </w:rPr>
      </w:pPr>
      <w:r w:rsidRPr="002B5C2C">
        <w:rPr>
          <w:rFonts w:ascii="Arial" w:hAnsi="Arial" w:cs="Arial"/>
          <w:b/>
          <w:bCs/>
          <w:u w:val="single"/>
        </w:rPr>
        <w:t xml:space="preserve">CAPÍTULO </w:t>
      </w:r>
      <w:r w:rsidR="002235E8" w:rsidRPr="002B5C2C">
        <w:rPr>
          <w:rFonts w:ascii="Arial" w:hAnsi="Arial" w:cs="Arial"/>
          <w:b/>
          <w:bCs/>
          <w:u w:val="single"/>
        </w:rPr>
        <w:t>IV</w:t>
      </w:r>
      <w:r w:rsidRPr="002B5C2C">
        <w:rPr>
          <w:rFonts w:ascii="Arial" w:hAnsi="Arial" w:cs="Arial"/>
          <w:b/>
          <w:bCs/>
          <w:u w:val="single"/>
        </w:rPr>
        <w:t>. NOTIFICACIONES.</w:t>
      </w:r>
    </w:p>
    <w:p w14:paraId="49DAFF92" w14:textId="77777777" w:rsidR="002E183A" w:rsidRPr="002B5C2C" w:rsidRDefault="002E183A" w:rsidP="00E97BF5">
      <w:pPr>
        <w:pStyle w:val="Prrafodelista"/>
        <w:tabs>
          <w:tab w:val="left" w:pos="426"/>
        </w:tabs>
        <w:spacing w:after="0" w:line="312" w:lineRule="auto"/>
        <w:ind w:left="0"/>
        <w:jc w:val="both"/>
        <w:rPr>
          <w:rFonts w:ascii="Arial" w:hAnsi="Arial" w:cs="Arial"/>
        </w:rPr>
      </w:pPr>
    </w:p>
    <w:p w14:paraId="5B8F939F" w14:textId="77777777" w:rsidR="00E97BF5" w:rsidRDefault="00E97BF5" w:rsidP="00E97BF5">
      <w:pPr>
        <w:spacing w:after="0" w:line="312" w:lineRule="auto"/>
        <w:jc w:val="both"/>
        <w:rPr>
          <w:rFonts w:ascii="Arial" w:hAnsi="Arial" w:cs="Arial"/>
        </w:rPr>
      </w:pPr>
    </w:p>
    <w:p w14:paraId="718B5735" w14:textId="2B6EFA93" w:rsidR="002E183A" w:rsidRPr="002B5C2C" w:rsidRDefault="002E183A" w:rsidP="00E97BF5">
      <w:pPr>
        <w:spacing w:after="0" w:line="312" w:lineRule="auto"/>
        <w:jc w:val="both"/>
        <w:rPr>
          <w:rFonts w:ascii="Arial" w:hAnsi="Arial" w:cs="Arial"/>
        </w:rPr>
      </w:pPr>
      <w:r w:rsidRPr="002B5C2C">
        <w:rPr>
          <w:rFonts w:ascii="Arial" w:hAnsi="Arial" w:cs="Arial"/>
        </w:rPr>
        <w:t xml:space="preserve">El suscrito recibirá notificaciones en la Avenida 6 A Bis No. 35N-100 Oficina 212 Centro Empresarial Chipichape de la ciudad de Cali. Email: </w:t>
      </w:r>
      <w:hyperlink r:id="rId10" w:history="1">
        <w:r w:rsidRPr="002B5C2C">
          <w:rPr>
            <w:rStyle w:val="Hipervnculo"/>
            <w:rFonts w:ascii="Arial" w:hAnsi="Arial" w:cs="Arial"/>
          </w:rPr>
          <w:t>notificaciones@gha.com.co</w:t>
        </w:r>
      </w:hyperlink>
    </w:p>
    <w:p w14:paraId="099D7DEC" w14:textId="77777777" w:rsidR="002E183A" w:rsidRPr="002B5C2C" w:rsidRDefault="002E183A" w:rsidP="00E97BF5">
      <w:pPr>
        <w:spacing w:after="0" w:line="312" w:lineRule="auto"/>
        <w:jc w:val="both"/>
        <w:rPr>
          <w:rFonts w:ascii="Arial" w:hAnsi="Arial" w:cs="Arial"/>
        </w:rPr>
      </w:pPr>
      <w:r w:rsidRPr="002B5C2C">
        <w:rPr>
          <w:rFonts w:ascii="Arial" w:hAnsi="Arial" w:cs="Arial"/>
        </w:rPr>
        <w:t xml:space="preserve"> </w:t>
      </w:r>
    </w:p>
    <w:p w14:paraId="79F48F56" w14:textId="77777777" w:rsidR="002E183A" w:rsidRPr="002B5C2C" w:rsidRDefault="002E183A" w:rsidP="00E97BF5">
      <w:pPr>
        <w:tabs>
          <w:tab w:val="left" w:pos="2268"/>
        </w:tabs>
        <w:spacing w:after="0" w:line="312" w:lineRule="auto"/>
        <w:jc w:val="both"/>
        <w:rPr>
          <w:rFonts w:ascii="Arial" w:hAnsi="Arial" w:cs="Arial"/>
        </w:rPr>
      </w:pPr>
      <w:r w:rsidRPr="002B5C2C">
        <w:rPr>
          <w:rFonts w:ascii="Arial" w:hAnsi="Arial" w:cs="Arial"/>
        </w:rPr>
        <w:t xml:space="preserve">Cordialmente, </w:t>
      </w:r>
      <w:r w:rsidRPr="002B5C2C">
        <w:rPr>
          <w:rFonts w:ascii="Arial" w:hAnsi="Arial" w:cs="Arial"/>
          <w:iCs/>
          <w:noProof/>
          <w:lang w:val="en-US"/>
        </w:rPr>
        <w:drawing>
          <wp:anchor distT="0" distB="0" distL="114300" distR="114300" simplePos="0" relativeHeight="251659264" behindDoc="1" locked="0" layoutInCell="1" allowOverlap="1" wp14:anchorId="5467A893" wp14:editId="27BAE592">
            <wp:simplePos x="0" y="0"/>
            <wp:positionH relativeFrom="margin">
              <wp:posOffset>-74930</wp:posOffset>
            </wp:positionH>
            <wp:positionV relativeFrom="paragraph">
              <wp:posOffset>41910</wp:posOffset>
            </wp:positionV>
            <wp:extent cx="2409825" cy="16002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BD6D2" w14:textId="77777777" w:rsidR="002E183A" w:rsidRPr="002B5C2C" w:rsidRDefault="002E183A" w:rsidP="00E97BF5">
      <w:pPr>
        <w:tabs>
          <w:tab w:val="left" w:pos="2268"/>
        </w:tabs>
        <w:spacing w:after="0" w:line="312" w:lineRule="auto"/>
        <w:jc w:val="both"/>
        <w:rPr>
          <w:rFonts w:ascii="Arial" w:hAnsi="Arial" w:cs="Arial"/>
        </w:rPr>
      </w:pPr>
    </w:p>
    <w:p w14:paraId="4ADD0470" w14:textId="77777777" w:rsidR="002E183A" w:rsidRPr="002B5C2C" w:rsidRDefault="002E183A" w:rsidP="00E97BF5">
      <w:pPr>
        <w:pStyle w:val="Sinespaciado"/>
        <w:spacing w:line="312" w:lineRule="auto"/>
        <w:rPr>
          <w:rFonts w:ascii="Arial" w:hAnsi="Arial" w:cs="Arial"/>
        </w:rPr>
      </w:pPr>
    </w:p>
    <w:p w14:paraId="1C0027D6" w14:textId="77777777" w:rsidR="002E183A" w:rsidRPr="002B5C2C" w:rsidRDefault="002E183A" w:rsidP="00E97BF5">
      <w:pPr>
        <w:pStyle w:val="Sinespaciado"/>
        <w:spacing w:line="312" w:lineRule="auto"/>
        <w:rPr>
          <w:rFonts w:ascii="Arial" w:hAnsi="Arial" w:cs="Arial"/>
        </w:rPr>
      </w:pPr>
    </w:p>
    <w:p w14:paraId="4D050CD7" w14:textId="77777777" w:rsidR="002E183A" w:rsidRPr="002B5C2C" w:rsidRDefault="002E183A" w:rsidP="00E97BF5">
      <w:pPr>
        <w:pStyle w:val="Sinespaciado"/>
        <w:spacing w:line="312" w:lineRule="auto"/>
        <w:rPr>
          <w:rFonts w:ascii="Arial" w:hAnsi="Arial" w:cs="Arial"/>
        </w:rPr>
      </w:pPr>
    </w:p>
    <w:p w14:paraId="55CA749D" w14:textId="77777777" w:rsidR="002E183A" w:rsidRPr="002B5C2C" w:rsidRDefault="002E183A" w:rsidP="00E97BF5">
      <w:pPr>
        <w:pStyle w:val="Sinespaciado"/>
        <w:spacing w:line="312" w:lineRule="auto"/>
        <w:rPr>
          <w:rFonts w:ascii="Arial" w:hAnsi="Arial" w:cs="Arial"/>
          <w:b/>
        </w:rPr>
      </w:pPr>
      <w:r w:rsidRPr="002B5C2C">
        <w:rPr>
          <w:rFonts w:ascii="Arial" w:hAnsi="Arial" w:cs="Arial"/>
          <w:b/>
        </w:rPr>
        <w:t>GUSTAVO ALBERTO HERRERA AVILA</w:t>
      </w:r>
    </w:p>
    <w:p w14:paraId="52E88313" w14:textId="77777777" w:rsidR="002E183A" w:rsidRPr="002B5C2C" w:rsidRDefault="002E183A" w:rsidP="00E97BF5">
      <w:pPr>
        <w:pStyle w:val="Sinespaciado"/>
        <w:spacing w:line="312" w:lineRule="auto"/>
        <w:rPr>
          <w:rFonts w:ascii="Arial" w:hAnsi="Arial" w:cs="Arial"/>
        </w:rPr>
      </w:pPr>
      <w:r w:rsidRPr="002B5C2C">
        <w:rPr>
          <w:rFonts w:ascii="Arial" w:hAnsi="Arial" w:cs="Arial"/>
        </w:rPr>
        <w:t>C.C No. 19.395.114 de Bogotá D.C</w:t>
      </w:r>
    </w:p>
    <w:bookmarkEnd w:id="2"/>
    <w:p w14:paraId="617108F4" w14:textId="3B69D016" w:rsidR="00194DAC" w:rsidRPr="002B5C2C" w:rsidRDefault="002E183A" w:rsidP="00E97BF5">
      <w:pPr>
        <w:pStyle w:val="Sinespaciado"/>
        <w:spacing w:line="312" w:lineRule="auto"/>
        <w:ind w:left="0" w:firstLine="0"/>
        <w:rPr>
          <w:rFonts w:ascii="Arial" w:hAnsi="Arial" w:cs="Arial"/>
        </w:rPr>
      </w:pPr>
      <w:r w:rsidRPr="002B5C2C">
        <w:rPr>
          <w:rFonts w:ascii="Arial" w:hAnsi="Arial" w:cs="Arial"/>
        </w:rPr>
        <w:t>T.P. No. 39.116 del C.S. de la J.</w:t>
      </w:r>
    </w:p>
    <w:sectPr w:rsidR="00194DAC" w:rsidRPr="002B5C2C"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63DCD" w14:textId="77777777" w:rsidR="00E0717D" w:rsidRDefault="00E0717D" w:rsidP="0025591F">
      <w:r>
        <w:separator/>
      </w:r>
    </w:p>
  </w:endnote>
  <w:endnote w:type="continuationSeparator" w:id="0">
    <w:p w14:paraId="5788A603" w14:textId="77777777" w:rsidR="00E0717D" w:rsidRDefault="00E0717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8146" w14:textId="7680C1A5" w:rsidR="004A356B" w:rsidRDefault="00B54DCC" w:rsidP="004A356B">
    <w:pPr>
      <w:rPr>
        <w:color w:val="222A35" w:themeColor="text2" w:themeShade="80"/>
      </w:rPr>
    </w:pPr>
    <w:r>
      <w:rPr>
        <w:noProof/>
      </w:rPr>
      <mc:AlternateContent>
        <mc:Choice Requires="wps">
          <w:drawing>
            <wp:anchor distT="0" distB="0" distL="114300" distR="114300" simplePos="0" relativeHeight="251662336" behindDoc="1" locked="0" layoutInCell="1" allowOverlap="1" wp14:anchorId="6BE44A7E" wp14:editId="6ADB8DC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4A7E"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327D7F5" wp14:editId="4A9485B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402E4" w14:textId="4491D6C5" w:rsidR="00416F84" w:rsidRDefault="002E183A"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61EED5F" wp14:editId="707A8291">
          <wp:simplePos x="0" y="0"/>
          <wp:positionH relativeFrom="column">
            <wp:posOffset>4463415</wp:posOffset>
          </wp:positionH>
          <wp:positionV relativeFrom="margin">
            <wp:posOffset>9941560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FC1F7" w14:textId="1885FCEA" w:rsidR="00416F84" w:rsidRDefault="00416F84" w:rsidP="00416F84">
    <w:pPr>
      <w:ind w:left="7080" w:firstLine="708"/>
      <w:rPr>
        <w:color w:val="222A35" w:themeColor="text2" w:themeShade="80"/>
      </w:rPr>
    </w:pPr>
  </w:p>
  <w:p w14:paraId="1940F21B" w14:textId="674464F0" w:rsidR="00416F84" w:rsidRDefault="002E183A"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EDA30F8" wp14:editId="6263C800">
              <wp:simplePos x="0" y="0"/>
              <wp:positionH relativeFrom="page">
                <wp:posOffset>113665</wp:posOffset>
              </wp:positionH>
              <wp:positionV relativeFrom="bottomMargin">
                <wp:posOffset>1221740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D41B8" w14:textId="659B061B" w:rsidR="00416F84" w:rsidRPr="004A356B" w:rsidRDefault="002E183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30F8" id="Rectángulo 5" o:spid="_x0000_s1027" style="position:absolute;margin-left:8.95pt;margin-top:96.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" filled="f" stroked="f" strokeweight="1pt">
              <v:textbox>
                <w:txbxContent>
                  <w:p w14:paraId="6EED41B8" w14:textId="659B061B" w:rsidR="00416F84" w:rsidRPr="004A356B" w:rsidRDefault="002E183A"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KLGM</w:t>
                    </w:r>
                  </w:p>
                </w:txbxContent>
              </v:textbox>
              <w10:wrap anchorx="page" anchory="margin"/>
            </v:rect>
          </w:pict>
        </mc:Fallback>
      </mc:AlternateContent>
    </w:r>
  </w:p>
  <w:p w14:paraId="6B94B353"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42B055DD"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E1FE" w14:textId="77777777" w:rsidR="00E0717D" w:rsidRDefault="00E0717D" w:rsidP="0025591F">
      <w:r>
        <w:separator/>
      </w:r>
    </w:p>
  </w:footnote>
  <w:footnote w:type="continuationSeparator" w:id="0">
    <w:p w14:paraId="1D6D6F98" w14:textId="77777777" w:rsidR="00E0717D" w:rsidRDefault="00E0717D" w:rsidP="0025591F">
      <w:r>
        <w:continuationSeparator/>
      </w:r>
    </w:p>
  </w:footnote>
  <w:footnote w:id="1">
    <w:p w14:paraId="2797B0BD" w14:textId="6BED22AF" w:rsidR="004C4DAB" w:rsidRPr="00F94364" w:rsidRDefault="004C4DAB">
      <w:pPr>
        <w:pStyle w:val="Textonotapie"/>
        <w:rPr>
          <w:rFonts w:ascii="Arial" w:hAnsi="Arial" w:cs="Arial"/>
          <w:sz w:val="18"/>
          <w:szCs w:val="18"/>
          <w:lang w:val="es-ES"/>
        </w:rPr>
      </w:pPr>
      <w:r w:rsidRPr="00F94364">
        <w:rPr>
          <w:rStyle w:val="Refdenotaalpie"/>
          <w:rFonts w:ascii="Arial" w:hAnsi="Arial" w:cs="Arial"/>
          <w:sz w:val="18"/>
          <w:szCs w:val="18"/>
        </w:rPr>
        <w:footnoteRef/>
      </w:r>
      <w:r w:rsidRPr="00F94364">
        <w:rPr>
          <w:rFonts w:ascii="Arial" w:hAnsi="Arial" w:cs="Arial"/>
          <w:sz w:val="18"/>
          <w:szCs w:val="18"/>
        </w:rPr>
        <w:t xml:space="preserve"> </w:t>
      </w:r>
      <w:r w:rsidR="003E7106" w:rsidRPr="00F94364">
        <w:rPr>
          <w:rFonts w:ascii="Arial" w:hAnsi="Arial" w:cs="Arial"/>
          <w:sz w:val="18"/>
          <w:szCs w:val="18"/>
          <w:lang w:val="es-ES"/>
        </w:rPr>
        <w:t xml:space="preserve">Sentencia del Consejo de Estado. Radicación número: 44001-23-31-000-2005-00548-01(17396). 01 de septiembre de 2011. </w:t>
      </w:r>
    </w:p>
  </w:footnote>
  <w:footnote w:id="2">
    <w:p w14:paraId="633195E6" w14:textId="5207F08F" w:rsidR="000F6A50" w:rsidRPr="000F6A50" w:rsidRDefault="000F6A50">
      <w:pPr>
        <w:pStyle w:val="Textonotapie"/>
        <w:rPr>
          <w:rFonts w:ascii="Arial" w:hAnsi="Arial" w:cs="Arial"/>
          <w:sz w:val="18"/>
          <w:szCs w:val="18"/>
          <w:lang w:val="es-ES"/>
        </w:rPr>
      </w:pPr>
      <w:r w:rsidRPr="000F6A50">
        <w:rPr>
          <w:rStyle w:val="Refdenotaalpie"/>
          <w:rFonts w:ascii="Arial" w:hAnsi="Arial" w:cs="Arial"/>
          <w:sz w:val="18"/>
          <w:szCs w:val="18"/>
        </w:rPr>
        <w:footnoteRef/>
      </w:r>
      <w:r w:rsidRPr="000F6A50">
        <w:rPr>
          <w:rFonts w:ascii="Arial" w:hAnsi="Arial" w:cs="Arial"/>
          <w:sz w:val="18"/>
          <w:szCs w:val="18"/>
        </w:rPr>
        <w:t xml:space="preserve"> </w:t>
      </w:r>
      <w:r w:rsidRPr="000F6A50">
        <w:rPr>
          <w:rFonts w:ascii="Arial" w:hAnsi="Arial" w:cs="Arial"/>
          <w:sz w:val="18"/>
          <w:szCs w:val="18"/>
          <w:lang w:val="es-ES"/>
        </w:rPr>
        <w:t xml:space="preserve">Consejo de Estado – Sentencia de unificación, </w:t>
      </w:r>
      <w:r w:rsidRPr="000F6A50">
        <w:rPr>
          <w:rFonts w:ascii="Arial" w:hAnsi="Arial" w:cs="Arial"/>
          <w:sz w:val="18"/>
          <w:szCs w:val="18"/>
        </w:rPr>
        <w:t>Expediente No. 11001-03-15-000-2007-01081-00(REV) de 30 de septiembre de 2014,</w:t>
      </w:r>
    </w:p>
  </w:footnote>
  <w:footnote w:id="3">
    <w:p w14:paraId="660E0BB4" w14:textId="61F16E42" w:rsidR="00D47D44" w:rsidRPr="00D47D44" w:rsidRDefault="00D47D44">
      <w:pPr>
        <w:pStyle w:val="Textonotapie"/>
        <w:rPr>
          <w:lang w:val="es-ES"/>
        </w:rPr>
      </w:pPr>
      <w:r w:rsidRPr="000F6A50">
        <w:rPr>
          <w:rStyle w:val="Refdenotaalpie"/>
          <w:rFonts w:ascii="Arial" w:hAnsi="Arial" w:cs="Arial"/>
          <w:sz w:val="18"/>
          <w:szCs w:val="18"/>
        </w:rPr>
        <w:footnoteRef/>
      </w:r>
      <w:r w:rsidRPr="000F6A50">
        <w:rPr>
          <w:rFonts w:ascii="Arial" w:hAnsi="Arial" w:cs="Arial"/>
          <w:sz w:val="18"/>
          <w:szCs w:val="18"/>
        </w:rPr>
        <w:t xml:space="preserve"> </w:t>
      </w:r>
      <w:r w:rsidR="00770768" w:rsidRPr="000F6A50">
        <w:rPr>
          <w:rFonts w:ascii="Arial" w:hAnsi="Arial" w:cs="Arial"/>
          <w:sz w:val="18"/>
          <w:szCs w:val="18"/>
          <w:lang w:val="es-ES"/>
        </w:rPr>
        <w:t xml:space="preserve">Concepto 393471 de 2021 - </w:t>
      </w:r>
      <w:r w:rsidR="00770768" w:rsidRPr="000F6A50">
        <w:rPr>
          <w:rFonts w:ascii="Arial" w:eastAsia="Times New Roman" w:hAnsi="Arial" w:cs="Arial"/>
          <w:sz w:val="18"/>
          <w:szCs w:val="18"/>
        </w:rPr>
        <w:t>Departamento Administrativo de la Función Pública</w:t>
      </w:r>
      <w:r w:rsidR="00F94364" w:rsidRPr="000F6A50">
        <w:rPr>
          <w:rFonts w:ascii="Arial" w:eastAsia="Times New Roman" w:hAnsi="Arial" w:cs="Arial"/>
          <w:sz w:val="18"/>
          <w:szCs w:val="18"/>
        </w:rPr>
        <w:t xml:space="preserve">. </w:t>
      </w:r>
      <w:r w:rsidR="00770768" w:rsidRPr="000F6A50">
        <w:rPr>
          <w:rFonts w:ascii="Arial" w:eastAsia="Times New Roman"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0B6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29F9DBE" wp14:editId="207366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E2305DE"/>
    <w:multiLevelType w:val="hybridMultilevel"/>
    <w:tmpl w:val="702A7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856901">
    <w:abstractNumId w:val="0"/>
  </w:num>
  <w:num w:numId="2" w16cid:durableId="12165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A"/>
    <w:rsid w:val="0000324F"/>
    <w:rsid w:val="00020FDA"/>
    <w:rsid w:val="0003111F"/>
    <w:rsid w:val="000443BD"/>
    <w:rsid w:val="00054547"/>
    <w:rsid w:val="00073211"/>
    <w:rsid w:val="000770A2"/>
    <w:rsid w:val="0009519D"/>
    <w:rsid w:val="0009788D"/>
    <w:rsid w:val="000A08C1"/>
    <w:rsid w:val="000A1CAE"/>
    <w:rsid w:val="000C2815"/>
    <w:rsid w:val="000C3DAE"/>
    <w:rsid w:val="000C410B"/>
    <w:rsid w:val="000C7416"/>
    <w:rsid w:val="000D07CE"/>
    <w:rsid w:val="000D6A18"/>
    <w:rsid w:val="000E3769"/>
    <w:rsid w:val="000E3977"/>
    <w:rsid w:val="000E399F"/>
    <w:rsid w:val="000F6A50"/>
    <w:rsid w:val="0012167C"/>
    <w:rsid w:val="00123E76"/>
    <w:rsid w:val="0013090C"/>
    <w:rsid w:val="001415E0"/>
    <w:rsid w:val="00142162"/>
    <w:rsid w:val="00150B22"/>
    <w:rsid w:val="00161260"/>
    <w:rsid w:val="00162901"/>
    <w:rsid w:val="001711E0"/>
    <w:rsid w:val="0017621F"/>
    <w:rsid w:val="001767FF"/>
    <w:rsid w:val="00186E61"/>
    <w:rsid w:val="001925A0"/>
    <w:rsid w:val="00194DAC"/>
    <w:rsid w:val="00196FE8"/>
    <w:rsid w:val="001A6DDC"/>
    <w:rsid w:val="001B479B"/>
    <w:rsid w:val="001B50EC"/>
    <w:rsid w:val="001B6824"/>
    <w:rsid w:val="001B6EB7"/>
    <w:rsid w:val="001D1011"/>
    <w:rsid w:val="001E0D1F"/>
    <w:rsid w:val="001F4328"/>
    <w:rsid w:val="001F5C98"/>
    <w:rsid w:val="002235E8"/>
    <w:rsid w:val="00225068"/>
    <w:rsid w:val="002266E4"/>
    <w:rsid w:val="00227344"/>
    <w:rsid w:val="00234F3F"/>
    <w:rsid w:val="0024256F"/>
    <w:rsid w:val="002445F4"/>
    <w:rsid w:val="00253E41"/>
    <w:rsid w:val="00254E27"/>
    <w:rsid w:val="00255881"/>
    <w:rsid w:val="0025591F"/>
    <w:rsid w:val="00267DDC"/>
    <w:rsid w:val="00270086"/>
    <w:rsid w:val="00276E81"/>
    <w:rsid w:val="00281D90"/>
    <w:rsid w:val="00284CC8"/>
    <w:rsid w:val="00286F4E"/>
    <w:rsid w:val="002A2059"/>
    <w:rsid w:val="002A3B73"/>
    <w:rsid w:val="002A4580"/>
    <w:rsid w:val="002B25E2"/>
    <w:rsid w:val="002B5C2C"/>
    <w:rsid w:val="002B5E76"/>
    <w:rsid w:val="002B64C9"/>
    <w:rsid w:val="002D05E2"/>
    <w:rsid w:val="002E183A"/>
    <w:rsid w:val="002E3252"/>
    <w:rsid w:val="00305A07"/>
    <w:rsid w:val="00313037"/>
    <w:rsid w:val="003448D5"/>
    <w:rsid w:val="003470D6"/>
    <w:rsid w:val="00351AB9"/>
    <w:rsid w:val="00366770"/>
    <w:rsid w:val="00372ECA"/>
    <w:rsid w:val="00375AFE"/>
    <w:rsid w:val="00376F67"/>
    <w:rsid w:val="003802D5"/>
    <w:rsid w:val="00383763"/>
    <w:rsid w:val="003904D5"/>
    <w:rsid w:val="00395793"/>
    <w:rsid w:val="003B0F76"/>
    <w:rsid w:val="003B5118"/>
    <w:rsid w:val="003C4512"/>
    <w:rsid w:val="003C5BCE"/>
    <w:rsid w:val="003E4149"/>
    <w:rsid w:val="003E556A"/>
    <w:rsid w:val="003E7106"/>
    <w:rsid w:val="003F20FA"/>
    <w:rsid w:val="003F26B0"/>
    <w:rsid w:val="0040004F"/>
    <w:rsid w:val="00415A29"/>
    <w:rsid w:val="0041676E"/>
    <w:rsid w:val="00416F84"/>
    <w:rsid w:val="0042497F"/>
    <w:rsid w:val="004267E4"/>
    <w:rsid w:val="00436151"/>
    <w:rsid w:val="00446FAB"/>
    <w:rsid w:val="004533CF"/>
    <w:rsid w:val="00470810"/>
    <w:rsid w:val="00481E26"/>
    <w:rsid w:val="00495299"/>
    <w:rsid w:val="004A08E5"/>
    <w:rsid w:val="004A1F27"/>
    <w:rsid w:val="004A356B"/>
    <w:rsid w:val="004B4F72"/>
    <w:rsid w:val="004B72FF"/>
    <w:rsid w:val="004C01CE"/>
    <w:rsid w:val="004C4DAB"/>
    <w:rsid w:val="004D3E7F"/>
    <w:rsid w:val="004F1A28"/>
    <w:rsid w:val="004F1BA1"/>
    <w:rsid w:val="00505F3C"/>
    <w:rsid w:val="005349E5"/>
    <w:rsid w:val="005426F0"/>
    <w:rsid w:val="005438AD"/>
    <w:rsid w:val="00543F6F"/>
    <w:rsid w:val="005452FE"/>
    <w:rsid w:val="00550811"/>
    <w:rsid w:val="00554AAD"/>
    <w:rsid w:val="00567100"/>
    <w:rsid w:val="00572764"/>
    <w:rsid w:val="00587E31"/>
    <w:rsid w:val="00597A61"/>
    <w:rsid w:val="005A07E2"/>
    <w:rsid w:val="005A3F2C"/>
    <w:rsid w:val="005B3BC8"/>
    <w:rsid w:val="005C3EBF"/>
    <w:rsid w:val="005D4606"/>
    <w:rsid w:val="005D7117"/>
    <w:rsid w:val="005D7138"/>
    <w:rsid w:val="00602BED"/>
    <w:rsid w:val="006136FF"/>
    <w:rsid w:val="00617EC0"/>
    <w:rsid w:val="00637020"/>
    <w:rsid w:val="006376A7"/>
    <w:rsid w:val="00644ECA"/>
    <w:rsid w:val="00647DDD"/>
    <w:rsid w:val="006564AC"/>
    <w:rsid w:val="006652B3"/>
    <w:rsid w:val="0067133B"/>
    <w:rsid w:val="00674986"/>
    <w:rsid w:val="006925AA"/>
    <w:rsid w:val="00696C47"/>
    <w:rsid w:val="006B7A1A"/>
    <w:rsid w:val="006C38AF"/>
    <w:rsid w:val="006F22B5"/>
    <w:rsid w:val="006F2ECB"/>
    <w:rsid w:val="006F3F7B"/>
    <w:rsid w:val="006F4EF8"/>
    <w:rsid w:val="00701219"/>
    <w:rsid w:val="00702A1F"/>
    <w:rsid w:val="00706909"/>
    <w:rsid w:val="00710D97"/>
    <w:rsid w:val="00737E32"/>
    <w:rsid w:val="007564B4"/>
    <w:rsid w:val="00766E61"/>
    <w:rsid w:val="00770768"/>
    <w:rsid w:val="00793C8E"/>
    <w:rsid w:val="007B42E4"/>
    <w:rsid w:val="007C1A65"/>
    <w:rsid w:val="007C710E"/>
    <w:rsid w:val="007D0B8D"/>
    <w:rsid w:val="007F632D"/>
    <w:rsid w:val="007F6A39"/>
    <w:rsid w:val="00802B29"/>
    <w:rsid w:val="008042C0"/>
    <w:rsid w:val="0080754C"/>
    <w:rsid w:val="008147D9"/>
    <w:rsid w:val="008227A3"/>
    <w:rsid w:val="00830493"/>
    <w:rsid w:val="0083427B"/>
    <w:rsid w:val="00837B7D"/>
    <w:rsid w:val="00854D03"/>
    <w:rsid w:val="00856B12"/>
    <w:rsid w:val="00861E8C"/>
    <w:rsid w:val="00867B41"/>
    <w:rsid w:val="00873A69"/>
    <w:rsid w:val="008830A7"/>
    <w:rsid w:val="00896BB9"/>
    <w:rsid w:val="00897EEA"/>
    <w:rsid w:val="008A0A07"/>
    <w:rsid w:val="008A3EE5"/>
    <w:rsid w:val="008B48BA"/>
    <w:rsid w:val="008C59DF"/>
    <w:rsid w:val="008D08AE"/>
    <w:rsid w:val="008D53D6"/>
    <w:rsid w:val="008D5F13"/>
    <w:rsid w:val="008E4E08"/>
    <w:rsid w:val="008E5BCA"/>
    <w:rsid w:val="008E7A08"/>
    <w:rsid w:val="008F1E2F"/>
    <w:rsid w:val="008F5A46"/>
    <w:rsid w:val="009116D3"/>
    <w:rsid w:val="00911F88"/>
    <w:rsid w:val="00916FAB"/>
    <w:rsid w:val="00920452"/>
    <w:rsid w:val="0092063B"/>
    <w:rsid w:val="00925380"/>
    <w:rsid w:val="009266E4"/>
    <w:rsid w:val="00970F67"/>
    <w:rsid w:val="00983F5A"/>
    <w:rsid w:val="00992BDC"/>
    <w:rsid w:val="00997BE1"/>
    <w:rsid w:val="00997C0E"/>
    <w:rsid w:val="009A6E17"/>
    <w:rsid w:val="009D275D"/>
    <w:rsid w:val="009D3878"/>
    <w:rsid w:val="009E3513"/>
    <w:rsid w:val="00A12C65"/>
    <w:rsid w:val="00A3129D"/>
    <w:rsid w:val="00A45A54"/>
    <w:rsid w:val="00A76C40"/>
    <w:rsid w:val="00A82BB6"/>
    <w:rsid w:val="00A877E6"/>
    <w:rsid w:val="00AB3A2C"/>
    <w:rsid w:val="00AC1CD6"/>
    <w:rsid w:val="00AC5A14"/>
    <w:rsid w:val="00AD024C"/>
    <w:rsid w:val="00AD03AA"/>
    <w:rsid w:val="00B02C9C"/>
    <w:rsid w:val="00B117F2"/>
    <w:rsid w:val="00B20189"/>
    <w:rsid w:val="00B20807"/>
    <w:rsid w:val="00B2308F"/>
    <w:rsid w:val="00B54DCC"/>
    <w:rsid w:val="00B60F60"/>
    <w:rsid w:val="00B70C20"/>
    <w:rsid w:val="00B872E3"/>
    <w:rsid w:val="00B97085"/>
    <w:rsid w:val="00BA33E1"/>
    <w:rsid w:val="00BB2EC5"/>
    <w:rsid w:val="00BB7105"/>
    <w:rsid w:val="00BC0FD1"/>
    <w:rsid w:val="00BE6214"/>
    <w:rsid w:val="00BE70C8"/>
    <w:rsid w:val="00BF1A90"/>
    <w:rsid w:val="00C53500"/>
    <w:rsid w:val="00C70FF5"/>
    <w:rsid w:val="00C751EC"/>
    <w:rsid w:val="00C83D59"/>
    <w:rsid w:val="00C90F62"/>
    <w:rsid w:val="00CA1CBF"/>
    <w:rsid w:val="00CA2EE7"/>
    <w:rsid w:val="00CB225C"/>
    <w:rsid w:val="00CB5BC1"/>
    <w:rsid w:val="00CB5D9E"/>
    <w:rsid w:val="00CC2F73"/>
    <w:rsid w:val="00CD1B3C"/>
    <w:rsid w:val="00CD557F"/>
    <w:rsid w:val="00CE2891"/>
    <w:rsid w:val="00CE380C"/>
    <w:rsid w:val="00CE68CA"/>
    <w:rsid w:val="00D07453"/>
    <w:rsid w:val="00D23A48"/>
    <w:rsid w:val="00D268B3"/>
    <w:rsid w:val="00D35C7A"/>
    <w:rsid w:val="00D4397C"/>
    <w:rsid w:val="00D43EFB"/>
    <w:rsid w:val="00D448CA"/>
    <w:rsid w:val="00D4715F"/>
    <w:rsid w:val="00D4732C"/>
    <w:rsid w:val="00D47D44"/>
    <w:rsid w:val="00D60EAE"/>
    <w:rsid w:val="00D64A2F"/>
    <w:rsid w:val="00D6651E"/>
    <w:rsid w:val="00D83F1C"/>
    <w:rsid w:val="00DA3F2D"/>
    <w:rsid w:val="00DA6836"/>
    <w:rsid w:val="00DB69BE"/>
    <w:rsid w:val="00DC3189"/>
    <w:rsid w:val="00DE711F"/>
    <w:rsid w:val="00DF19DE"/>
    <w:rsid w:val="00E0717D"/>
    <w:rsid w:val="00E15AE4"/>
    <w:rsid w:val="00E21051"/>
    <w:rsid w:val="00E23DED"/>
    <w:rsid w:val="00E2420B"/>
    <w:rsid w:val="00E36DAD"/>
    <w:rsid w:val="00E426DF"/>
    <w:rsid w:val="00E43BA7"/>
    <w:rsid w:val="00E63613"/>
    <w:rsid w:val="00E63CC0"/>
    <w:rsid w:val="00E6570A"/>
    <w:rsid w:val="00E717DE"/>
    <w:rsid w:val="00E73753"/>
    <w:rsid w:val="00E77C01"/>
    <w:rsid w:val="00E93F7B"/>
    <w:rsid w:val="00E97BF5"/>
    <w:rsid w:val="00EB06B6"/>
    <w:rsid w:val="00EB5F5F"/>
    <w:rsid w:val="00EC1571"/>
    <w:rsid w:val="00EC434B"/>
    <w:rsid w:val="00ED7E14"/>
    <w:rsid w:val="00EE40E3"/>
    <w:rsid w:val="00EF7A1D"/>
    <w:rsid w:val="00F2177C"/>
    <w:rsid w:val="00F36802"/>
    <w:rsid w:val="00F40DDD"/>
    <w:rsid w:val="00F61466"/>
    <w:rsid w:val="00F62285"/>
    <w:rsid w:val="00F67D4E"/>
    <w:rsid w:val="00F77149"/>
    <w:rsid w:val="00F94364"/>
    <w:rsid w:val="00F95354"/>
    <w:rsid w:val="00FA4FFB"/>
    <w:rsid w:val="00FA67E6"/>
    <w:rsid w:val="00FB0A06"/>
    <w:rsid w:val="00FB224C"/>
    <w:rsid w:val="00FC15D7"/>
    <w:rsid w:val="00FC44B1"/>
    <w:rsid w:val="00FC5E80"/>
    <w:rsid w:val="00FC6712"/>
    <w:rsid w:val="00FC6AFA"/>
    <w:rsid w:val="00FD2AC3"/>
    <w:rsid w:val="00FE10B5"/>
    <w:rsid w:val="00FE5E2E"/>
    <w:rsid w:val="00FE6A5C"/>
    <w:rsid w:val="00FF1B9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A4033"/>
  <w15:chartTrackingRefBased/>
  <w15:docId w15:val="{3B002C2F-B58A-43C1-9DE4-58B536D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3A"/>
    <w:pPr>
      <w:spacing w:after="200" w:line="276" w:lineRule="auto"/>
    </w:pPr>
  </w:style>
  <w:style w:type="paragraph" w:styleId="Ttulo1">
    <w:name w:val="heading 1"/>
    <w:basedOn w:val="Normal"/>
    <w:link w:val="Ttulo1Car"/>
    <w:uiPriority w:val="9"/>
    <w:qFormat/>
    <w:rsid w:val="002B5E76"/>
    <w:pPr>
      <w:widowControl w:val="0"/>
      <w:autoSpaceDE w:val="0"/>
      <w:autoSpaceDN w:val="0"/>
      <w:spacing w:after="0" w:line="240" w:lineRule="auto"/>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pPr>
      <w:widowControl w:val="0"/>
      <w:autoSpaceDE w:val="0"/>
      <w:autoSpaceDN w:val="0"/>
      <w:spacing w:after="0" w:line="240" w:lineRule="auto"/>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spacing w:after="0" w:line="240" w:lineRule="auto"/>
      <w:ind w:right="260"/>
      <w:jc w:val="right"/>
    </w:pPr>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2E183A"/>
    <w:pPr>
      <w:spacing w:after="120"/>
    </w:pPr>
    <w:rPr>
      <w:sz w:val="16"/>
      <w:szCs w:val="16"/>
    </w:rPr>
  </w:style>
  <w:style w:type="character" w:customStyle="1" w:styleId="Textoindependiente3Car">
    <w:name w:val="Texto independiente 3 Car"/>
    <w:basedOn w:val="Fuentedeprrafopredeter"/>
    <w:link w:val="Textoindependiente3"/>
    <w:uiPriority w:val="99"/>
    <w:rsid w:val="002E183A"/>
    <w:rPr>
      <w:sz w:val="16"/>
      <w:szCs w:val="16"/>
    </w:rPr>
  </w:style>
  <w:style w:type="paragraph" w:customStyle="1" w:styleId="Standard">
    <w:name w:val="Standard"/>
    <w:rsid w:val="002E183A"/>
    <w:pPr>
      <w:suppressAutoHyphens/>
      <w:autoSpaceDN w:val="0"/>
      <w:spacing w:after="200" w:line="276" w:lineRule="auto"/>
      <w:textAlignment w:val="baseline"/>
    </w:pPr>
    <w:rPr>
      <w:rFonts w:ascii="Calibri" w:eastAsia="Calibri" w:hAnsi="Calibri" w:cs="Tahoma"/>
    </w:rPr>
  </w:style>
  <w:style w:type="paragraph" w:styleId="Prrafodelista">
    <w:name w:val="List Paragraph"/>
    <w:basedOn w:val="Normal"/>
    <w:uiPriority w:val="34"/>
    <w:qFormat/>
    <w:rsid w:val="002E183A"/>
    <w:pPr>
      <w:ind w:left="720"/>
      <w:contextualSpacing/>
    </w:pPr>
  </w:style>
  <w:style w:type="paragraph" w:styleId="Sinespaciado">
    <w:name w:val="No Spacing"/>
    <w:qFormat/>
    <w:rsid w:val="002E183A"/>
    <w:pPr>
      <w:spacing w:after="0" w:line="240" w:lineRule="auto"/>
      <w:ind w:left="55" w:right="45" w:hanging="10"/>
      <w:jc w:val="both"/>
    </w:pPr>
    <w:rPr>
      <w:rFonts w:ascii="Calibri" w:eastAsia="Calibri" w:hAnsi="Calibri" w:cs="Calibri"/>
      <w:color w:val="000000"/>
      <w:lang w:eastAsia="es-CO"/>
    </w:rPr>
  </w:style>
  <w:style w:type="paragraph" w:styleId="NormalWeb">
    <w:name w:val="Normal (Web)"/>
    <w:basedOn w:val="Normal"/>
    <w:uiPriority w:val="99"/>
    <w:unhideWhenUsed/>
    <w:qFormat/>
    <w:rsid w:val="002E1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E183A"/>
    <w:pPr>
      <w:autoSpaceDE w:val="0"/>
      <w:autoSpaceDN w:val="0"/>
      <w:adjustRightInd w:val="0"/>
      <w:spacing w:after="0" w:line="240" w:lineRule="auto"/>
    </w:pPr>
    <w:rPr>
      <w:rFonts w:ascii="Arial" w:eastAsia="Calibri" w:hAnsi="Arial" w:cs="Arial"/>
      <w:color w:val="000000"/>
      <w:sz w:val="24"/>
      <w:szCs w:val="24"/>
    </w:rPr>
  </w:style>
  <w:style w:type="paragraph" w:styleId="Revisin">
    <w:name w:val="Revision"/>
    <w:hidden/>
    <w:uiPriority w:val="99"/>
    <w:semiHidden/>
    <w:rsid w:val="00CB225C"/>
    <w:pPr>
      <w:spacing w:after="0" w:line="240" w:lineRule="auto"/>
    </w:pPr>
  </w:style>
  <w:style w:type="character" w:styleId="Textoennegrita">
    <w:name w:val="Strong"/>
    <w:basedOn w:val="Fuentedeprrafopredeter"/>
    <w:uiPriority w:val="22"/>
    <w:qFormat/>
    <w:rsid w:val="000E3769"/>
    <w:rPr>
      <w:b/>
      <w:bCs/>
    </w:rPr>
  </w:style>
  <w:style w:type="character" w:styleId="nfasis">
    <w:name w:val="Emphasis"/>
    <w:basedOn w:val="Fuentedeprrafopredeter"/>
    <w:uiPriority w:val="20"/>
    <w:qFormat/>
    <w:rsid w:val="00FB0A06"/>
    <w:rPr>
      <w:i/>
      <w:iCs/>
    </w:rPr>
  </w:style>
  <w:style w:type="paragraph" w:styleId="Textonotapie">
    <w:name w:val="footnote text"/>
    <w:basedOn w:val="Normal"/>
    <w:link w:val="TextonotapieCar"/>
    <w:uiPriority w:val="99"/>
    <w:semiHidden/>
    <w:unhideWhenUsed/>
    <w:rsid w:val="00344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48D5"/>
    <w:rPr>
      <w:sz w:val="20"/>
      <w:szCs w:val="20"/>
    </w:rPr>
  </w:style>
  <w:style w:type="character" w:styleId="Refdenotaalpie">
    <w:name w:val="footnote reference"/>
    <w:basedOn w:val="Fuentedeprrafopredeter"/>
    <w:uiPriority w:val="99"/>
    <w:semiHidden/>
    <w:unhideWhenUsed/>
    <w:rsid w:val="003448D5"/>
    <w:rPr>
      <w:vertAlign w:val="superscript"/>
    </w:rPr>
  </w:style>
  <w:style w:type="character" w:styleId="Refdecomentario">
    <w:name w:val="annotation reference"/>
    <w:basedOn w:val="Fuentedeprrafopredeter"/>
    <w:uiPriority w:val="99"/>
    <w:semiHidden/>
    <w:unhideWhenUsed/>
    <w:rsid w:val="00856B12"/>
    <w:rPr>
      <w:sz w:val="16"/>
      <w:szCs w:val="16"/>
    </w:rPr>
  </w:style>
  <w:style w:type="paragraph" w:styleId="Textocomentario">
    <w:name w:val="annotation text"/>
    <w:basedOn w:val="Normal"/>
    <w:link w:val="TextocomentarioCar"/>
    <w:uiPriority w:val="99"/>
    <w:semiHidden/>
    <w:unhideWhenUsed/>
    <w:rsid w:val="00856B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B12"/>
    <w:rPr>
      <w:sz w:val="20"/>
      <w:szCs w:val="20"/>
    </w:rPr>
  </w:style>
  <w:style w:type="paragraph" w:styleId="Asuntodelcomentario">
    <w:name w:val="annotation subject"/>
    <w:basedOn w:val="Textocomentario"/>
    <w:next w:val="Textocomentario"/>
    <w:link w:val="AsuntodelcomentarioCar"/>
    <w:uiPriority w:val="99"/>
    <w:semiHidden/>
    <w:unhideWhenUsed/>
    <w:rsid w:val="00856B12"/>
    <w:rPr>
      <w:b/>
      <w:bCs/>
    </w:rPr>
  </w:style>
  <w:style w:type="character" w:customStyle="1" w:styleId="AsuntodelcomentarioCar">
    <w:name w:val="Asunto del comentario Car"/>
    <w:basedOn w:val="TextocomentarioCar"/>
    <w:link w:val="Asuntodelcomentario"/>
    <w:uiPriority w:val="99"/>
    <w:semiHidden/>
    <w:rsid w:val="00856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73426">
      <w:bodyDiv w:val="1"/>
      <w:marLeft w:val="0"/>
      <w:marRight w:val="0"/>
      <w:marTop w:val="0"/>
      <w:marBottom w:val="0"/>
      <w:divBdr>
        <w:top w:val="none" w:sz="0" w:space="0" w:color="auto"/>
        <w:left w:val="none" w:sz="0" w:space="0" w:color="auto"/>
        <w:bottom w:val="none" w:sz="0" w:space="0" w:color="auto"/>
        <w:right w:val="none" w:sz="0" w:space="0" w:color="auto"/>
      </w:divBdr>
    </w:div>
    <w:div w:id="774134764">
      <w:bodyDiv w:val="1"/>
      <w:marLeft w:val="0"/>
      <w:marRight w:val="0"/>
      <w:marTop w:val="0"/>
      <w:marBottom w:val="0"/>
      <w:divBdr>
        <w:top w:val="none" w:sz="0" w:space="0" w:color="auto"/>
        <w:left w:val="none" w:sz="0" w:space="0" w:color="auto"/>
        <w:bottom w:val="none" w:sz="0" w:space="0" w:color="auto"/>
        <w:right w:val="none" w:sz="0" w:space="0" w:color="auto"/>
      </w:divBdr>
      <w:divsChild>
        <w:div w:id="771433616">
          <w:marLeft w:val="0"/>
          <w:marRight w:val="0"/>
          <w:marTop w:val="0"/>
          <w:marBottom w:val="0"/>
          <w:divBdr>
            <w:top w:val="none" w:sz="0" w:space="0" w:color="auto"/>
            <w:left w:val="none" w:sz="0" w:space="0" w:color="auto"/>
            <w:bottom w:val="none" w:sz="0" w:space="0" w:color="auto"/>
            <w:right w:val="none" w:sz="0" w:space="0" w:color="auto"/>
          </w:divBdr>
        </w:div>
        <w:div w:id="1045788031">
          <w:marLeft w:val="0"/>
          <w:marRight w:val="0"/>
          <w:marTop w:val="0"/>
          <w:marBottom w:val="0"/>
          <w:divBdr>
            <w:top w:val="none" w:sz="0" w:space="0" w:color="auto"/>
            <w:left w:val="none" w:sz="0" w:space="0" w:color="auto"/>
            <w:bottom w:val="none" w:sz="0" w:space="0" w:color="auto"/>
            <w:right w:val="none" w:sz="0" w:space="0" w:color="auto"/>
          </w:divBdr>
        </w:div>
      </w:divsChild>
    </w:div>
    <w:div w:id="1831214916">
      <w:bodyDiv w:val="1"/>
      <w:marLeft w:val="0"/>
      <w:marRight w:val="0"/>
      <w:marTop w:val="0"/>
      <w:marBottom w:val="0"/>
      <w:divBdr>
        <w:top w:val="none" w:sz="0" w:space="0" w:color="auto"/>
        <w:left w:val="none" w:sz="0" w:space="0" w:color="auto"/>
        <w:bottom w:val="none" w:sz="0" w:space="0" w:color="auto"/>
        <w:right w:val="none" w:sz="0" w:space="0" w:color="auto"/>
      </w:divBdr>
    </w:div>
    <w:div w:id="19443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3cali@cendoj.ramajudicial.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GHA%20-%20KGARCIA\ABOGADA\P&#218;BLICO\RECURSOS\JUDICIAL\WILLIAM%20IDROBO\RECURSO%20DE%20REPOSI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RECURSO DE REPOSICION</Template>
  <TotalTime>46</TotalTime>
  <Pages>7</Pages>
  <Words>2922</Words>
  <Characters>16074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Kennie Lorena García Madrid</cp:lastModifiedBy>
  <cp:revision>25</cp:revision>
  <cp:lastPrinted>2024-07-25T16:57:00Z</cp:lastPrinted>
  <dcterms:created xsi:type="dcterms:W3CDTF">2024-07-25T15:11:00Z</dcterms:created>
  <dcterms:modified xsi:type="dcterms:W3CDTF">2024-07-25T16:57:00Z</dcterms:modified>
</cp:coreProperties>
</file>