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6081A" w:rsidRDefault="003314A2" w:rsidP="003314A2">
      <w:pPr>
        <w:spacing w:line="360" w:lineRule="auto"/>
        <w:rPr>
          <w:rFonts w:ascii="Century Gothic" w:hAnsi="Century Gothic"/>
          <w:sz w:val="22"/>
          <w:szCs w:val="22"/>
        </w:rPr>
      </w:pPr>
      <w:r w:rsidRPr="00C6081A">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6081A"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C6081A" w14:paraId="077F9E4D" w14:textId="77777777" w:rsidTr="003827E1">
        <w:trPr>
          <w:trHeight w:val="454"/>
        </w:trPr>
        <w:tc>
          <w:tcPr>
            <w:tcW w:w="4537" w:type="dxa"/>
            <w:vAlign w:val="center"/>
          </w:tcPr>
          <w:p w14:paraId="239BC5A7" w14:textId="7E10D35F" w:rsidR="00F67EF8" w:rsidRPr="00C6081A" w:rsidRDefault="00F67EF8" w:rsidP="003B7F1A">
            <w:pPr>
              <w:spacing w:line="360" w:lineRule="auto"/>
              <w:rPr>
                <w:rFonts w:ascii="Century Gothic" w:hAnsi="Century Gothic"/>
                <w:b/>
                <w:bCs/>
                <w:sz w:val="22"/>
                <w:szCs w:val="22"/>
              </w:rPr>
            </w:pPr>
            <w:r w:rsidRPr="00C6081A">
              <w:rPr>
                <w:rFonts w:ascii="Century Gothic" w:hAnsi="Century Gothic"/>
                <w:b/>
                <w:bCs/>
                <w:sz w:val="22"/>
                <w:szCs w:val="22"/>
              </w:rPr>
              <w:t>Fecha de presentación</w:t>
            </w:r>
          </w:p>
        </w:tc>
        <w:tc>
          <w:tcPr>
            <w:tcW w:w="5670" w:type="dxa"/>
          </w:tcPr>
          <w:p w14:paraId="29FA6EF6" w14:textId="66260206"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1</w:t>
            </w:r>
            <w:r w:rsidR="001B76C6">
              <w:rPr>
                <w:rFonts w:ascii="Century Gothic" w:hAnsi="Century Gothic"/>
                <w:sz w:val="22"/>
                <w:szCs w:val="22"/>
              </w:rPr>
              <w:t>7</w:t>
            </w:r>
            <w:r w:rsidRPr="00C6081A">
              <w:rPr>
                <w:rFonts w:ascii="Century Gothic" w:hAnsi="Century Gothic"/>
                <w:sz w:val="22"/>
                <w:szCs w:val="22"/>
              </w:rPr>
              <w:t>/07/2025</w:t>
            </w:r>
          </w:p>
        </w:tc>
      </w:tr>
      <w:tr w:rsidR="00F67EF8" w:rsidRPr="00C6081A" w14:paraId="6959AD48" w14:textId="77777777" w:rsidTr="003827E1">
        <w:trPr>
          <w:trHeight w:val="454"/>
        </w:trPr>
        <w:tc>
          <w:tcPr>
            <w:tcW w:w="4537" w:type="dxa"/>
            <w:vAlign w:val="center"/>
          </w:tcPr>
          <w:p w14:paraId="45E895A9" w14:textId="1E20E681" w:rsidR="00F67EF8" w:rsidRPr="00C6081A" w:rsidRDefault="00F67EF8" w:rsidP="003B7F1A">
            <w:pPr>
              <w:spacing w:line="360" w:lineRule="auto"/>
              <w:rPr>
                <w:rFonts w:ascii="Century Gothic" w:hAnsi="Century Gothic"/>
                <w:b/>
                <w:bCs/>
                <w:sz w:val="22"/>
                <w:szCs w:val="22"/>
              </w:rPr>
            </w:pPr>
            <w:r w:rsidRPr="00C6081A">
              <w:rPr>
                <w:rFonts w:ascii="Century Gothic" w:hAnsi="Century Gothic"/>
                <w:b/>
                <w:bCs/>
                <w:sz w:val="22"/>
                <w:szCs w:val="22"/>
              </w:rPr>
              <w:t>Tipo de abogado</w:t>
            </w:r>
          </w:p>
        </w:tc>
        <w:tc>
          <w:tcPr>
            <w:tcW w:w="5670" w:type="dxa"/>
          </w:tcPr>
          <w:p w14:paraId="06C25C40" w14:textId="03C464A3"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Externo</w:t>
            </w:r>
          </w:p>
        </w:tc>
      </w:tr>
      <w:tr w:rsidR="00F67EF8" w:rsidRPr="00C6081A" w14:paraId="2F6DA3B0" w14:textId="77777777" w:rsidTr="003827E1">
        <w:trPr>
          <w:trHeight w:val="454"/>
        </w:trPr>
        <w:tc>
          <w:tcPr>
            <w:tcW w:w="4537" w:type="dxa"/>
            <w:vAlign w:val="center"/>
          </w:tcPr>
          <w:p w14:paraId="30599F8A" w14:textId="674A8832" w:rsidR="00F67EF8" w:rsidRPr="00C6081A" w:rsidRDefault="00F67EF8" w:rsidP="003B7F1A">
            <w:pPr>
              <w:spacing w:line="360" w:lineRule="auto"/>
              <w:rPr>
                <w:rFonts w:ascii="Century Gothic" w:hAnsi="Century Gothic"/>
                <w:sz w:val="22"/>
                <w:szCs w:val="22"/>
              </w:rPr>
            </w:pPr>
            <w:r w:rsidRPr="00C6081A">
              <w:rPr>
                <w:rFonts w:ascii="Century Gothic" w:hAnsi="Century Gothic"/>
                <w:b/>
                <w:bCs/>
                <w:sz w:val="22"/>
                <w:szCs w:val="22"/>
              </w:rPr>
              <w:t>Aseguradora vinculada al proceso</w:t>
            </w:r>
          </w:p>
        </w:tc>
        <w:tc>
          <w:tcPr>
            <w:tcW w:w="5670" w:type="dxa"/>
          </w:tcPr>
          <w:p w14:paraId="794A38B0" w14:textId="6A9C6A48"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La Equidad Seguros Generales O.C.</w:t>
            </w:r>
          </w:p>
        </w:tc>
      </w:tr>
      <w:tr w:rsidR="00F67EF8" w:rsidRPr="00C6081A" w14:paraId="490540BB" w14:textId="77777777" w:rsidTr="003827E1">
        <w:trPr>
          <w:trHeight w:val="454"/>
        </w:trPr>
        <w:tc>
          <w:tcPr>
            <w:tcW w:w="4537" w:type="dxa"/>
            <w:vAlign w:val="center"/>
          </w:tcPr>
          <w:p w14:paraId="1C2D5235" w14:textId="2B4007F3" w:rsidR="00F67EF8" w:rsidRPr="00C6081A" w:rsidRDefault="00992368" w:rsidP="003B7F1A">
            <w:pPr>
              <w:spacing w:line="276" w:lineRule="auto"/>
              <w:rPr>
                <w:rFonts w:ascii="Century Gothic" w:hAnsi="Century Gothic"/>
                <w:b/>
                <w:bCs/>
                <w:sz w:val="22"/>
                <w:szCs w:val="22"/>
              </w:rPr>
            </w:pPr>
            <w:r w:rsidRPr="00C6081A">
              <w:rPr>
                <w:rFonts w:ascii="Century Gothic" w:hAnsi="Century Gothic"/>
                <w:b/>
                <w:bCs/>
                <w:sz w:val="22"/>
                <w:szCs w:val="22"/>
              </w:rPr>
              <w:t>SGC</w:t>
            </w:r>
          </w:p>
        </w:tc>
        <w:tc>
          <w:tcPr>
            <w:tcW w:w="5670" w:type="dxa"/>
          </w:tcPr>
          <w:p w14:paraId="11B788BC" w14:textId="57FD0B8D"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9470</w:t>
            </w:r>
          </w:p>
        </w:tc>
      </w:tr>
      <w:tr w:rsidR="00F67EF8" w:rsidRPr="00C6081A" w14:paraId="1D86DF69" w14:textId="77777777" w:rsidTr="003827E1">
        <w:trPr>
          <w:trHeight w:val="454"/>
        </w:trPr>
        <w:tc>
          <w:tcPr>
            <w:tcW w:w="4537" w:type="dxa"/>
            <w:vAlign w:val="center"/>
          </w:tcPr>
          <w:p w14:paraId="699114C2" w14:textId="0BB9EC2F" w:rsidR="00F67EF8" w:rsidRPr="00C6081A" w:rsidRDefault="00992368" w:rsidP="003B7F1A">
            <w:pPr>
              <w:spacing w:line="276" w:lineRule="auto"/>
              <w:rPr>
                <w:rFonts w:ascii="Century Gothic" w:hAnsi="Century Gothic"/>
                <w:b/>
                <w:bCs/>
                <w:sz w:val="22"/>
                <w:szCs w:val="22"/>
              </w:rPr>
            </w:pPr>
            <w:r w:rsidRPr="00C6081A">
              <w:rPr>
                <w:rFonts w:ascii="Century Gothic" w:hAnsi="Century Gothic"/>
                <w:b/>
                <w:bCs/>
                <w:sz w:val="22"/>
                <w:szCs w:val="22"/>
              </w:rPr>
              <w:t>Despacho/Juzgado/ Tribunal</w:t>
            </w:r>
          </w:p>
        </w:tc>
        <w:tc>
          <w:tcPr>
            <w:tcW w:w="5670" w:type="dxa"/>
          </w:tcPr>
          <w:p w14:paraId="7DD6339C" w14:textId="30A85925"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Juzgado Cuarto Civil Municipal de Ibagué</w:t>
            </w:r>
          </w:p>
        </w:tc>
      </w:tr>
      <w:tr w:rsidR="00F67EF8" w:rsidRPr="00C6081A" w14:paraId="54742FD8" w14:textId="77777777" w:rsidTr="003827E1">
        <w:trPr>
          <w:trHeight w:val="454"/>
        </w:trPr>
        <w:tc>
          <w:tcPr>
            <w:tcW w:w="4537" w:type="dxa"/>
            <w:vAlign w:val="center"/>
          </w:tcPr>
          <w:p w14:paraId="5A357CCF" w14:textId="3C7FFC83" w:rsidR="00F67EF8" w:rsidRPr="00C6081A" w:rsidRDefault="00992368" w:rsidP="003B7F1A">
            <w:pPr>
              <w:spacing w:line="276" w:lineRule="auto"/>
              <w:rPr>
                <w:rFonts w:ascii="Century Gothic" w:hAnsi="Century Gothic"/>
                <w:b/>
                <w:bCs/>
                <w:sz w:val="22"/>
                <w:szCs w:val="22"/>
              </w:rPr>
            </w:pPr>
            <w:r w:rsidRPr="00C6081A">
              <w:rPr>
                <w:rFonts w:ascii="Century Gothic" w:hAnsi="Century Gothic"/>
                <w:b/>
                <w:bCs/>
                <w:sz w:val="22"/>
                <w:szCs w:val="22"/>
              </w:rPr>
              <w:t xml:space="preserve">Ciudad </w:t>
            </w:r>
          </w:p>
        </w:tc>
        <w:tc>
          <w:tcPr>
            <w:tcW w:w="5670" w:type="dxa"/>
          </w:tcPr>
          <w:p w14:paraId="5101FDD8" w14:textId="50045061" w:rsidR="00F67EF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Ibagué, Tolima</w:t>
            </w:r>
          </w:p>
        </w:tc>
      </w:tr>
      <w:tr w:rsidR="00992368" w:rsidRPr="00C6081A" w14:paraId="3983A9CE" w14:textId="77777777" w:rsidTr="003827E1">
        <w:trPr>
          <w:trHeight w:val="454"/>
        </w:trPr>
        <w:tc>
          <w:tcPr>
            <w:tcW w:w="4537" w:type="dxa"/>
            <w:vAlign w:val="center"/>
          </w:tcPr>
          <w:p w14:paraId="7EC7EF81" w14:textId="3CF9A0A9" w:rsidR="00992368" w:rsidRPr="00C6081A" w:rsidRDefault="008E249B" w:rsidP="003B7F1A">
            <w:pPr>
              <w:spacing w:line="276" w:lineRule="auto"/>
              <w:rPr>
                <w:rFonts w:ascii="Century Gothic" w:hAnsi="Century Gothic"/>
                <w:b/>
                <w:bCs/>
                <w:sz w:val="22"/>
                <w:szCs w:val="22"/>
              </w:rPr>
            </w:pPr>
            <w:r w:rsidRPr="00C6081A">
              <w:rPr>
                <w:rFonts w:ascii="Century Gothic" w:hAnsi="Century Gothic"/>
                <w:b/>
                <w:bCs/>
                <w:sz w:val="22"/>
                <w:szCs w:val="22"/>
              </w:rPr>
              <w:t>Radicado completo 23 dígitos</w:t>
            </w:r>
          </w:p>
        </w:tc>
        <w:tc>
          <w:tcPr>
            <w:tcW w:w="5670" w:type="dxa"/>
          </w:tcPr>
          <w:p w14:paraId="573C25D1" w14:textId="45AE23C8" w:rsidR="00992368" w:rsidRPr="00C6081A" w:rsidRDefault="00AA1D1A" w:rsidP="00F67EF8">
            <w:pPr>
              <w:spacing w:line="276" w:lineRule="auto"/>
              <w:jc w:val="both"/>
              <w:rPr>
                <w:rFonts w:ascii="Century Gothic" w:hAnsi="Century Gothic"/>
                <w:sz w:val="22"/>
                <w:szCs w:val="22"/>
              </w:rPr>
            </w:pPr>
            <w:r w:rsidRPr="00C6081A">
              <w:rPr>
                <w:rFonts w:ascii="Century Gothic" w:hAnsi="Century Gothic"/>
                <w:sz w:val="22"/>
                <w:szCs w:val="22"/>
              </w:rPr>
              <w:t>73001-40-03-004-2023-00175-00</w:t>
            </w:r>
          </w:p>
        </w:tc>
      </w:tr>
      <w:tr w:rsidR="00992368" w:rsidRPr="00C6081A" w14:paraId="4A0D8041" w14:textId="77777777" w:rsidTr="003827E1">
        <w:trPr>
          <w:trHeight w:val="454"/>
        </w:trPr>
        <w:tc>
          <w:tcPr>
            <w:tcW w:w="4537" w:type="dxa"/>
            <w:vAlign w:val="center"/>
          </w:tcPr>
          <w:p w14:paraId="6BA2EEB5" w14:textId="7369F36B" w:rsidR="00992368" w:rsidRPr="00C6081A" w:rsidRDefault="00B2787D" w:rsidP="003B7F1A">
            <w:pPr>
              <w:spacing w:line="276" w:lineRule="auto"/>
              <w:rPr>
                <w:rFonts w:ascii="Century Gothic" w:hAnsi="Century Gothic"/>
                <w:b/>
                <w:bCs/>
                <w:sz w:val="22"/>
                <w:szCs w:val="22"/>
              </w:rPr>
            </w:pPr>
            <w:r w:rsidRPr="00C6081A">
              <w:rPr>
                <w:rFonts w:ascii="Century Gothic" w:hAnsi="Century Gothic"/>
                <w:b/>
                <w:bCs/>
                <w:sz w:val="22"/>
                <w:szCs w:val="22"/>
              </w:rPr>
              <w:t>Fecha de notificación</w:t>
            </w:r>
          </w:p>
        </w:tc>
        <w:tc>
          <w:tcPr>
            <w:tcW w:w="5670" w:type="dxa"/>
          </w:tcPr>
          <w:p w14:paraId="64AC88EB" w14:textId="211CAF30" w:rsidR="00992368" w:rsidRPr="00C6081A" w:rsidRDefault="00A071C5" w:rsidP="00F67EF8">
            <w:pPr>
              <w:spacing w:line="276" w:lineRule="auto"/>
              <w:jc w:val="both"/>
              <w:rPr>
                <w:rFonts w:ascii="Century Gothic" w:hAnsi="Century Gothic"/>
                <w:sz w:val="22"/>
                <w:szCs w:val="22"/>
              </w:rPr>
            </w:pPr>
            <w:r w:rsidRPr="00C6081A">
              <w:rPr>
                <w:rFonts w:ascii="Century Gothic" w:hAnsi="Century Gothic"/>
                <w:sz w:val="22"/>
                <w:szCs w:val="22"/>
              </w:rPr>
              <w:t>11/06/2025</w:t>
            </w:r>
          </w:p>
        </w:tc>
      </w:tr>
      <w:tr w:rsidR="00992368" w:rsidRPr="00C6081A" w14:paraId="028BDD81" w14:textId="77777777" w:rsidTr="003827E1">
        <w:trPr>
          <w:trHeight w:val="454"/>
        </w:trPr>
        <w:tc>
          <w:tcPr>
            <w:tcW w:w="4537" w:type="dxa"/>
            <w:vAlign w:val="center"/>
          </w:tcPr>
          <w:p w14:paraId="74AA3CB7" w14:textId="0154798B" w:rsidR="00992368" w:rsidRPr="00C6081A" w:rsidRDefault="00B2787D" w:rsidP="003B7F1A">
            <w:pPr>
              <w:spacing w:line="276" w:lineRule="auto"/>
              <w:rPr>
                <w:rFonts w:ascii="Century Gothic" w:hAnsi="Century Gothic"/>
                <w:b/>
                <w:bCs/>
                <w:sz w:val="22"/>
                <w:szCs w:val="22"/>
              </w:rPr>
            </w:pPr>
            <w:r w:rsidRPr="00C6081A">
              <w:rPr>
                <w:rFonts w:ascii="Century Gothic" w:hAnsi="Century Gothic"/>
                <w:b/>
                <w:bCs/>
                <w:sz w:val="22"/>
                <w:szCs w:val="22"/>
              </w:rPr>
              <w:t>Fecha vencimiento del término</w:t>
            </w:r>
          </w:p>
        </w:tc>
        <w:tc>
          <w:tcPr>
            <w:tcW w:w="5670" w:type="dxa"/>
          </w:tcPr>
          <w:p w14:paraId="41E82979" w14:textId="08C79F37" w:rsidR="00992368" w:rsidRPr="00C6081A" w:rsidRDefault="00A071C5" w:rsidP="00F67EF8">
            <w:pPr>
              <w:spacing w:line="276" w:lineRule="auto"/>
              <w:jc w:val="both"/>
              <w:rPr>
                <w:rFonts w:ascii="Century Gothic" w:hAnsi="Century Gothic"/>
                <w:sz w:val="22"/>
                <w:szCs w:val="22"/>
              </w:rPr>
            </w:pPr>
            <w:r w:rsidRPr="00C6081A">
              <w:rPr>
                <w:rFonts w:ascii="Century Gothic" w:hAnsi="Century Gothic"/>
                <w:sz w:val="22"/>
                <w:szCs w:val="22"/>
              </w:rPr>
              <w:t>11/07/2025</w:t>
            </w:r>
          </w:p>
        </w:tc>
      </w:tr>
    </w:tbl>
    <w:p w14:paraId="619AE562" w14:textId="77777777" w:rsidR="00BA1E5F" w:rsidRPr="00C6081A" w:rsidRDefault="00BA1E5F">
      <w:pPr>
        <w:rPr>
          <w:rFonts w:ascii="Century Gothic" w:hAnsi="Century Gothic"/>
          <w:sz w:val="22"/>
          <w:szCs w:val="22"/>
        </w:rPr>
      </w:pPr>
    </w:p>
    <w:p w14:paraId="64A76143" w14:textId="77777777" w:rsidR="00BA1E5F" w:rsidRPr="00C6081A" w:rsidRDefault="00BA1E5F">
      <w:pPr>
        <w:rPr>
          <w:rFonts w:ascii="Century Gothic" w:hAnsi="Century Gothic"/>
          <w:sz w:val="22"/>
          <w:szCs w:val="22"/>
        </w:rPr>
      </w:pPr>
    </w:p>
    <w:tbl>
      <w:tblPr>
        <w:tblStyle w:val="Tablaconcuadrcula"/>
        <w:tblW w:w="10252" w:type="dxa"/>
        <w:tblInd w:w="-431" w:type="dxa"/>
        <w:tblLook w:val="04A0" w:firstRow="1" w:lastRow="0" w:firstColumn="1" w:lastColumn="0" w:noHBand="0" w:noVBand="1"/>
      </w:tblPr>
      <w:tblGrid>
        <w:gridCol w:w="10252"/>
      </w:tblGrid>
      <w:tr w:rsidR="00B2787D" w:rsidRPr="00C6081A" w14:paraId="55765E90" w14:textId="77777777" w:rsidTr="00AA1D1A">
        <w:trPr>
          <w:trHeight w:val="264"/>
        </w:trPr>
        <w:tc>
          <w:tcPr>
            <w:tcW w:w="10252" w:type="dxa"/>
            <w:shd w:val="clear" w:color="auto" w:fill="C5E0B3" w:themeFill="accent6" w:themeFillTint="66"/>
            <w:vAlign w:val="center"/>
          </w:tcPr>
          <w:p w14:paraId="7B465D4D" w14:textId="5CAE6B68" w:rsidR="00B2787D" w:rsidRPr="00C6081A" w:rsidRDefault="00B2787D" w:rsidP="00B2787D">
            <w:pPr>
              <w:spacing w:line="276" w:lineRule="auto"/>
              <w:jc w:val="center"/>
              <w:rPr>
                <w:rFonts w:ascii="Century Gothic" w:hAnsi="Century Gothic"/>
                <w:sz w:val="22"/>
                <w:szCs w:val="22"/>
              </w:rPr>
            </w:pPr>
            <w:r w:rsidRPr="00C6081A">
              <w:rPr>
                <w:rFonts w:ascii="Century Gothic" w:hAnsi="Century Gothic"/>
                <w:b/>
                <w:bCs/>
                <w:sz w:val="22"/>
                <w:szCs w:val="22"/>
              </w:rPr>
              <w:t>Hechos</w:t>
            </w:r>
            <w:r w:rsidR="007C37D7" w:rsidRPr="00C6081A">
              <w:rPr>
                <w:rFonts w:ascii="Century Gothic" w:hAnsi="Century Gothic"/>
                <w:b/>
                <w:bCs/>
                <w:sz w:val="22"/>
                <w:szCs w:val="22"/>
              </w:rPr>
              <w:t xml:space="preserve"> </w:t>
            </w:r>
            <w:r w:rsidR="007C37D7" w:rsidRPr="00C6081A">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C6081A" w14:paraId="59EA92D0" w14:textId="77777777" w:rsidTr="00AA1D1A">
        <w:trPr>
          <w:trHeight w:val="2752"/>
        </w:trPr>
        <w:tc>
          <w:tcPr>
            <w:tcW w:w="10252" w:type="dxa"/>
            <w:vAlign w:val="center"/>
          </w:tcPr>
          <w:p w14:paraId="7D5C850F" w14:textId="36B69361" w:rsidR="00B2787D" w:rsidRPr="00C6081A" w:rsidRDefault="00000000" w:rsidP="00AA1D1A">
            <w:pPr>
              <w:spacing w:line="276" w:lineRule="auto"/>
              <w:jc w:val="both"/>
              <w:rPr>
                <w:rFonts w:ascii="Century Gothic" w:hAnsi="Century Gothic"/>
                <w:sz w:val="22"/>
                <w:szCs w:val="22"/>
              </w:rPr>
            </w:pPr>
            <w:sdt>
              <w:sdtPr>
                <w:rPr>
                  <w:rFonts w:ascii="Century Gothic" w:hAnsi="Century Gothic" w:cstheme="minorHAnsi"/>
                  <w:bCs/>
                  <w:sz w:val="22"/>
                  <w:szCs w:val="22"/>
                  <w:bdr w:val="none" w:sz="0" w:space="0" w:color="auto" w:frame="1"/>
                </w:rPr>
                <w:alias w:val="HECHOS"/>
                <w:tag w:val="HECHOS"/>
                <w:id w:val="-654141650"/>
                <w:placeholder>
                  <w:docPart w:val="08671E664E25455BBB9EB8A661B6AC95"/>
                </w:placeholder>
                <w:text/>
              </w:sdtPr>
              <w:sdtContent>
                <w:r w:rsidR="00AA1D1A" w:rsidRPr="00C6081A">
                  <w:rPr>
                    <w:rFonts w:ascii="Century Gothic" w:hAnsi="Century Gothic" w:cstheme="minorHAnsi"/>
                    <w:bCs/>
                    <w:sz w:val="22"/>
                    <w:szCs w:val="22"/>
                    <w:bdr w:val="none" w:sz="0" w:space="0" w:color="auto" w:frame="1"/>
                  </w:rPr>
                  <w:t>El día 15 de noviembre de 2021, se presentó accidente de tránsito entre el vehículo de placas WOZ213 y el vehículo tipo motocicleta de placas FJC34C, en la que se movilizaba el señor Alex Alberto Méndez. Según se describe en la demanda la causa del accidente el señor Alex Alberto Méndez sufrió “Contusión de la Rodilla; Fractura del hueso metatarso y contusión de otras partes y de las no especificadas del pie” y la causa del accidente se produjo por exceso de velocidad y no respetar la distancia del vehículo de placas WOZ213</w:t>
                </w:r>
              </w:sdtContent>
            </w:sdt>
          </w:p>
          <w:p w14:paraId="285181BA" w14:textId="77777777" w:rsidR="00B2787D" w:rsidRPr="00C6081A" w:rsidRDefault="00B2787D" w:rsidP="00AA1D1A">
            <w:pPr>
              <w:spacing w:line="276" w:lineRule="auto"/>
              <w:rPr>
                <w:rFonts w:ascii="Century Gothic" w:hAnsi="Century Gothic"/>
                <w:sz w:val="22"/>
                <w:szCs w:val="22"/>
              </w:rPr>
            </w:pPr>
          </w:p>
        </w:tc>
      </w:tr>
    </w:tbl>
    <w:p w14:paraId="20C76EE3" w14:textId="77777777" w:rsidR="003827E1" w:rsidRPr="00C6081A"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C6081A" w14:paraId="2BD14B8D" w14:textId="77777777" w:rsidTr="0095378E">
        <w:tc>
          <w:tcPr>
            <w:tcW w:w="10207" w:type="dxa"/>
            <w:gridSpan w:val="2"/>
            <w:shd w:val="clear" w:color="auto" w:fill="C5E0B3" w:themeFill="accent6" w:themeFillTint="66"/>
            <w:vAlign w:val="center"/>
          </w:tcPr>
          <w:p w14:paraId="00111EA5" w14:textId="08575358" w:rsidR="007C37D7" w:rsidRPr="00C6081A" w:rsidRDefault="007C37D7" w:rsidP="007C37D7">
            <w:pPr>
              <w:spacing w:line="276" w:lineRule="auto"/>
              <w:jc w:val="center"/>
              <w:rPr>
                <w:rFonts w:ascii="Century Gothic" w:hAnsi="Century Gothic"/>
                <w:sz w:val="22"/>
                <w:szCs w:val="22"/>
              </w:rPr>
            </w:pPr>
            <w:r w:rsidRPr="00C6081A">
              <w:rPr>
                <w:rFonts w:ascii="Century Gothic" w:hAnsi="Century Gothic"/>
                <w:b/>
                <w:bCs/>
                <w:sz w:val="22"/>
                <w:szCs w:val="22"/>
              </w:rPr>
              <w:t xml:space="preserve">Pretensiones </w:t>
            </w:r>
            <w:r w:rsidRPr="00C6081A">
              <w:rPr>
                <w:rFonts w:ascii="Century Gothic" w:hAnsi="Century Gothic"/>
                <w:sz w:val="22"/>
                <w:szCs w:val="22"/>
              </w:rPr>
              <w:t>(haga un relato o enliste las pretensiones de la demanda/llamamiento en garantía)</w:t>
            </w:r>
          </w:p>
        </w:tc>
      </w:tr>
      <w:tr w:rsidR="007C37D7" w:rsidRPr="00C6081A" w14:paraId="2B7256CB" w14:textId="77777777" w:rsidTr="006056E7">
        <w:tc>
          <w:tcPr>
            <w:tcW w:w="10207" w:type="dxa"/>
            <w:gridSpan w:val="2"/>
            <w:vAlign w:val="center"/>
          </w:tcPr>
          <w:p w14:paraId="11B57CBF" w14:textId="77777777" w:rsidR="007C37D7" w:rsidRPr="00C6081A" w:rsidRDefault="007C37D7" w:rsidP="007C37D7">
            <w:pPr>
              <w:spacing w:line="276" w:lineRule="auto"/>
              <w:jc w:val="center"/>
              <w:rPr>
                <w:rFonts w:ascii="Century Gothic" w:hAnsi="Century Gothic"/>
                <w:sz w:val="22"/>
                <w:szCs w:val="22"/>
              </w:rPr>
            </w:pPr>
          </w:p>
          <w:p w14:paraId="0483A928" w14:textId="70679ADE" w:rsidR="00FD53B3" w:rsidRPr="00C6081A" w:rsidRDefault="00000000" w:rsidP="00AA1D1A">
            <w:pPr>
              <w:spacing w:line="276" w:lineRule="auto"/>
              <w:jc w:val="both"/>
              <w:rPr>
                <w:rFonts w:ascii="Century Gothic" w:hAnsi="Century Gothic"/>
                <w:sz w:val="22"/>
                <w:szCs w:val="22"/>
              </w:rPr>
            </w:pPr>
            <w:sdt>
              <w:sdtPr>
                <w:rPr>
                  <w:rFonts w:ascii="Century Gothic" w:eastAsia="Times New Roman" w:hAnsi="Century Gothic" w:cstheme="minorHAnsi"/>
                  <w:bCs/>
                  <w:sz w:val="22"/>
                  <w:szCs w:val="22"/>
                  <w:lang w:eastAsia="es-CO"/>
                </w:rPr>
                <w:alias w:val="PRETENSIONES"/>
                <w:tag w:val="PRETENSIONES"/>
                <w:id w:val="-321507162"/>
                <w:placeholder>
                  <w:docPart w:val="984BFA0718EA4196BECFC734668DF054"/>
                </w:placeholder>
                <w:text/>
              </w:sdtPr>
              <w:sdtContent>
                <w:r w:rsidR="00AA1D1A" w:rsidRPr="00C6081A">
                  <w:rPr>
                    <w:rFonts w:ascii="Century Gothic" w:eastAsia="Times New Roman" w:hAnsi="Century Gothic" w:cstheme="minorHAnsi"/>
                    <w:bCs/>
                    <w:sz w:val="22"/>
                    <w:szCs w:val="22"/>
                    <w:lang w:eastAsia="es-CO"/>
                  </w:rPr>
                  <w:t xml:space="preserve">Se solicitó la suma total de: $ 51.039.920 Discriminados así: (1.) PERJUCIOS PATRIMONIALES: Lucro Cesante Consolidado: $ 4.639.920. (2.) PERJUICIOS EXTRAPATRIMONIALES ($46.400.000). Perjuicios morales: 20SMMLV correspondientes a la suma de $ 23.200.000 (SMMLV 2023). Daño a la vida en relación: 20SMMLV correspondientes a la suma de $ 23.200.000  </w:t>
                </w:r>
              </w:sdtContent>
            </w:sdt>
          </w:p>
          <w:p w14:paraId="0F73A1DD" w14:textId="77777777" w:rsidR="00FD53B3" w:rsidRPr="00C6081A" w:rsidRDefault="00FD53B3" w:rsidP="007C37D7">
            <w:pPr>
              <w:spacing w:line="276" w:lineRule="auto"/>
              <w:jc w:val="center"/>
              <w:rPr>
                <w:rFonts w:ascii="Century Gothic" w:hAnsi="Century Gothic"/>
                <w:sz w:val="22"/>
                <w:szCs w:val="22"/>
              </w:rPr>
            </w:pPr>
          </w:p>
          <w:p w14:paraId="68FF438A" w14:textId="77777777" w:rsidR="00FD53B3" w:rsidRPr="00C6081A" w:rsidRDefault="00FD53B3" w:rsidP="007C37D7">
            <w:pPr>
              <w:spacing w:line="276" w:lineRule="auto"/>
              <w:jc w:val="center"/>
              <w:rPr>
                <w:rFonts w:ascii="Century Gothic" w:hAnsi="Century Gothic"/>
                <w:sz w:val="22"/>
                <w:szCs w:val="22"/>
              </w:rPr>
            </w:pPr>
          </w:p>
          <w:p w14:paraId="579F4AD4" w14:textId="77777777" w:rsidR="00FD53B3" w:rsidRPr="00C6081A" w:rsidRDefault="00FD53B3" w:rsidP="007C37D7">
            <w:pPr>
              <w:spacing w:line="276" w:lineRule="auto"/>
              <w:jc w:val="center"/>
              <w:rPr>
                <w:rFonts w:ascii="Century Gothic" w:hAnsi="Century Gothic"/>
                <w:sz w:val="22"/>
                <w:szCs w:val="22"/>
              </w:rPr>
            </w:pPr>
          </w:p>
          <w:p w14:paraId="77C06868" w14:textId="77777777" w:rsidR="00FD53B3" w:rsidRPr="00C6081A" w:rsidRDefault="00FD53B3" w:rsidP="00AA1D1A">
            <w:pPr>
              <w:spacing w:line="276" w:lineRule="auto"/>
              <w:rPr>
                <w:rFonts w:ascii="Century Gothic" w:hAnsi="Century Gothic"/>
                <w:sz w:val="22"/>
                <w:szCs w:val="22"/>
              </w:rPr>
            </w:pPr>
          </w:p>
        </w:tc>
      </w:tr>
      <w:tr w:rsidR="00992368" w:rsidRPr="00C6081A" w14:paraId="50D1C7A7" w14:textId="77777777" w:rsidTr="003827E1">
        <w:trPr>
          <w:trHeight w:val="510"/>
        </w:trPr>
        <w:tc>
          <w:tcPr>
            <w:tcW w:w="4537" w:type="dxa"/>
            <w:vAlign w:val="center"/>
          </w:tcPr>
          <w:p w14:paraId="013247F4" w14:textId="68D4118C" w:rsidR="00992368" w:rsidRPr="00C6081A" w:rsidRDefault="001E1616" w:rsidP="003B7F1A">
            <w:pPr>
              <w:spacing w:line="276" w:lineRule="auto"/>
              <w:rPr>
                <w:rFonts w:ascii="Century Gothic" w:hAnsi="Century Gothic"/>
                <w:b/>
                <w:bCs/>
                <w:sz w:val="22"/>
                <w:szCs w:val="22"/>
              </w:rPr>
            </w:pPr>
            <w:r w:rsidRPr="00C6081A">
              <w:rPr>
                <w:rFonts w:ascii="Century Gothic" w:hAnsi="Century Gothic"/>
                <w:b/>
                <w:bCs/>
                <w:sz w:val="22"/>
                <w:szCs w:val="22"/>
              </w:rPr>
              <w:lastRenderedPageBreak/>
              <w:t xml:space="preserve">Valor total de las pretensiones </w:t>
            </w:r>
          </w:p>
        </w:tc>
        <w:tc>
          <w:tcPr>
            <w:tcW w:w="5670" w:type="dxa"/>
            <w:vAlign w:val="center"/>
          </w:tcPr>
          <w:p w14:paraId="00FEFA37" w14:textId="4EAC6665" w:rsidR="00992368" w:rsidRPr="00C6081A" w:rsidRDefault="001E1616" w:rsidP="003827E1">
            <w:pPr>
              <w:spacing w:line="276" w:lineRule="auto"/>
              <w:rPr>
                <w:rFonts w:ascii="Century Gothic" w:hAnsi="Century Gothic"/>
                <w:sz w:val="22"/>
                <w:szCs w:val="22"/>
              </w:rPr>
            </w:pPr>
            <w:r w:rsidRPr="00C6081A">
              <w:rPr>
                <w:rFonts w:ascii="Century Gothic" w:hAnsi="Century Gothic"/>
                <w:sz w:val="22"/>
                <w:szCs w:val="22"/>
              </w:rPr>
              <w:t>$</w:t>
            </w:r>
            <w:r w:rsidR="00AA1D1A" w:rsidRPr="00C6081A">
              <w:rPr>
                <w:rFonts w:ascii="Century Gothic" w:hAnsi="Century Gothic"/>
                <w:sz w:val="22"/>
                <w:szCs w:val="22"/>
              </w:rPr>
              <w:t>51.039.920</w:t>
            </w:r>
          </w:p>
        </w:tc>
      </w:tr>
      <w:tr w:rsidR="00992368" w:rsidRPr="00C6081A" w14:paraId="668F9413" w14:textId="77777777" w:rsidTr="003827E1">
        <w:trPr>
          <w:trHeight w:val="510"/>
        </w:trPr>
        <w:tc>
          <w:tcPr>
            <w:tcW w:w="4537" w:type="dxa"/>
            <w:vAlign w:val="center"/>
          </w:tcPr>
          <w:p w14:paraId="34E17619" w14:textId="7EF66606" w:rsidR="00992368" w:rsidRPr="00C6081A" w:rsidRDefault="00FD53B3" w:rsidP="003B7F1A">
            <w:pPr>
              <w:spacing w:line="276" w:lineRule="auto"/>
              <w:rPr>
                <w:rFonts w:ascii="Century Gothic" w:hAnsi="Century Gothic"/>
                <w:b/>
                <w:bCs/>
                <w:sz w:val="22"/>
                <w:szCs w:val="22"/>
              </w:rPr>
            </w:pPr>
            <w:r w:rsidRPr="00C6081A">
              <w:rPr>
                <w:rFonts w:ascii="Century Gothic" w:hAnsi="Century Gothic"/>
                <w:b/>
                <w:bCs/>
                <w:sz w:val="22"/>
                <w:szCs w:val="22"/>
              </w:rPr>
              <w:t>Valor total de las pretensiones objetivadas</w:t>
            </w:r>
          </w:p>
        </w:tc>
        <w:tc>
          <w:tcPr>
            <w:tcW w:w="5670" w:type="dxa"/>
            <w:vAlign w:val="center"/>
          </w:tcPr>
          <w:p w14:paraId="487C6084" w14:textId="65F1E0CD" w:rsidR="00992368" w:rsidRPr="00C6081A" w:rsidRDefault="00FD53B3" w:rsidP="003827E1">
            <w:pPr>
              <w:spacing w:line="276" w:lineRule="auto"/>
              <w:rPr>
                <w:rFonts w:ascii="Century Gothic" w:hAnsi="Century Gothic"/>
                <w:sz w:val="22"/>
                <w:szCs w:val="22"/>
              </w:rPr>
            </w:pPr>
            <w:r w:rsidRPr="00C6081A">
              <w:rPr>
                <w:rFonts w:ascii="Century Gothic" w:hAnsi="Century Gothic"/>
                <w:sz w:val="22"/>
                <w:szCs w:val="22"/>
              </w:rPr>
              <w:t>$</w:t>
            </w:r>
            <w:r w:rsidR="00455676" w:rsidRPr="00C6081A">
              <w:rPr>
                <w:rFonts w:ascii="Century Gothic" w:hAnsi="Century Gothic"/>
                <w:sz w:val="22"/>
                <w:szCs w:val="22"/>
              </w:rPr>
              <w:t>20.702.320</w:t>
            </w:r>
          </w:p>
        </w:tc>
      </w:tr>
    </w:tbl>
    <w:p w14:paraId="146E9C6D" w14:textId="77777777" w:rsidR="0095378E" w:rsidRPr="00C6081A" w:rsidRDefault="0095378E">
      <w:pPr>
        <w:rPr>
          <w:rFonts w:ascii="Century Gothic" w:hAnsi="Century Gothic"/>
          <w:sz w:val="22"/>
          <w:szCs w:val="22"/>
        </w:rPr>
      </w:pPr>
    </w:p>
    <w:tbl>
      <w:tblPr>
        <w:tblStyle w:val="Tablaconcuadrcula"/>
        <w:tblW w:w="10160" w:type="dxa"/>
        <w:tblInd w:w="-431" w:type="dxa"/>
        <w:tblLook w:val="04A0" w:firstRow="1" w:lastRow="0" w:firstColumn="1" w:lastColumn="0" w:noHBand="0" w:noVBand="1"/>
      </w:tblPr>
      <w:tblGrid>
        <w:gridCol w:w="10160"/>
      </w:tblGrid>
      <w:tr w:rsidR="00E802BC" w:rsidRPr="00C6081A" w14:paraId="77F9F71B" w14:textId="77777777" w:rsidTr="00455676">
        <w:trPr>
          <w:trHeight w:val="170"/>
        </w:trPr>
        <w:tc>
          <w:tcPr>
            <w:tcW w:w="10160" w:type="dxa"/>
            <w:shd w:val="clear" w:color="auto" w:fill="C5E0B3" w:themeFill="accent6" w:themeFillTint="66"/>
            <w:vAlign w:val="center"/>
          </w:tcPr>
          <w:p w14:paraId="10E33877" w14:textId="0E982702" w:rsidR="00E802BC" w:rsidRPr="00C6081A" w:rsidRDefault="00E802BC" w:rsidP="00E802BC">
            <w:pPr>
              <w:spacing w:line="276" w:lineRule="auto"/>
              <w:jc w:val="center"/>
              <w:rPr>
                <w:rFonts w:ascii="Century Gothic" w:hAnsi="Century Gothic"/>
                <w:sz w:val="22"/>
                <w:szCs w:val="22"/>
              </w:rPr>
            </w:pPr>
            <w:r w:rsidRPr="00C6081A">
              <w:rPr>
                <w:rFonts w:ascii="Century Gothic" w:hAnsi="Century Gothic"/>
                <w:b/>
                <w:bCs/>
                <w:sz w:val="22"/>
                <w:szCs w:val="22"/>
              </w:rPr>
              <w:t>Liquidación de las pretensiones objetivadas</w:t>
            </w:r>
          </w:p>
        </w:tc>
      </w:tr>
      <w:tr w:rsidR="00E802BC" w:rsidRPr="00C6081A" w14:paraId="33786C43" w14:textId="77777777" w:rsidTr="00455676">
        <w:trPr>
          <w:trHeight w:val="3866"/>
        </w:trPr>
        <w:tc>
          <w:tcPr>
            <w:tcW w:w="10160" w:type="dxa"/>
            <w:vAlign w:val="center"/>
          </w:tcPr>
          <w:p w14:paraId="4493CD31" w14:textId="0B49FAB5" w:rsidR="00AA1D1A" w:rsidRPr="00C6081A" w:rsidRDefault="00AA1D1A" w:rsidP="00AA1D1A">
            <w:pPr>
              <w:spacing w:line="360" w:lineRule="auto"/>
              <w:jc w:val="both"/>
              <w:rPr>
                <w:rFonts w:ascii="Century Gothic" w:hAnsi="Century Gothic" w:cstheme="minorHAnsi"/>
                <w:b/>
                <w:sz w:val="22"/>
                <w:szCs w:val="22"/>
              </w:rPr>
            </w:pPr>
            <w:r w:rsidRPr="00C6081A">
              <w:rPr>
                <w:rFonts w:ascii="Century Gothic" w:hAnsi="Century Gothic" w:cstheme="minorHAnsi"/>
                <w:sz w:val="22"/>
                <w:szCs w:val="22"/>
              </w:rPr>
              <w:t>Como liquidación objetiva de las pretensiones se estima un monto de $</w:t>
            </w:r>
            <w:r w:rsidR="00455676" w:rsidRPr="00C6081A">
              <w:rPr>
                <w:rFonts w:ascii="Century Gothic" w:hAnsi="Century Gothic" w:cstheme="minorHAnsi"/>
                <w:sz w:val="22"/>
                <w:szCs w:val="22"/>
              </w:rPr>
              <w:t>20.702.320</w:t>
            </w:r>
            <w:r w:rsidRPr="00C6081A">
              <w:rPr>
                <w:rFonts w:ascii="Century Gothic" w:hAnsi="Century Gothic" w:cstheme="minorHAnsi"/>
                <w:sz w:val="22"/>
                <w:szCs w:val="22"/>
              </w:rPr>
              <w:t xml:space="preserve">, de conformidad con lo siguiente: </w:t>
            </w:r>
          </w:p>
          <w:p w14:paraId="75339C67" w14:textId="77777777" w:rsidR="00AA1D1A" w:rsidRPr="00C6081A" w:rsidRDefault="00AA1D1A" w:rsidP="00AA1D1A">
            <w:pPr>
              <w:spacing w:line="360" w:lineRule="auto"/>
              <w:jc w:val="both"/>
              <w:rPr>
                <w:rFonts w:ascii="Century Gothic" w:hAnsi="Century Gothic" w:cstheme="minorHAnsi"/>
                <w:b/>
                <w:bCs/>
                <w:sz w:val="22"/>
                <w:szCs w:val="22"/>
              </w:rPr>
            </w:pPr>
          </w:p>
          <w:p w14:paraId="081B625B" w14:textId="67A92518" w:rsidR="009578FD" w:rsidRPr="00C6081A" w:rsidRDefault="00AA1D1A" w:rsidP="00AA1D1A">
            <w:pPr>
              <w:spacing w:line="360" w:lineRule="auto"/>
              <w:jc w:val="both"/>
              <w:rPr>
                <w:rFonts w:ascii="Century Gothic" w:hAnsi="Century Gothic" w:cstheme="minorHAnsi"/>
                <w:sz w:val="22"/>
                <w:szCs w:val="22"/>
              </w:rPr>
            </w:pPr>
            <w:r w:rsidRPr="00C6081A">
              <w:rPr>
                <w:rFonts w:ascii="Century Gothic" w:hAnsi="Century Gothic" w:cstheme="minorHAnsi"/>
                <w:b/>
                <w:bCs/>
                <w:sz w:val="22"/>
                <w:szCs w:val="22"/>
              </w:rPr>
              <w:t xml:space="preserve">Lucro Cesante: </w:t>
            </w:r>
            <w:r w:rsidR="009578FD" w:rsidRPr="00C6081A">
              <w:rPr>
                <w:rFonts w:ascii="Century Gothic" w:hAnsi="Century Gothic" w:cstheme="minorHAnsi"/>
                <w:sz w:val="22"/>
                <w:szCs w:val="22"/>
              </w:rPr>
              <w:t xml:space="preserve">Se tendrá en cuenta la suma de $773.320 por concepto de lucro cesante teniendo en cuenta que, si bien se porta con la subsanación de la demanda una certificación laboral expedida por Alvarado Company S.A.S. y fechada del 14 </w:t>
            </w:r>
            <w:r w:rsidR="00455676" w:rsidRPr="00C6081A">
              <w:rPr>
                <w:rFonts w:ascii="Century Gothic" w:hAnsi="Century Gothic" w:cstheme="minorHAnsi"/>
                <w:sz w:val="22"/>
                <w:szCs w:val="22"/>
              </w:rPr>
              <w:t>d</w:t>
            </w:r>
            <w:r w:rsidR="009578FD" w:rsidRPr="00C6081A">
              <w:rPr>
                <w:rFonts w:ascii="Century Gothic" w:hAnsi="Century Gothic" w:cstheme="minorHAnsi"/>
                <w:sz w:val="22"/>
                <w:szCs w:val="22"/>
              </w:rPr>
              <w:t xml:space="preserve">e febrero de 2023, en la cual se advierte que el demandante laboraba como vigilante para la fecha de ocurrencia de los hechos (15 de noviembre de 2021, no se logra establecer con la misma </w:t>
            </w:r>
            <w:r w:rsidR="00B4750D" w:rsidRPr="00C6081A">
              <w:rPr>
                <w:rFonts w:ascii="Century Gothic" w:hAnsi="Century Gothic" w:cstheme="minorHAnsi"/>
                <w:sz w:val="22"/>
                <w:szCs w:val="22"/>
              </w:rPr>
              <w:t>cuál</w:t>
            </w:r>
            <w:r w:rsidR="009578FD" w:rsidRPr="00C6081A">
              <w:rPr>
                <w:rFonts w:ascii="Century Gothic" w:hAnsi="Century Gothic" w:cstheme="minorHAnsi"/>
                <w:sz w:val="22"/>
                <w:szCs w:val="22"/>
              </w:rPr>
              <w:t xml:space="preserve"> era el salario </w:t>
            </w:r>
            <w:r w:rsidR="00B4750D" w:rsidRPr="00C6081A">
              <w:rPr>
                <w:rFonts w:ascii="Century Gothic" w:hAnsi="Century Gothic" w:cstheme="minorHAnsi"/>
                <w:sz w:val="22"/>
                <w:szCs w:val="22"/>
              </w:rPr>
              <w:t>percibido</w:t>
            </w:r>
            <w:r w:rsidR="009578FD" w:rsidRPr="00C6081A">
              <w:rPr>
                <w:rFonts w:ascii="Century Gothic" w:hAnsi="Century Gothic" w:cstheme="minorHAnsi"/>
                <w:sz w:val="22"/>
                <w:szCs w:val="22"/>
              </w:rPr>
              <w:t xml:space="preserve"> para dicha calenda. Adicionalmente con el escrito de subsanación se expone en el </w:t>
            </w:r>
            <w:r w:rsidR="00B4750D" w:rsidRPr="00C6081A">
              <w:rPr>
                <w:rFonts w:ascii="Century Gothic" w:hAnsi="Century Gothic" w:cstheme="minorHAnsi"/>
                <w:sz w:val="22"/>
                <w:szCs w:val="22"/>
              </w:rPr>
              <w:t>acápite</w:t>
            </w:r>
            <w:r w:rsidR="009578FD" w:rsidRPr="00C6081A">
              <w:rPr>
                <w:rFonts w:ascii="Century Gothic" w:hAnsi="Century Gothic" w:cstheme="minorHAnsi"/>
                <w:sz w:val="22"/>
                <w:szCs w:val="22"/>
              </w:rPr>
              <w:t xml:space="preserve"> del juramento estimatorio que el cálculo para su estimación se </w:t>
            </w:r>
            <w:r w:rsidR="00455676" w:rsidRPr="00C6081A">
              <w:rPr>
                <w:rFonts w:ascii="Century Gothic" w:hAnsi="Century Gothic" w:cstheme="minorHAnsi"/>
                <w:sz w:val="22"/>
                <w:szCs w:val="22"/>
              </w:rPr>
              <w:t>basó</w:t>
            </w:r>
            <w:r w:rsidR="009578FD" w:rsidRPr="00C6081A">
              <w:rPr>
                <w:rFonts w:ascii="Century Gothic" w:hAnsi="Century Gothic" w:cstheme="minorHAnsi"/>
                <w:sz w:val="22"/>
                <w:szCs w:val="22"/>
              </w:rPr>
              <w:t xml:space="preserve"> en la multiplicación de</w:t>
            </w:r>
            <w:r w:rsidR="00B4750D" w:rsidRPr="00C6081A">
              <w:rPr>
                <w:rFonts w:ascii="Century Gothic" w:hAnsi="Century Gothic" w:cstheme="minorHAnsi"/>
                <w:sz w:val="22"/>
                <w:szCs w:val="22"/>
              </w:rPr>
              <w:t>l s</w:t>
            </w:r>
            <w:r w:rsidR="009578FD" w:rsidRPr="00C6081A">
              <w:rPr>
                <w:rFonts w:ascii="Century Gothic" w:hAnsi="Century Gothic" w:cstheme="minorHAnsi"/>
                <w:sz w:val="22"/>
                <w:szCs w:val="22"/>
              </w:rPr>
              <w:t xml:space="preserve">alario mínimo </w:t>
            </w:r>
            <w:r w:rsidR="00B4750D" w:rsidRPr="00C6081A">
              <w:rPr>
                <w:rFonts w:ascii="Century Gothic" w:hAnsi="Century Gothic" w:cstheme="minorHAnsi"/>
                <w:sz w:val="22"/>
                <w:szCs w:val="22"/>
              </w:rPr>
              <w:t>diario</w:t>
            </w:r>
            <w:r w:rsidR="009578FD" w:rsidRPr="00C6081A">
              <w:rPr>
                <w:rFonts w:ascii="Century Gothic" w:hAnsi="Century Gothic" w:cstheme="minorHAnsi"/>
                <w:sz w:val="22"/>
                <w:szCs w:val="22"/>
              </w:rPr>
              <w:t xml:space="preserve"> vigente ($38.666) por el total de días de incapacidad (20 </w:t>
            </w:r>
            <w:r w:rsidR="00B4750D" w:rsidRPr="00C6081A">
              <w:rPr>
                <w:rFonts w:ascii="Century Gothic" w:hAnsi="Century Gothic" w:cstheme="minorHAnsi"/>
                <w:sz w:val="22"/>
                <w:szCs w:val="22"/>
              </w:rPr>
              <w:t>días</w:t>
            </w:r>
            <w:r w:rsidR="009578FD" w:rsidRPr="00C6081A">
              <w:rPr>
                <w:rFonts w:ascii="Century Gothic" w:hAnsi="Century Gothic" w:cstheme="minorHAnsi"/>
                <w:sz w:val="22"/>
                <w:szCs w:val="22"/>
              </w:rPr>
              <w:t xml:space="preserve">). </w:t>
            </w:r>
            <w:r w:rsidR="009578FD" w:rsidRPr="00C6081A">
              <w:rPr>
                <w:rFonts w:ascii="Century Gothic" w:hAnsi="Century Gothic" w:cstheme="minorHAnsi"/>
                <w:bCs/>
                <w:sz w:val="22"/>
                <w:szCs w:val="22"/>
              </w:rPr>
              <w:t xml:space="preserve">Ahora bien, en la historia clínica allegada por el demandante se evidencia que le fue otorgada una incapacidad médica legal, la cual equivale a veinte (20) días (no obran más incapacidades en el plenario). </w:t>
            </w:r>
            <w:r w:rsidR="009578FD" w:rsidRPr="00C6081A">
              <w:rPr>
                <w:rFonts w:ascii="Century Gothic" w:hAnsi="Century Gothic" w:cstheme="minorHAnsi"/>
                <w:sz w:val="22"/>
                <w:szCs w:val="22"/>
              </w:rPr>
              <w:t xml:space="preserve">Así pues, atendiendo al principio de </w:t>
            </w:r>
            <w:r w:rsidR="00B4750D" w:rsidRPr="00C6081A">
              <w:rPr>
                <w:rFonts w:ascii="Century Gothic" w:hAnsi="Century Gothic" w:cstheme="minorHAnsi"/>
                <w:sz w:val="22"/>
                <w:szCs w:val="22"/>
              </w:rPr>
              <w:t>congruencia,</w:t>
            </w:r>
            <w:r w:rsidR="009578FD" w:rsidRPr="00C6081A">
              <w:rPr>
                <w:rFonts w:ascii="Century Gothic" w:hAnsi="Century Gothic" w:cstheme="minorHAnsi"/>
                <w:sz w:val="22"/>
                <w:szCs w:val="22"/>
              </w:rPr>
              <w:t xml:space="preserve"> se mantendrá dicha suma para el cálculo objetivado.</w:t>
            </w:r>
          </w:p>
          <w:p w14:paraId="2C7A046A" w14:textId="77777777" w:rsidR="00AA1D1A" w:rsidRPr="00C6081A" w:rsidRDefault="00AA1D1A" w:rsidP="00AA1D1A">
            <w:pPr>
              <w:rPr>
                <w:rFonts w:ascii="Century Gothic" w:hAnsi="Century Gothic" w:cstheme="minorHAnsi"/>
                <w:b/>
                <w:bCs/>
                <w:sz w:val="22"/>
                <w:szCs w:val="22"/>
              </w:rPr>
            </w:pPr>
          </w:p>
          <w:p w14:paraId="0624FC67" w14:textId="653EB021" w:rsidR="00B4750D" w:rsidRPr="00C6081A" w:rsidRDefault="00AA1D1A" w:rsidP="00B4750D">
            <w:pPr>
              <w:spacing w:line="360" w:lineRule="auto"/>
              <w:jc w:val="both"/>
              <w:rPr>
                <w:rFonts w:ascii="Century Gothic" w:hAnsi="Century Gothic" w:cstheme="minorHAnsi"/>
                <w:b/>
                <w:bCs/>
                <w:sz w:val="22"/>
                <w:szCs w:val="22"/>
              </w:rPr>
            </w:pPr>
            <w:r w:rsidRPr="00C6081A">
              <w:rPr>
                <w:rFonts w:ascii="Century Gothic" w:hAnsi="Century Gothic" w:cstheme="minorHAnsi"/>
                <w:b/>
                <w:bCs/>
                <w:sz w:val="22"/>
                <w:szCs w:val="22"/>
              </w:rPr>
              <w:t xml:space="preserve">Daño Moral: </w:t>
            </w:r>
            <w:r w:rsidR="009578FD" w:rsidRPr="00C6081A">
              <w:rPr>
                <w:rFonts w:ascii="Century Gothic" w:hAnsi="Century Gothic" w:cstheme="minorHAnsi"/>
                <w:sz w:val="22"/>
                <w:szCs w:val="22"/>
              </w:rPr>
              <w:t>Se reconocerá la suma de $</w:t>
            </w:r>
            <w:r w:rsidR="00B4750D" w:rsidRPr="00C6081A">
              <w:rPr>
                <w:rFonts w:ascii="Century Gothic" w:hAnsi="Century Gothic" w:cstheme="minorHAnsi"/>
                <w:sz w:val="22"/>
                <w:szCs w:val="22"/>
              </w:rPr>
              <w:t>11.388.000</w:t>
            </w:r>
            <w:r w:rsidRPr="00C6081A">
              <w:rPr>
                <w:rFonts w:ascii="Century Gothic" w:hAnsi="Century Gothic" w:cstheme="minorHAnsi"/>
                <w:b/>
                <w:bCs/>
                <w:sz w:val="22"/>
                <w:szCs w:val="22"/>
              </w:rPr>
              <w:t xml:space="preserve">. </w:t>
            </w:r>
            <w:r w:rsidR="00B4750D" w:rsidRPr="00C6081A">
              <w:rPr>
                <w:rFonts w:ascii="Century Gothic" w:hAnsi="Century Gothic" w:cstheme="minorHAnsi"/>
                <w:sz w:val="22"/>
                <w:szCs w:val="22"/>
              </w:rPr>
              <w:t>Lo anterior, al tenerse en cuenta la jurisprudencia de la Corte Suprema de Justicia en la Sentencia SC072-2025, en donde se estableció como parámetro indicativo para la tasación del daño moral un total de 100 salarios mínimos legales mensuales vigentes en casos de muerte y lesiones graves, por lo tanto</w:t>
            </w:r>
            <w:r w:rsidR="00B4750D" w:rsidRPr="00C6081A">
              <w:rPr>
                <w:rFonts w:ascii="Century Gothic" w:hAnsi="Century Gothic" w:cstheme="minorHAnsi"/>
                <w:b/>
                <w:bCs/>
                <w:sz w:val="22"/>
                <w:szCs w:val="22"/>
              </w:rPr>
              <w:t xml:space="preserve">, </w:t>
            </w:r>
            <w:r w:rsidR="00B4750D" w:rsidRPr="00C6081A">
              <w:rPr>
                <w:rFonts w:ascii="Century Gothic" w:hAnsi="Century Gothic" w:cstheme="minorHAnsi"/>
                <w:sz w:val="22"/>
                <w:szCs w:val="22"/>
                <w:lang w:val="es-ES"/>
              </w:rPr>
              <w:t>con los elementos probatorios adosados al plenario en atención a la calidad de las lesiones del demandante (Fractura del Hueso del Metatarso, contusión de la rodilla y otras partes, requiriendo terapias físicas), sin que obre un dictamen médico que establezca secuelas permanentes, este perjuicio se estima en un 8% del tope indicado por la Corte y que equivale a la suma de $11.388.000 en favor del señor Alex Alberto Méndez.</w:t>
            </w:r>
          </w:p>
          <w:p w14:paraId="1883E687" w14:textId="53F3A813" w:rsidR="00B4750D" w:rsidRPr="00C6081A" w:rsidRDefault="00B4750D" w:rsidP="00AA1D1A">
            <w:pPr>
              <w:spacing w:line="360" w:lineRule="auto"/>
              <w:jc w:val="both"/>
              <w:rPr>
                <w:rFonts w:ascii="Century Gothic" w:hAnsi="Century Gothic" w:cstheme="minorHAnsi"/>
                <w:b/>
                <w:bCs/>
                <w:sz w:val="22"/>
                <w:szCs w:val="22"/>
              </w:rPr>
            </w:pPr>
          </w:p>
          <w:p w14:paraId="14080925" w14:textId="77777777" w:rsidR="00B4750D" w:rsidRPr="00C6081A" w:rsidRDefault="00B4750D" w:rsidP="00AA1D1A">
            <w:pPr>
              <w:spacing w:line="360" w:lineRule="auto"/>
              <w:jc w:val="both"/>
              <w:rPr>
                <w:rFonts w:ascii="Century Gothic" w:hAnsi="Century Gothic" w:cstheme="minorHAnsi"/>
                <w:sz w:val="22"/>
                <w:szCs w:val="22"/>
                <w:lang w:val="es-ES"/>
              </w:rPr>
            </w:pPr>
          </w:p>
          <w:p w14:paraId="344AC27B" w14:textId="77777777" w:rsidR="00AA1D1A" w:rsidRPr="00C6081A" w:rsidRDefault="00AA1D1A" w:rsidP="00AA1D1A">
            <w:pPr>
              <w:spacing w:line="360" w:lineRule="auto"/>
              <w:jc w:val="both"/>
              <w:rPr>
                <w:rFonts w:ascii="Century Gothic" w:hAnsi="Century Gothic" w:cstheme="minorHAnsi"/>
                <w:b/>
                <w:bCs/>
                <w:sz w:val="22"/>
                <w:szCs w:val="22"/>
              </w:rPr>
            </w:pPr>
          </w:p>
          <w:p w14:paraId="47973849" w14:textId="19E97127" w:rsidR="00455676" w:rsidRPr="00C6081A" w:rsidRDefault="00AA1D1A" w:rsidP="00AA1D1A">
            <w:pPr>
              <w:spacing w:line="360" w:lineRule="auto"/>
              <w:jc w:val="both"/>
              <w:rPr>
                <w:rFonts w:ascii="Century Gothic" w:hAnsi="Century Gothic" w:cstheme="minorHAnsi"/>
                <w:sz w:val="22"/>
                <w:szCs w:val="22"/>
                <w:lang w:val="es-ES"/>
              </w:rPr>
            </w:pPr>
            <w:r w:rsidRPr="00C6081A">
              <w:rPr>
                <w:rFonts w:ascii="Century Gothic" w:hAnsi="Century Gothic" w:cstheme="minorHAnsi"/>
                <w:b/>
                <w:bCs/>
                <w:sz w:val="22"/>
                <w:szCs w:val="22"/>
              </w:rPr>
              <w:lastRenderedPageBreak/>
              <w:t xml:space="preserve">Daño a la vida en relación:  </w:t>
            </w:r>
            <w:r w:rsidR="00455676" w:rsidRPr="00C6081A">
              <w:rPr>
                <w:rFonts w:ascii="Century Gothic" w:hAnsi="Century Gothic" w:cstheme="minorHAnsi"/>
                <w:sz w:val="22"/>
                <w:szCs w:val="22"/>
              </w:rPr>
              <w:t xml:space="preserve">Se reconocerá la suma de </w:t>
            </w:r>
            <w:r w:rsidRPr="00C6081A">
              <w:rPr>
                <w:rFonts w:ascii="Century Gothic" w:hAnsi="Century Gothic" w:cstheme="minorHAnsi"/>
                <w:sz w:val="22"/>
                <w:szCs w:val="22"/>
              </w:rPr>
              <w:t>$</w:t>
            </w:r>
            <w:r w:rsidR="00455676" w:rsidRPr="00C6081A">
              <w:rPr>
                <w:rFonts w:ascii="Century Gothic" w:hAnsi="Century Gothic" w:cstheme="minorHAnsi"/>
                <w:sz w:val="22"/>
                <w:szCs w:val="22"/>
              </w:rPr>
              <w:t>8.541.000.</w:t>
            </w:r>
            <w:r w:rsidR="00455676" w:rsidRPr="00C6081A">
              <w:rPr>
                <w:rFonts w:ascii="Century Gothic" w:hAnsi="Century Gothic" w:cstheme="minorHAnsi"/>
                <w:b/>
                <w:bCs/>
                <w:sz w:val="22"/>
                <w:szCs w:val="22"/>
              </w:rPr>
              <w:t xml:space="preserve"> </w:t>
            </w:r>
            <w:r w:rsidRPr="00C6081A">
              <w:rPr>
                <w:rFonts w:ascii="Century Gothic" w:hAnsi="Century Gothic" w:cstheme="minorHAnsi"/>
                <w:sz w:val="22"/>
                <w:szCs w:val="22"/>
                <w:lang w:val="es-ES"/>
              </w:rPr>
              <w:t>Respecto a este perjuicio, según la Corte Suprema de Justicia</w:t>
            </w:r>
            <w:r w:rsidRPr="00C6081A">
              <w:rPr>
                <w:rFonts w:ascii="Century Gothic" w:hAnsi="Century Gothic" w:cstheme="minorHAnsi"/>
                <w:sz w:val="22"/>
                <w:szCs w:val="22"/>
                <w:vertAlign w:val="superscript"/>
                <w:lang w:val="es-ES"/>
              </w:rPr>
              <w:footnoteReference w:id="1"/>
            </w:r>
            <w:r w:rsidRPr="00C6081A">
              <w:rPr>
                <w:rFonts w:ascii="Century Gothic" w:hAnsi="Century Gothic" w:cstheme="minorHAnsi"/>
                <w:sz w:val="22"/>
                <w:szCs w:val="22"/>
                <w:lang w:val="es-ES"/>
              </w:rPr>
              <w:t>, el mismo es una especie de perjuicio extrapatrimonial distinto del detrimento moral</w:t>
            </w:r>
            <w:r w:rsidR="00455676" w:rsidRPr="00C6081A">
              <w:rPr>
                <w:rFonts w:ascii="Century Gothic" w:hAnsi="Century Gothic" w:cstheme="minorHAnsi"/>
                <w:sz w:val="22"/>
                <w:szCs w:val="22"/>
                <w:lang w:val="es-ES"/>
              </w:rPr>
              <w:t>, pues</w:t>
            </w:r>
            <w:r w:rsidRPr="00C6081A">
              <w:rPr>
                <w:rFonts w:ascii="Century Gothic" w:hAnsi="Century Gothic" w:cstheme="minorHAnsi"/>
                <w:sz w:val="22"/>
                <w:szCs w:val="22"/>
                <w:lang w:val="es-ES"/>
              </w:rPr>
              <w:t xml:space="preserve"> se trata de un menoscabo que se evidencia en los sufrimientos por la relación externa de la persona, debido a disminución o deterioro de la calidad de vida de la víctima</w:t>
            </w:r>
            <w:r w:rsidR="00455676" w:rsidRPr="00C6081A">
              <w:rPr>
                <w:rFonts w:ascii="Century Gothic" w:hAnsi="Century Gothic" w:cstheme="minorHAnsi"/>
                <w:sz w:val="22"/>
                <w:szCs w:val="22"/>
                <w:lang w:val="es-ES"/>
              </w:rPr>
              <w:t>. Dicho esto, teniendo</w:t>
            </w:r>
            <w:r w:rsidR="00455676" w:rsidRPr="00C6081A">
              <w:rPr>
                <w:rFonts w:ascii="Century Gothic" w:hAnsi="Century Gothic" w:cstheme="minorHAnsi"/>
                <w:sz w:val="22"/>
                <w:szCs w:val="22"/>
              </w:rPr>
              <w:t xml:space="preserve"> en cuenta la jurisprudencia de la Corte Suprema de Justicia en la Sentencia SC072-2025, en donde se estableció como parámetro indicativo para la tasación del daño a la vida de relación un total de 200 salarios mínimos legales mensuales vigentes en casos de lesiones graves, por lo tanto</w:t>
            </w:r>
            <w:r w:rsidR="00455676" w:rsidRPr="00C6081A">
              <w:rPr>
                <w:rFonts w:ascii="Century Gothic" w:hAnsi="Century Gothic" w:cstheme="minorHAnsi"/>
                <w:b/>
                <w:bCs/>
                <w:sz w:val="22"/>
                <w:szCs w:val="22"/>
              </w:rPr>
              <w:t xml:space="preserve">, </w:t>
            </w:r>
            <w:r w:rsidR="00455676" w:rsidRPr="00C6081A">
              <w:rPr>
                <w:rFonts w:ascii="Century Gothic" w:hAnsi="Century Gothic" w:cstheme="minorHAnsi"/>
                <w:sz w:val="22"/>
                <w:szCs w:val="22"/>
                <w:lang w:val="es-ES"/>
              </w:rPr>
              <w:t xml:space="preserve">con los elementos probatorios adosados al plenario en atención a la calidad de las lesiones del demandante (Fractura del Hueso del Metatarso, contusión de la rodilla y otras partes, requiriendo terapias físicas), sin que obre un dictamen médico que establezca secuelas permanentes, este podría encuadrarse dentro de los eventos con </w:t>
            </w:r>
            <w:r w:rsidR="00455676" w:rsidRPr="00C6081A">
              <w:rPr>
                <w:rFonts w:ascii="Century Gothic" w:hAnsi="Century Gothic" w:cstheme="minorHAnsi"/>
                <w:i/>
                <w:iCs/>
                <w:sz w:val="22"/>
                <w:szCs w:val="22"/>
                <w:lang w:val="es-ES"/>
              </w:rPr>
              <w:t>“otras afectaciones en el cuerpo</w:t>
            </w:r>
            <w:r w:rsidR="00455676" w:rsidRPr="00C6081A">
              <w:rPr>
                <w:rFonts w:ascii="Century Gothic" w:hAnsi="Century Gothic" w:cstheme="minorHAnsi"/>
                <w:sz w:val="22"/>
                <w:szCs w:val="22"/>
                <w:lang w:val="es-ES"/>
              </w:rPr>
              <w:t>”, en los que se ha tasado un porcentaje indicativo de entre 3% y 15% sobre el tope indemnizatorio. Por todo lo anterior, este perjuicio se estima en un 3% del tope indicado por la Corte y que equivale a la suma de $8.541.000 a favor del señor Alex Alberto Méndez.</w:t>
            </w:r>
          </w:p>
          <w:p w14:paraId="1DA2AB87" w14:textId="77777777" w:rsidR="00455676" w:rsidRPr="00C6081A" w:rsidRDefault="00455676" w:rsidP="00AA1D1A">
            <w:pPr>
              <w:spacing w:line="360" w:lineRule="auto"/>
              <w:jc w:val="both"/>
              <w:rPr>
                <w:rFonts w:ascii="Century Gothic" w:hAnsi="Century Gothic" w:cstheme="minorHAnsi"/>
                <w:sz w:val="22"/>
                <w:szCs w:val="22"/>
                <w:lang w:val="es-ES"/>
              </w:rPr>
            </w:pPr>
          </w:p>
          <w:p w14:paraId="31FF8AB1" w14:textId="454B3B64" w:rsidR="00E802BC" w:rsidRPr="00C6081A" w:rsidRDefault="00455676" w:rsidP="00455676">
            <w:pPr>
              <w:spacing w:line="360" w:lineRule="auto"/>
              <w:jc w:val="both"/>
              <w:rPr>
                <w:rFonts w:ascii="Century Gothic" w:hAnsi="Century Gothic"/>
                <w:sz w:val="22"/>
                <w:szCs w:val="22"/>
              </w:rPr>
            </w:pPr>
            <w:r w:rsidRPr="00C6081A">
              <w:rPr>
                <w:rFonts w:ascii="Century Gothic" w:hAnsi="Century Gothic" w:cstheme="minorHAnsi"/>
                <w:b/>
                <w:sz w:val="22"/>
                <w:szCs w:val="22"/>
              </w:rPr>
              <w:t>Deducible</w:t>
            </w:r>
            <w:r w:rsidR="00AA1D1A" w:rsidRPr="00C6081A">
              <w:rPr>
                <w:rFonts w:ascii="Century Gothic" w:hAnsi="Century Gothic" w:cstheme="minorHAnsi"/>
                <w:b/>
                <w:sz w:val="22"/>
                <w:szCs w:val="22"/>
              </w:rPr>
              <w:t xml:space="preserve">: </w:t>
            </w:r>
            <w:r w:rsidR="00AA1D1A" w:rsidRPr="00C6081A">
              <w:rPr>
                <w:rFonts w:ascii="Century Gothic" w:hAnsi="Century Gothic" w:cstheme="minorHAnsi"/>
                <w:sz w:val="22"/>
                <w:szCs w:val="22"/>
              </w:rPr>
              <w:t>teniendo en cuenta que la póliza de seguro RCE SERVICIO PÚBLICO tiene pactado un límite máximo asegurado de 60 SMMLV equivalente a la suma de $ 54.511.560 para la fecha de los hechos (2021)</w:t>
            </w:r>
            <w:r w:rsidR="00AA1D1A" w:rsidRPr="00C6081A">
              <w:rPr>
                <w:rFonts w:ascii="Century Gothic" w:hAnsi="Century Gothic"/>
                <w:sz w:val="22"/>
                <w:szCs w:val="22"/>
              </w:rPr>
              <w:t xml:space="preserve"> </w:t>
            </w:r>
            <w:r w:rsidR="00AA1D1A" w:rsidRPr="00C6081A">
              <w:rPr>
                <w:rFonts w:ascii="Century Gothic" w:hAnsi="Century Gothic" w:cstheme="minorHAnsi"/>
                <w:sz w:val="22"/>
                <w:szCs w:val="22"/>
              </w:rPr>
              <w:t>respecto al amparo de “Lesiones o Muerte de una persona”, sin deducible. El valor asegurado podría cubrir la liquidación objetiva</w:t>
            </w:r>
            <w:r w:rsidR="00AA1D1A" w:rsidRPr="00C6081A">
              <w:rPr>
                <w:rFonts w:ascii="Century Gothic" w:hAnsi="Century Gothic" w:cstheme="minorHAnsi"/>
                <w:b/>
                <w:sz w:val="22"/>
                <w:szCs w:val="22"/>
              </w:rPr>
              <w:t xml:space="preserve">. </w:t>
            </w:r>
          </w:p>
        </w:tc>
      </w:tr>
      <w:tr w:rsidR="00455676" w:rsidRPr="00C6081A" w14:paraId="29E8700E" w14:textId="77777777" w:rsidTr="00455676">
        <w:trPr>
          <w:trHeight w:val="3866"/>
        </w:trPr>
        <w:tc>
          <w:tcPr>
            <w:tcW w:w="10160" w:type="dxa"/>
            <w:vAlign w:val="center"/>
          </w:tcPr>
          <w:p w14:paraId="21468852" w14:textId="3966D385" w:rsidR="00455676" w:rsidRPr="00C6081A" w:rsidRDefault="00455676" w:rsidP="00AA1D1A">
            <w:pPr>
              <w:spacing w:line="360" w:lineRule="auto"/>
              <w:jc w:val="both"/>
              <w:rPr>
                <w:rFonts w:ascii="Century Gothic" w:hAnsi="Century Gothic" w:cstheme="minorHAnsi"/>
                <w:sz w:val="22"/>
                <w:szCs w:val="22"/>
              </w:rPr>
            </w:pPr>
          </w:p>
        </w:tc>
      </w:tr>
    </w:tbl>
    <w:p w14:paraId="7273C5A1" w14:textId="77777777" w:rsidR="0095378E" w:rsidRPr="00C6081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C6081A" w14:paraId="05674BEA" w14:textId="77777777" w:rsidTr="0095378E">
        <w:trPr>
          <w:trHeight w:val="321"/>
        </w:trPr>
        <w:tc>
          <w:tcPr>
            <w:tcW w:w="10207" w:type="dxa"/>
            <w:shd w:val="clear" w:color="auto" w:fill="C5E0B3" w:themeFill="accent6" w:themeFillTint="66"/>
            <w:vAlign w:val="center"/>
          </w:tcPr>
          <w:p w14:paraId="2BB97918" w14:textId="52E94393" w:rsidR="003B7F1A" w:rsidRPr="00C6081A" w:rsidRDefault="003B7F1A" w:rsidP="003B7F1A">
            <w:pPr>
              <w:spacing w:line="276" w:lineRule="auto"/>
              <w:jc w:val="center"/>
              <w:rPr>
                <w:rFonts w:ascii="Century Gothic" w:hAnsi="Century Gothic"/>
                <w:sz w:val="22"/>
                <w:szCs w:val="22"/>
              </w:rPr>
            </w:pPr>
            <w:r w:rsidRPr="00C6081A">
              <w:rPr>
                <w:rFonts w:ascii="Century Gothic" w:hAnsi="Century Gothic"/>
                <w:b/>
                <w:bCs/>
                <w:sz w:val="22"/>
                <w:szCs w:val="22"/>
              </w:rPr>
              <w:lastRenderedPageBreak/>
              <w:t>Excepciones</w:t>
            </w:r>
          </w:p>
        </w:tc>
      </w:tr>
      <w:tr w:rsidR="003B7F1A" w:rsidRPr="00C6081A" w14:paraId="4AAD7549" w14:textId="77777777" w:rsidTr="0095378E">
        <w:trPr>
          <w:trHeight w:val="3906"/>
        </w:trPr>
        <w:tc>
          <w:tcPr>
            <w:tcW w:w="10207" w:type="dxa"/>
            <w:vAlign w:val="center"/>
          </w:tcPr>
          <w:p w14:paraId="61D827D5" w14:textId="539D70BC" w:rsidR="00A536A9" w:rsidRPr="00C6081A" w:rsidRDefault="00A536A9" w:rsidP="00A536A9">
            <w:pPr>
              <w:spacing w:line="360" w:lineRule="auto"/>
              <w:jc w:val="both"/>
              <w:rPr>
                <w:rFonts w:ascii="Century Gothic" w:hAnsi="Century Gothic" w:cs="Arial"/>
              </w:rPr>
            </w:pPr>
            <w:r w:rsidRPr="00C6081A">
              <w:rPr>
                <w:rFonts w:ascii="Century Gothic" w:hAnsi="Century Gothic" w:cs="Arial"/>
              </w:rPr>
              <w:t>FRENTE A LA DEMANDA</w:t>
            </w:r>
          </w:p>
          <w:p w14:paraId="79A430B5" w14:textId="71F69B52" w:rsidR="00455676" w:rsidRPr="00C6081A" w:rsidRDefault="00455676" w:rsidP="00455676">
            <w:pPr>
              <w:pStyle w:val="Prrafodelista"/>
              <w:numPr>
                <w:ilvl w:val="0"/>
                <w:numId w:val="1"/>
              </w:numPr>
              <w:spacing w:after="0" w:line="360" w:lineRule="auto"/>
              <w:jc w:val="both"/>
              <w:rPr>
                <w:rFonts w:ascii="Century Gothic" w:hAnsi="Century Gothic" w:cs="Arial"/>
              </w:rPr>
            </w:pPr>
            <w:r w:rsidRPr="00C6081A">
              <w:rPr>
                <w:rFonts w:ascii="Century Gothic" w:hAnsi="Century Gothic" w:cs="Arial"/>
              </w:rPr>
              <w:t>Inexistencia de responsabilidad civil extracontractual debido a que el demandante no ha probado la ocurrencia del supuesto hecho dañoso ni la culpa.</w:t>
            </w:r>
          </w:p>
          <w:p w14:paraId="27BDF67B" w14:textId="13AD7D1D" w:rsidR="00455676" w:rsidRPr="00C6081A" w:rsidRDefault="00455676" w:rsidP="00455676">
            <w:pPr>
              <w:pStyle w:val="Prrafodelista"/>
              <w:numPr>
                <w:ilvl w:val="0"/>
                <w:numId w:val="1"/>
              </w:numPr>
              <w:spacing w:after="0" w:line="360" w:lineRule="auto"/>
              <w:jc w:val="both"/>
              <w:rPr>
                <w:rFonts w:ascii="Century Gothic" w:hAnsi="Century Gothic" w:cs="Arial"/>
              </w:rPr>
            </w:pPr>
            <w:r w:rsidRPr="00C6081A">
              <w:rPr>
                <w:rFonts w:ascii="Century Gothic" w:hAnsi="Century Gothic" w:cs="Arial"/>
                <w:bCs/>
              </w:rPr>
              <w:t xml:space="preserve">Reducción de la indemnización como consecuencia de la incidencia de la conducta de </w:t>
            </w:r>
            <w:proofErr w:type="spellStart"/>
            <w:r w:rsidRPr="00C6081A">
              <w:rPr>
                <w:rFonts w:ascii="Century Gothic" w:hAnsi="Century Gothic" w:cs="Arial"/>
                <w:bCs/>
              </w:rPr>
              <w:t>Jhon</w:t>
            </w:r>
            <w:proofErr w:type="spellEnd"/>
            <w:r w:rsidRPr="00C6081A">
              <w:rPr>
                <w:rFonts w:ascii="Century Gothic" w:hAnsi="Century Gothic" w:cs="Arial"/>
                <w:bCs/>
              </w:rPr>
              <w:t xml:space="preserve"> Jader Mahecha Oviedo en la producción del daño.</w:t>
            </w:r>
          </w:p>
          <w:p w14:paraId="2AED961A" w14:textId="5F1FF4A4" w:rsidR="00455676" w:rsidRPr="00C6081A" w:rsidRDefault="00455676" w:rsidP="00455676">
            <w:pPr>
              <w:pStyle w:val="Prrafodelista"/>
              <w:numPr>
                <w:ilvl w:val="0"/>
                <w:numId w:val="1"/>
              </w:numPr>
              <w:spacing w:after="0" w:line="360" w:lineRule="auto"/>
              <w:jc w:val="both"/>
              <w:rPr>
                <w:rFonts w:ascii="Century Gothic" w:hAnsi="Century Gothic" w:cs="Arial"/>
                <w:bCs/>
                <w:lang w:val="es-ES"/>
              </w:rPr>
            </w:pPr>
            <w:r w:rsidRPr="00C6081A">
              <w:rPr>
                <w:rFonts w:ascii="Century Gothic" w:hAnsi="Century Gothic" w:cs="Arial"/>
                <w:bCs/>
              </w:rPr>
              <w:t>Falta de legitimación en la causa por pasiva de la Equidad Seguros Generales O.C.</w:t>
            </w:r>
          </w:p>
          <w:p w14:paraId="70FE4024" w14:textId="77777777" w:rsidR="00455676" w:rsidRPr="00C6081A" w:rsidRDefault="00455676" w:rsidP="00455676">
            <w:pPr>
              <w:pStyle w:val="Prrafodelista"/>
              <w:numPr>
                <w:ilvl w:val="0"/>
                <w:numId w:val="1"/>
              </w:numPr>
              <w:spacing w:after="0" w:line="360" w:lineRule="auto"/>
              <w:jc w:val="both"/>
              <w:rPr>
                <w:rFonts w:ascii="Century Gothic" w:hAnsi="Century Gothic" w:cs="Arial"/>
              </w:rPr>
            </w:pPr>
            <w:r w:rsidRPr="00C6081A">
              <w:rPr>
                <w:rFonts w:ascii="Century Gothic" w:hAnsi="Century Gothic" w:cs="Arial"/>
              </w:rPr>
              <w:t>Enriquecimiento sin justa causa.</w:t>
            </w:r>
          </w:p>
          <w:p w14:paraId="64EF8DE7" w14:textId="77777777" w:rsidR="00455676" w:rsidRPr="00C6081A" w:rsidRDefault="00455676" w:rsidP="00455676">
            <w:pPr>
              <w:pStyle w:val="Prrafodelista"/>
              <w:numPr>
                <w:ilvl w:val="0"/>
                <w:numId w:val="1"/>
              </w:numPr>
              <w:spacing w:after="0" w:line="360" w:lineRule="auto"/>
              <w:jc w:val="both"/>
              <w:rPr>
                <w:rFonts w:ascii="Century Gothic" w:hAnsi="Century Gothic" w:cs="Arial"/>
              </w:rPr>
            </w:pPr>
            <w:r w:rsidRPr="00C6081A">
              <w:rPr>
                <w:rFonts w:ascii="Century Gothic" w:hAnsi="Century Gothic" w:cs="Arial"/>
              </w:rPr>
              <w:t>Inexistencia del lucro cesante pretendido por el señor Alex Alberto Méndez Tafur.</w:t>
            </w:r>
          </w:p>
          <w:p w14:paraId="5523B540" w14:textId="77777777" w:rsidR="00455676" w:rsidRPr="00C6081A" w:rsidRDefault="00455676" w:rsidP="00455676">
            <w:pPr>
              <w:pStyle w:val="Prrafodelista"/>
              <w:numPr>
                <w:ilvl w:val="0"/>
                <w:numId w:val="1"/>
              </w:numPr>
              <w:spacing w:after="0" w:line="360" w:lineRule="auto"/>
              <w:jc w:val="both"/>
              <w:rPr>
                <w:rFonts w:ascii="Century Gothic" w:hAnsi="Century Gothic" w:cs="Arial"/>
              </w:rPr>
            </w:pPr>
            <w:r w:rsidRPr="00C6081A">
              <w:rPr>
                <w:rFonts w:ascii="Century Gothic" w:hAnsi="Century Gothic" w:cs="Arial"/>
              </w:rPr>
              <w:t>Tasación indebida e injustificada de los supuestos perjuicios morales pretendidos por el demandante.</w:t>
            </w:r>
          </w:p>
          <w:p w14:paraId="55ED4C63" w14:textId="6EA08BB5" w:rsidR="00455676" w:rsidRPr="00C6081A" w:rsidRDefault="00455676" w:rsidP="00455676">
            <w:pPr>
              <w:pStyle w:val="Prrafodelista"/>
              <w:numPr>
                <w:ilvl w:val="0"/>
                <w:numId w:val="1"/>
              </w:numPr>
              <w:spacing w:after="0" w:line="360" w:lineRule="auto"/>
              <w:jc w:val="both"/>
              <w:rPr>
                <w:rFonts w:ascii="Century Gothic" w:hAnsi="Century Gothic" w:cs="Arial"/>
                <w:color w:val="000000" w:themeColor="text1"/>
              </w:rPr>
            </w:pPr>
            <w:r w:rsidRPr="00C6081A">
              <w:rPr>
                <w:rFonts w:ascii="Century Gothic" w:hAnsi="Century Gothic" w:cs="Arial"/>
                <w:color w:val="000000" w:themeColor="text1"/>
              </w:rPr>
              <w:t>Inexistencia de elementos probatorios que acrediten el daño a la vida en relación.</w:t>
            </w:r>
          </w:p>
          <w:p w14:paraId="462556AB" w14:textId="4E42C118" w:rsidR="00A536A9" w:rsidRPr="00C6081A" w:rsidRDefault="00A536A9" w:rsidP="00455676">
            <w:pPr>
              <w:pStyle w:val="Prrafodelista"/>
              <w:numPr>
                <w:ilvl w:val="0"/>
                <w:numId w:val="1"/>
              </w:numPr>
              <w:spacing w:after="0" w:line="360" w:lineRule="auto"/>
              <w:jc w:val="both"/>
              <w:rPr>
                <w:rFonts w:ascii="Century Gothic" w:hAnsi="Century Gothic" w:cs="Arial"/>
                <w:color w:val="000000" w:themeColor="text1"/>
              </w:rPr>
            </w:pPr>
            <w:r w:rsidRPr="00C6081A">
              <w:rPr>
                <w:rFonts w:ascii="Century Gothic" w:hAnsi="Century Gothic" w:cs="Arial"/>
                <w:color w:val="000000" w:themeColor="text1"/>
              </w:rPr>
              <w:t>Genérica o innominada.</w:t>
            </w:r>
          </w:p>
          <w:p w14:paraId="02B9E7ED" w14:textId="77777777" w:rsidR="00A536A9" w:rsidRPr="00C6081A" w:rsidRDefault="00A536A9" w:rsidP="00A536A9">
            <w:pPr>
              <w:spacing w:line="360" w:lineRule="auto"/>
              <w:jc w:val="both"/>
              <w:rPr>
                <w:rFonts w:ascii="Century Gothic" w:hAnsi="Century Gothic" w:cs="Arial"/>
                <w:color w:val="000000" w:themeColor="text1"/>
              </w:rPr>
            </w:pPr>
          </w:p>
          <w:p w14:paraId="6196FBB7" w14:textId="3D0BAC59" w:rsidR="00A536A9" w:rsidRPr="00C6081A" w:rsidRDefault="00A536A9" w:rsidP="00A536A9">
            <w:pPr>
              <w:spacing w:line="360" w:lineRule="auto"/>
              <w:jc w:val="both"/>
              <w:rPr>
                <w:rFonts w:ascii="Century Gothic" w:hAnsi="Century Gothic" w:cs="Arial"/>
                <w:color w:val="000000" w:themeColor="text1"/>
              </w:rPr>
            </w:pPr>
            <w:r w:rsidRPr="00C6081A">
              <w:rPr>
                <w:rFonts w:ascii="Century Gothic" w:hAnsi="Century Gothic" w:cs="Arial"/>
                <w:color w:val="000000" w:themeColor="text1"/>
              </w:rPr>
              <w:t>FRENTE AL CONTRATO DE SEGURO</w:t>
            </w:r>
          </w:p>
          <w:p w14:paraId="5F59D1B6" w14:textId="09116EBD"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Inexistencia de obligación a indemnizar a cargo de La Equidad Seguros Generales O.C. por incumplimiento de las cargas del artículo 1077 del código de comercio.</w:t>
            </w:r>
          </w:p>
          <w:p w14:paraId="606BF308" w14:textId="3D338A70"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Riesgos expresamente excluidos en la póliza de seguro AA002154.</w:t>
            </w:r>
          </w:p>
          <w:p w14:paraId="52ABDD9E" w14:textId="77777777"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color w:val="000000" w:themeColor="text1"/>
              </w:rPr>
            </w:pPr>
            <w:r w:rsidRPr="00C6081A">
              <w:rPr>
                <w:rFonts w:ascii="Century Gothic" w:hAnsi="Century Gothic" w:cs="Arial"/>
              </w:rPr>
              <w:t>Carácter indemnizatorio del contrato de seguro.</w:t>
            </w:r>
          </w:p>
          <w:p w14:paraId="1436268A" w14:textId="77777777"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Sujeción a las condiciones particulares y generales del contrato de seguro, en la que se identifica la póliza, el clausulado y los amparos.</w:t>
            </w:r>
          </w:p>
          <w:p w14:paraId="6913FA31" w14:textId="3DA75FE7"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 xml:space="preserve">En </w:t>
            </w:r>
            <w:r w:rsidR="00A071C5" w:rsidRPr="00C6081A">
              <w:rPr>
                <w:rFonts w:ascii="Century Gothic" w:hAnsi="Century Gothic" w:cs="Arial"/>
              </w:rPr>
              <w:t>c</w:t>
            </w:r>
            <w:r w:rsidRPr="00C6081A">
              <w:rPr>
                <w:rFonts w:ascii="Century Gothic" w:hAnsi="Century Gothic" w:cs="Arial"/>
              </w:rPr>
              <w:t xml:space="preserve">ualquier caso, de ninguna forma se podrá exceder el </w:t>
            </w:r>
            <w:r w:rsidR="00A071C5" w:rsidRPr="00C6081A">
              <w:rPr>
                <w:rFonts w:ascii="Century Gothic" w:hAnsi="Century Gothic" w:cs="Arial"/>
              </w:rPr>
              <w:t>límite</w:t>
            </w:r>
            <w:r w:rsidRPr="00C6081A">
              <w:rPr>
                <w:rFonts w:ascii="Century Gothic" w:hAnsi="Century Gothic" w:cs="Arial"/>
              </w:rPr>
              <w:t xml:space="preserve"> del valor asegurado.</w:t>
            </w:r>
          </w:p>
          <w:p w14:paraId="6AA56F84" w14:textId="4F1DA25E"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Disponibilidad del valor asegurado.</w:t>
            </w:r>
          </w:p>
          <w:p w14:paraId="501D230A" w14:textId="0F2FB78B"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Prescripción de la acción derivada del contrato de seguro.</w:t>
            </w:r>
          </w:p>
          <w:p w14:paraId="1FD39DF1" w14:textId="7CE327CA" w:rsidR="00A536A9" w:rsidRPr="00C6081A" w:rsidRDefault="00A536A9" w:rsidP="00A536A9">
            <w:pPr>
              <w:pStyle w:val="Prrafodelista"/>
              <w:widowControl w:val="0"/>
              <w:numPr>
                <w:ilvl w:val="0"/>
                <w:numId w:val="3"/>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Genérica o innominada.</w:t>
            </w:r>
          </w:p>
          <w:p w14:paraId="3F04D5D9" w14:textId="77777777" w:rsidR="00A536A9" w:rsidRPr="00C6081A" w:rsidRDefault="00A536A9" w:rsidP="00A536A9">
            <w:pPr>
              <w:widowControl w:val="0"/>
              <w:autoSpaceDE w:val="0"/>
              <w:autoSpaceDN w:val="0"/>
              <w:adjustRightInd w:val="0"/>
              <w:spacing w:line="360" w:lineRule="auto"/>
              <w:jc w:val="both"/>
              <w:rPr>
                <w:rFonts w:ascii="Century Gothic" w:hAnsi="Century Gothic" w:cs="Arial"/>
              </w:rPr>
            </w:pPr>
          </w:p>
          <w:p w14:paraId="15760407" w14:textId="41D488E3" w:rsidR="00A536A9" w:rsidRPr="00C6081A" w:rsidRDefault="00A536A9" w:rsidP="00A536A9">
            <w:pPr>
              <w:widowControl w:val="0"/>
              <w:autoSpaceDE w:val="0"/>
              <w:autoSpaceDN w:val="0"/>
              <w:adjustRightInd w:val="0"/>
              <w:spacing w:line="360" w:lineRule="auto"/>
              <w:jc w:val="both"/>
              <w:rPr>
                <w:rFonts w:ascii="Century Gothic" w:hAnsi="Century Gothic" w:cs="Arial"/>
              </w:rPr>
            </w:pPr>
            <w:r w:rsidRPr="00C6081A">
              <w:rPr>
                <w:rFonts w:ascii="Century Gothic" w:hAnsi="Century Gothic" w:cs="Arial"/>
              </w:rPr>
              <w:t>FRENTE AL LLAMAMIENTO EN GARANTÍA FORMULADO POR JOSE SAUL TORRES ORTEGA</w:t>
            </w:r>
          </w:p>
          <w:p w14:paraId="59F20F43" w14:textId="4D3B67B5"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Inexistencia de obligación a indemnizar a cargo de La Equidad Seguros Generales O.C. toda vez que no se ha probado la ocurrencia de un siniestro en los términos del artículo 1072 del código de comercio.</w:t>
            </w:r>
          </w:p>
          <w:p w14:paraId="36405B27" w14:textId="77777777"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Riesgos expresamente excluidos en la póliza de seguro AA002154.</w:t>
            </w:r>
          </w:p>
          <w:p w14:paraId="5DF5AA87" w14:textId="77777777"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color w:val="000000" w:themeColor="text1"/>
              </w:rPr>
            </w:pPr>
            <w:r w:rsidRPr="00C6081A">
              <w:rPr>
                <w:rFonts w:ascii="Century Gothic" w:hAnsi="Century Gothic" w:cs="Arial"/>
              </w:rPr>
              <w:lastRenderedPageBreak/>
              <w:t>Carácter indemnizatorio del contrato de seguro.</w:t>
            </w:r>
          </w:p>
          <w:p w14:paraId="349BE232" w14:textId="77777777"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Sujeción a las condiciones particulares y generales del contrato de seguro, en la que se identifica la póliza, el clausulado y los amparos.</w:t>
            </w:r>
          </w:p>
          <w:p w14:paraId="5B417A3E" w14:textId="605CC4A2"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En cualquier caso, de ninguna forma se podrá exceder el límite del valor asegurado.</w:t>
            </w:r>
          </w:p>
          <w:p w14:paraId="79FB93CE" w14:textId="77777777"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Disponibilidad del valor asegurado.</w:t>
            </w:r>
          </w:p>
          <w:p w14:paraId="43624CA2" w14:textId="2AB1C3DB" w:rsidR="00A071C5"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Prescripción ordinaria de la acción derivada del contrato de seguro.</w:t>
            </w:r>
          </w:p>
          <w:p w14:paraId="52CE2D52" w14:textId="0391DAB9" w:rsidR="003B7F1A" w:rsidRPr="00C6081A" w:rsidRDefault="00A071C5" w:rsidP="00A071C5">
            <w:pPr>
              <w:pStyle w:val="Prrafodelista"/>
              <w:widowControl w:val="0"/>
              <w:numPr>
                <w:ilvl w:val="0"/>
                <w:numId w:val="4"/>
              </w:numPr>
              <w:autoSpaceDE w:val="0"/>
              <w:autoSpaceDN w:val="0"/>
              <w:adjustRightInd w:val="0"/>
              <w:spacing w:after="0" w:line="360" w:lineRule="auto"/>
              <w:jc w:val="both"/>
              <w:rPr>
                <w:rFonts w:ascii="Century Gothic" w:hAnsi="Century Gothic" w:cs="Arial"/>
              </w:rPr>
            </w:pPr>
            <w:r w:rsidRPr="00C6081A">
              <w:rPr>
                <w:rFonts w:ascii="Century Gothic" w:hAnsi="Century Gothic" w:cs="Arial"/>
              </w:rPr>
              <w:t>Genérica o innominada.</w:t>
            </w:r>
          </w:p>
        </w:tc>
      </w:tr>
    </w:tbl>
    <w:p w14:paraId="0AA122B4" w14:textId="77777777" w:rsidR="00F67EF8" w:rsidRPr="00C6081A"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6081A" w14:paraId="4B531C7D" w14:textId="77777777" w:rsidTr="0095378E">
        <w:trPr>
          <w:trHeight w:val="454"/>
        </w:trPr>
        <w:tc>
          <w:tcPr>
            <w:tcW w:w="3266" w:type="dxa"/>
            <w:vAlign w:val="center"/>
            <w:hideMark/>
          </w:tcPr>
          <w:p w14:paraId="3F99B56F" w14:textId="1315CCDB" w:rsidR="00EE687D" w:rsidRPr="00C6081A" w:rsidRDefault="006F0CAA" w:rsidP="00EB6A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4E55D14" w:rsidR="00EE687D" w:rsidRPr="00C6081A" w:rsidRDefault="00AA1D1A"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10267399</w:t>
            </w:r>
          </w:p>
        </w:tc>
      </w:tr>
      <w:tr w:rsidR="006F0CAA" w:rsidRPr="00C6081A" w14:paraId="7A21B905" w14:textId="77777777" w:rsidTr="0095378E">
        <w:trPr>
          <w:trHeight w:val="454"/>
        </w:trPr>
        <w:tc>
          <w:tcPr>
            <w:tcW w:w="3266" w:type="dxa"/>
            <w:vAlign w:val="center"/>
          </w:tcPr>
          <w:p w14:paraId="533380A9" w14:textId="7103E52D" w:rsidR="006F0CAA" w:rsidRPr="00C6081A" w:rsidRDefault="006F0CAA" w:rsidP="00EB6A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 xml:space="preserve">Caso </w:t>
            </w:r>
            <w:proofErr w:type="spellStart"/>
            <w:r w:rsidRPr="00C6081A">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55F86E0" w:rsidR="006F0CAA" w:rsidRPr="00C6081A" w:rsidRDefault="0023078D"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S</w:t>
            </w:r>
            <w:r w:rsidR="001B76C6">
              <w:rPr>
                <w:rFonts w:ascii="Century Gothic" w:hAnsi="Century Gothic" w:cs="Segoe UI"/>
                <w:sz w:val="22"/>
                <w:szCs w:val="22"/>
                <w:lang w:eastAsia="es-CO"/>
              </w:rPr>
              <w:t>IN INFORMACIÓN</w:t>
            </w:r>
          </w:p>
        </w:tc>
      </w:tr>
      <w:tr w:rsidR="00EE687D" w:rsidRPr="00C6081A" w14:paraId="00877764" w14:textId="77777777" w:rsidTr="0095378E">
        <w:trPr>
          <w:trHeight w:val="454"/>
        </w:trPr>
        <w:tc>
          <w:tcPr>
            <w:tcW w:w="3266" w:type="dxa"/>
            <w:vAlign w:val="center"/>
            <w:hideMark/>
          </w:tcPr>
          <w:p w14:paraId="749E810E" w14:textId="77777777" w:rsidR="00EE687D" w:rsidRPr="00C6081A" w:rsidRDefault="00EE687D" w:rsidP="00EB6A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Póliza</w:t>
            </w:r>
          </w:p>
        </w:tc>
        <w:tc>
          <w:tcPr>
            <w:tcW w:w="6941" w:type="dxa"/>
            <w:vAlign w:val="center"/>
          </w:tcPr>
          <w:p w14:paraId="7FC9EC9E" w14:textId="09963ECE" w:rsidR="00EE687D" w:rsidRPr="00C6081A" w:rsidRDefault="00AA1D1A"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RCE Servicio Público</w:t>
            </w:r>
          </w:p>
        </w:tc>
      </w:tr>
      <w:tr w:rsidR="00EE687D" w:rsidRPr="00C6081A" w14:paraId="3260B646" w14:textId="77777777" w:rsidTr="0095378E">
        <w:trPr>
          <w:trHeight w:val="454"/>
        </w:trPr>
        <w:tc>
          <w:tcPr>
            <w:tcW w:w="3266" w:type="dxa"/>
            <w:vAlign w:val="center"/>
            <w:hideMark/>
          </w:tcPr>
          <w:p w14:paraId="67FBF2E5" w14:textId="77777777" w:rsidR="00EE687D" w:rsidRPr="00C6081A" w:rsidRDefault="00EE687D" w:rsidP="00EB6A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2831AEF" w:rsidR="00EE687D" w:rsidRPr="00C6081A" w:rsidRDefault="0023078D"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AA078654</w:t>
            </w:r>
          </w:p>
        </w:tc>
      </w:tr>
      <w:tr w:rsidR="00EE687D" w:rsidRPr="00C6081A" w14:paraId="0BC7C6A3" w14:textId="77777777" w:rsidTr="0095378E">
        <w:trPr>
          <w:trHeight w:val="454"/>
        </w:trPr>
        <w:tc>
          <w:tcPr>
            <w:tcW w:w="3266" w:type="dxa"/>
            <w:vAlign w:val="center"/>
            <w:hideMark/>
          </w:tcPr>
          <w:p w14:paraId="433D63BC" w14:textId="77777777" w:rsidR="00EE687D" w:rsidRPr="00C6081A" w:rsidRDefault="00EE687D" w:rsidP="00EB6A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Orden</w:t>
            </w:r>
          </w:p>
        </w:tc>
        <w:tc>
          <w:tcPr>
            <w:tcW w:w="6941" w:type="dxa"/>
            <w:vAlign w:val="center"/>
          </w:tcPr>
          <w:p w14:paraId="25280801" w14:textId="20EB32B1" w:rsidR="00EE687D" w:rsidRPr="00C6081A" w:rsidRDefault="001B76C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C6081A" w14:paraId="3ACEF28A" w14:textId="77777777" w:rsidTr="0095378E">
        <w:trPr>
          <w:trHeight w:val="454"/>
        </w:trPr>
        <w:tc>
          <w:tcPr>
            <w:tcW w:w="3266" w:type="dxa"/>
            <w:vAlign w:val="center"/>
          </w:tcPr>
          <w:p w14:paraId="0881BFDC" w14:textId="40C44F4A" w:rsidR="00B90E05" w:rsidRPr="00C6081A" w:rsidRDefault="00B90E05" w:rsidP="00EB6A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Sucursal</w:t>
            </w:r>
          </w:p>
        </w:tc>
        <w:tc>
          <w:tcPr>
            <w:tcW w:w="6941" w:type="dxa"/>
            <w:vAlign w:val="center"/>
          </w:tcPr>
          <w:p w14:paraId="74AA0D59" w14:textId="63C55A3E" w:rsidR="00B90E05" w:rsidRPr="00C6081A" w:rsidRDefault="00A071C5"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100006 Ibagué</w:t>
            </w:r>
          </w:p>
        </w:tc>
      </w:tr>
      <w:tr w:rsidR="00EE687D" w:rsidRPr="00C6081A" w14:paraId="4BCD09C7" w14:textId="77777777" w:rsidTr="0095378E">
        <w:trPr>
          <w:trHeight w:val="454"/>
        </w:trPr>
        <w:tc>
          <w:tcPr>
            <w:tcW w:w="3266" w:type="dxa"/>
            <w:vAlign w:val="center"/>
            <w:hideMark/>
          </w:tcPr>
          <w:p w14:paraId="0A1C1E81" w14:textId="17519C67" w:rsidR="00EE687D" w:rsidRPr="00C6081A" w:rsidRDefault="001C44B4" w:rsidP="00EB6A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EE40FE9" w:rsidR="00EE687D" w:rsidRPr="00C6081A" w:rsidRDefault="00AA1D1A" w:rsidP="00EB6A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WOZ-213</w:t>
            </w:r>
          </w:p>
        </w:tc>
      </w:tr>
      <w:tr w:rsidR="001C44B4" w:rsidRPr="00C6081A" w14:paraId="0BA9ECEE" w14:textId="77777777" w:rsidTr="0095378E">
        <w:trPr>
          <w:trHeight w:val="454"/>
        </w:trPr>
        <w:tc>
          <w:tcPr>
            <w:tcW w:w="3266" w:type="dxa"/>
            <w:vAlign w:val="center"/>
          </w:tcPr>
          <w:p w14:paraId="7B70AF59" w14:textId="749D67BE" w:rsidR="001C44B4" w:rsidRPr="00C6081A" w:rsidRDefault="001C44B4" w:rsidP="001C44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CA92B80" w:rsidR="001C44B4" w:rsidRPr="00C6081A" w:rsidRDefault="00AA1D1A"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15/11/2021</w:t>
            </w:r>
          </w:p>
        </w:tc>
      </w:tr>
      <w:tr w:rsidR="001C44B4" w:rsidRPr="00C6081A" w14:paraId="05412033" w14:textId="77777777" w:rsidTr="0095378E">
        <w:trPr>
          <w:trHeight w:val="454"/>
        </w:trPr>
        <w:tc>
          <w:tcPr>
            <w:tcW w:w="3266" w:type="dxa"/>
            <w:vAlign w:val="center"/>
          </w:tcPr>
          <w:p w14:paraId="43E688BB" w14:textId="54B02C3E" w:rsidR="001C44B4" w:rsidRPr="00C6081A" w:rsidRDefault="001C44B4" w:rsidP="001C44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FCE75FF" w:rsidR="001C44B4" w:rsidRPr="00C6081A" w:rsidRDefault="001B76C6"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1C44B4" w:rsidRPr="00C6081A" w14:paraId="6DB6B020" w14:textId="77777777" w:rsidTr="0095378E">
        <w:trPr>
          <w:trHeight w:val="454"/>
        </w:trPr>
        <w:tc>
          <w:tcPr>
            <w:tcW w:w="3266" w:type="dxa"/>
            <w:vAlign w:val="center"/>
          </w:tcPr>
          <w:p w14:paraId="13FCE7D8" w14:textId="6EA7D194" w:rsidR="001C44B4" w:rsidRPr="00C6081A" w:rsidRDefault="001C44B4" w:rsidP="001C44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7120EA6" w:rsidR="001C44B4" w:rsidRPr="00C6081A" w:rsidRDefault="00A071C5"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S</w:t>
            </w:r>
            <w:r w:rsidR="001B76C6">
              <w:rPr>
                <w:rFonts w:ascii="Century Gothic" w:hAnsi="Century Gothic" w:cs="Segoe UI"/>
                <w:sz w:val="22"/>
                <w:szCs w:val="22"/>
                <w:lang w:eastAsia="es-CO"/>
              </w:rPr>
              <w:t xml:space="preserve">IN INFORMACIÓN </w:t>
            </w:r>
          </w:p>
        </w:tc>
      </w:tr>
      <w:tr w:rsidR="001C44B4" w:rsidRPr="00C6081A" w14:paraId="2F1DA9E6" w14:textId="77777777" w:rsidTr="0095378E">
        <w:trPr>
          <w:trHeight w:val="454"/>
        </w:trPr>
        <w:tc>
          <w:tcPr>
            <w:tcW w:w="3266" w:type="dxa"/>
            <w:vAlign w:val="center"/>
          </w:tcPr>
          <w:p w14:paraId="3ECF2237" w14:textId="5FB6285C" w:rsidR="001C44B4" w:rsidRPr="00C6081A" w:rsidRDefault="008B685D" w:rsidP="001C44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Tomador</w:t>
            </w:r>
          </w:p>
        </w:tc>
        <w:tc>
          <w:tcPr>
            <w:tcW w:w="6941" w:type="dxa"/>
            <w:vAlign w:val="center"/>
          </w:tcPr>
          <w:p w14:paraId="2B607964" w14:textId="25A1B372" w:rsidR="001C44B4" w:rsidRPr="00C6081A" w:rsidRDefault="00A071C5"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Transportes la ibaguereña S.A.</w:t>
            </w:r>
          </w:p>
        </w:tc>
      </w:tr>
      <w:tr w:rsidR="001C44B4" w:rsidRPr="00C6081A" w14:paraId="1165CBE1" w14:textId="77777777" w:rsidTr="0095378E">
        <w:trPr>
          <w:trHeight w:val="454"/>
        </w:trPr>
        <w:tc>
          <w:tcPr>
            <w:tcW w:w="3266" w:type="dxa"/>
            <w:vAlign w:val="center"/>
          </w:tcPr>
          <w:p w14:paraId="640F2169" w14:textId="4903327C" w:rsidR="001C44B4" w:rsidRPr="00C6081A" w:rsidRDefault="008B685D" w:rsidP="001C44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3CB8EAE" w:rsidR="001C44B4" w:rsidRPr="00C6081A" w:rsidRDefault="00A071C5"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José Saul Torres Ortega</w:t>
            </w:r>
          </w:p>
        </w:tc>
      </w:tr>
      <w:tr w:rsidR="001C44B4" w:rsidRPr="00C6081A" w14:paraId="513C2A8D" w14:textId="77777777" w:rsidTr="0095378E">
        <w:trPr>
          <w:trHeight w:val="454"/>
        </w:trPr>
        <w:tc>
          <w:tcPr>
            <w:tcW w:w="3266" w:type="dxa"/>
            <w:vAlign w:val="center"/>
            <w:hideMark/>
          </w:tcPr>
          <w:p w14:paraId="5E1FDA28" w14:textId="16DB1B8E" w:rsidR="001C44B4" w:rsidRPr="00C6081A" w:rsidRDefault="008B685D" w:rsidP="001C44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Ramo</w:t>
            </w:r>
          </w:p>
        </w:tc>
        <w:tc>
          <w:tcPr>
            <w:tcW w:w="6941" w:type="dxa"/>
            <w:vAlign w:val="center"/>
          </w:tcPr>
          <w:p w14:paraId="0701202E" w14:textId="4F4EA8E7" w:rsidR="001C44B4" w:rsidRPr="00C6081A" w:rsidRDefault="00AA1D1A"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Autos Servicio Público</w:t>
            </w:r>
          </w:p>
        </w:tc>
      </w:tr>
      <w:tr w:rsidR="001C44B4" w:rsidRPr="00C6081A" w14:paraId="2F8ECFA3" w14:textId="77777777" w:rsidTr="0095378E">
        <w:trPr>
          <w:trHeight w:val="454"/>
        </w:trPr>
        <w:tc>
          <w:tcPr>
            <w:tcW w:w="3266" w:type="dxa"/>
            <w:vAlign w:val="center"/>
            <w:hideMark/>
          </w:tcPr>
          <w:p w14:paraId="0C3932A6" w14:textId="2792643B" w:rsidR="001C44B4" w:rsidRPr="00C6081A" w:rsidRDefault="008B685D" w:rsidP="001C44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61B026F" w:rsidR="001C44B4" w:rsidRPr="00C6081A" w:rsidRDefault="00A071C5"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S/I</w:t>
            </w:r>
          </w:p>
        </w:tc>
      </w:tr>
      <w:tr w:rsidR="001C44B4" w:rsidRPr="00C6081A" w14:paraId="59B4A554" w14:textId="77777777" w:rsidTr="0095378E">
        <w:trPr>
          <w:trHeight w:val="454"/>
        </w:trPr>
        <w:tc>
          <w:tcPr>
            <w:tcW w:w="3266" w:type="dxa"/>
            <w:vAlign w:val="center"/>
            <w:hideMark/>
          </w:tcPr>
          <w:p w14:paraId="0412A958" w14:textId="77777777" w:rsidR="001C44B4" w:rsidRPr="00C6081A" w:rsidRDefault="001C44B4" w:rsidP="001C44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B6F8C79" w:rsidR="001C44B4" w:rsidRPr="00C6081A" w:rsidRDefault="00AA1D1A"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60 SMMLV</w:t>
            </w:r>
          </w:p>
        </w:tc>
      </w:tr>
      <w:tr w:rsidR="001129B6" w:rsidRPr="00C6081A" w14:paraId="2F24D88E" w14:textId="77777777" w:rsidTr="0095378E">
        <w:trPr>
          <w:trHeight w:val="454"/>
        </w:trPr>
        <w:tc>
          <w:tcPr>
            <w:tcW w:w="3266" w:type="dxa"/>
            <w:vAlign w:val="center"/>
          </w:tcPr>
          <w:p w14:paraId="0E72F2CD" w14:textId="1A6BE851" w:rsidR="001129B6" w:rsidRPr="00C6081A" w:rsidRDefault="001129B6" w:rsidP="001C44B4">
            <w:pPr>
              <w:jc w:val="both"/>
              <w:textAlignment w:val="baseline"/>
              <w:rPr>
                <w:rFonts w:ascii="Century Gothic" w:hAnsi="Century Gothic"/>
                <w:b/>
                <w:bCs/>
                <w:color w:val="000000"/>
                <w:sz w:val="22"/>
                <w:szCs w:val="22"/>
                <w:shd w:val="clear" w:color="auto" w:fill="FFFFFF"/>
                <w:lang w:eastAsia="es-CO"/>
              </w:rPr>
            </w:pPr>
            <w:r w:rsidRPr="00C6081A">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4F30E7B1" w:rsidR="001129B6" w:rsidRPr="00C6081A" w:rsidRDefault="00AA1D1A"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Si</w:t>
            </w:r>
          </w:p>
        </w:tc>
      </w:tr>
      <w:tr w:rsidR="001C44B4" w:rsidRPr="00C6081A" w14:paraId="658B9E4D" w14:textId="77777777" w:rsidTr="0095378E">
        <w:trPr>
          <w:trHeight w:val="454"/>
        </w:trPr>
        <w:tc>
          <w:tcPr>
            <w:tcW w:w="3266" w:type="dxa"/>
            <w:vAlign w:val="center"/>
            <w:hideMark/>
          </w:tcPr>
          <w:p w14:paraId="02377331" w14:textId="79A3F98F" w:rsidR="001C44B4" w:rsidRPr="00C6081A" w:rsidRDefault="002633C0" w:rsidP="001C44B4">
            <w:pPr>
              <w:jc w:val="both"/>
              <w:textAlignment w:val="baseline"/>
              <w:rPr>
                <w:rFonts w:ascii="Century Gothic" w:hAnsi="Century Gothic" w:cs="Segoe UI"/>
                <w:sz w:val="22"/>
                <w:szCs w:val="22"/>
                <w:lang w:eastAsia="es-CO"/>
              </w:rPr>
            </w:pPr>
            <w:r w:rsidRPr="00C6081A">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7905FF88" w:rsidR="001C44B4" w:rsidRPr="00C6081A" w:rsidRDefault="002633C0" w:rsidP="001C44B4">
            <w:pPr>
              <w:jc w:val="both"/>
              <w:rPr>
                <w:rFonts w:ascii="Century Gothic" w:hAnsi="Century Gothic" w:cs="Segoe UI"/>
                <w:sz w:val="22"/>
                <w:szCs w:val="22"/>
                <w:lang w:eastAsia="es-CO"/>
              </w:rPr>
            </w:pPr>
            <w:r w:rsidRPr="00C6081A">
              <w:rPr>
                <w:rFonts w:ascii="Century Gothic" w:hAnsi="Century Gothic" w:cs="Segoe UI"/>
                <w:sz w:val="22"/>
                <w:szCs w:val="22"/>
                <w:lang w:eastAsia="es-CO"/>
              </w:rPr>
              <w:t xml:space="preserve">  </w:t>
            </w:r>
            <w:r w:rsidR="001B76C6">
              <w:rPr>
                <w:rFonts w:ascii="Century Gothic" w:hAnsi="Century Gothic" w:cs="Segoe UI"/>
                <w:sz w:val="22"/>
                <w:szCs w:val="22"/>
                <w:lang w:eastAsia="es-CO"/>
              </w:rPr>
              <w:t>$0</w:t>
            </w:r>
          </w:p>
        </w:tc>
      </w:tr>
    </w:tbl>
    <w:p w14:paraId="397A1D68" w14:textId="77777777" w:rsidR="003B44CB" w:rsidRPr="00C6081A" w:rsidRDefault="003B44CB" w:rsidP="003314A2">
      <w:pPr>
        <w:spacing w:line="360" w:lineRule="auto"/>
        <w:rPr>
          <w:rFonts w:ascii="Century Gothic" w:hAnsi="Century Gothic"/>
          <w:sz w:val="22"/>
          <w:szCs w:val="22"/>
        </w:rPr>
      </w:pPr>
    </w:p>
    <w:p w14:paraId="61F56879" w14:textId="77777777" w:rsidR="0095378E" w:rsidRPr="00C6081A"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C6081A" w14:paraId="49B1F103" w14:textId="77777777" w:rsidTr="00BA1E5F">
        <w:tc>
          <w:tcPr>
            <w:tcW w:w="3687" w:type="dxa"/>
          </w:tcPr>
          <w:p w14:paraId="673B76C6" w14:textId="23992614" w:rsidR="002633C0" w:rsidRPr="00C6081A" w:rsidRDefault="00BA1E5F" w:rsidP="003314A2">
            <w:pPr>
              <w:spacing w:line="360" w:lineRule="auto"/>
              <w:rPr>
                <w:rFonts w:ascii="Century Gothic" w:hAnsi="Century Gothic"/>
                <w:sz w:val="22"/>
                <w:szCs w:val="22"/>
              </w:rPr>
            </w:pPr>
            <w:r w:rsidRPr="00C6081A">
              <w:rPr>
                <w:rFonts w:ascii="Century Gothic" w:hAnsi="Century Gothic"/>
                <w:b/>
                <w:bCs/>
                <w:sz w:val="22"/>
                <w:szCs w:val="22"/>
              </w:rPr>
              <w:lastRenderedPageBreak/>
              <w:t>Calificación de la contingencia</w:t>
            </w:r>
          </w:p>
        </w:tc>
        <w:tc>
          <w:tcPr>
            <w:tcW w:w="6520" w:type="dxa"/>
          </w:tcPr>
          <w:p w14:paraId="6F4874B3" w14:textId="173C245A" w:rsidR="002633C0" w:rsidRPr="00C6081A" w:rsidRDefault="00AA1D1A" w:rsidP="003314A2">
            <w:pPr>
              <w:spacing w:line="360" w:lineRule="auto"/>
              <w:rPr>
                <w:rFonts w:ascii="Century Gothic" w:hAnsi="Century Gothic"/>
                <w:sz w:val="22"/>
                <w:szCs w:val="22"/>
              </w:rPr>
            </w:pPr>
            <w:r w:rsidRPr="00C6081A">
              <w:rPr>
                <w:rFonts w:ascii="Century Gothic" w:hAnsi="Century Gothic"/>
                <w:sz w:val="22"/>
                <w:szCs w:val="22"/>
              </w:rPr>
              <w:t>REMOTA</w:t>
            </w:r>
          </w:p>
        </w:tc>
      </w:tr>
      <w:tr w:rsidR="002633C0" w:rsidRPr="00C6081A" w14:paraId="47B026EC" w14:textId="77777777" w:rsidTr="00BA1E5F">
        <w:tc>
          <w:tcPr>
            <w:tcW w:w="3687" w:type="dxa"/>
          </w:tcPr>
          <w:p w14:paraId="4A77CED7" w14:textId="00C97735" w:rsidR="002633C0" w:rsidRPr="00C6081A" w:rsidRDefault="00BA1E5F" w:rsidP="003314A2">
            <w:pPr>
              <w:spacing w:line="360" w:lineRule="auto"/>
              <w:rPr>
                <w:rFonts w:ascii="Century Gothic" w:hAnsi="Century Gothic"/>
                <w:b/>
                <w:bCs/>
                <w:sz w:val="22"/>
                <w:szCs w:val="22"/>
              </w:rPr>
            </w:pPr>
            <w:r w:rsidRPr="00C6081A">
              <w:rPr>
                <w:rFonts w:ascii="Century Gothic" w:hAnsi="Century Gothic"/>
                <w:b/>
                <w:bCs/>
                <w:sz w:val="22"/>
                <w:szCs w:val="22"/>
              </w:rPr>
              <w:t xml:space="preserve">Reserva sugerida: </w:t>
            </w:r>
          </w:p>
        </w:tc>
        <w:tc>
          <w:tcPr>
            <w:tcW w:w="6520" w:type="dxa"/>
          </w:tcPr>
          <w:p w14:paraId="7146E445" w14:textId="730FEAB0" w:rsidR="002633C0" w:rsidRPr="00C6081A" w:rsidRDefault="00A071C5" w:rsidP="003314A2">
            <w:pPr>
              <w:spacing w:line="360" w:lineRule="auto"/>
              <w:rPr>
                <w:rFonts w:ascii="Century Gothic" w:hAnsi="Century Gothic"/>
                <w:sz w:val="22"/>
                <w:szCs w:val="22"/>
              </w:rPr>
            </w:pPr>
            <w:r w:rsidRPr="00C6081A">
              <w:rPr>
                <w:rFonts w:ascii="Century Gothic" w:hAnsi="Century Gothic" w:cstheme="minorHAnsi"/>
                <w:sz w:val="22"/>
                <w:szCs w:val="22"/>
              </w:rPr>
              <w:t>$20.702.320</w:t>
            </w:r>
          </w:p>
        </w:tc>
      </w:tr>
      <w:tr w:rsidR="00BA1E5F" w:rsidRPr="00C6081A" w14:paraId="22F780E0" w14:textId="77777777" w:rsidTr="008B59F4">
        <w:tc>
          <w:tcPr>
            <w:tcW w:w="10207" w:type="dxa"/>
            <w:gridSpan w:val="2"/>
            <w:shd w:val="clear" w:color="auto" w:fill="C5E0B3" w:themeFill="accent6" w:themeFillTint="66"/>
            <w:vAlign w:val="center"/>
          </w:tcPr>
          <w:p w14:paraId="2E984764" w14:textId="51214522" w:rsidR="00BA1E5F" w:rsidRPr="00C6081A" w:rsidRDefault="00BA1E5F" w:rsidP="00BA1E5F">
            <w:pPr>
              <w:spacing w:line="360" w:lineRule="auto"/>
              <w:jc w:val="center"/>
              <w:rPr>
                <w:rFonts w:ascii="Century Gothic" w:hAnsi="Century Gothic"/>
                <w:sz w:val="22"/>
                <w:szCs w:val="22"/>
              </w:rPr>
            </w:pPr>
            <w:r w:rsidRPr="00C6081A">
              <w:rPr>
                <w:rFonts w:ascii="Century Gothic" w:hAnsi="Century Gothic"/>
                <w:b/>
                <w:bCs/>
                <w:sz w:val="22"/>
                <w:szCs w:val="22"/>
              </w:rPr>
              <w:t>Concepto del apoderado</w:t>
            </w:r>
          </w:p>
        </w:tc>
      </w:tr>
      <w:tr w:rsidR="00BA1E5F" w:rsidRPr="00C6081A" w14:paraId="4C51FAC2" w14:textId="77777777" w:rsidTr="00BA1E5F">
        <w:trPr>
          <w:trHeight w:val="3401"/>
        </w:trPr>
        <w:tc>
          <w:tcPr>
            <w:tcW w:w="10207" w:type="dxa"/>
            <w:gridSpan w:val="2"/>
            <w:vAlign w:val="center"/>
          </w:tcPr>
          <w:p w14:paraId="468A6A4D" w14:textId="77777777" w:rsidR="00AA1D1A" w:rsidRPr="00C6081A" w:rsidRDefault="00AA1D1A" w:rsidP="00AA1D1A">
            <w:pPr>
              <w:spacing w:line="360" w:lineRule="auto"/>
              <w:jc w:val="both"/>
              <w:rPr>
                <w:rFonts w:ascii="Century Gothic" w:hAnsi="Century Gothic" w:cstheme="minorHAnsi"/>
                <w:bCs/>
                <w:sz w:val="22"/>
                <w:szCs w:val="22"/>
              </w:rPr>
            </w:pPr>
            <w:r w:rsidRPr="00C6081A">
              <w:rPr>
                <w:rFonts w:ascii="Century Gothic" w:hAnsi="Century Gothic" w:cstheme="minorHAnsi"/>
                <w:bCs/>
                <w:sz w:val="22"/>
                <w:szCs w:val="22"/>
              </w:rPr>
              <w:t xml:space="preserve">La contingencia se califica </w:t>
            </w:r>
            <w:r w:rsidRPr="00C6081A">
              <w:rPr>
                <w:rFonts w:ascii="Century Gothic" w:hAnsi="Century Gothic" w:cstheme="minorHAnsi"/>
                <w:b/>
                <w:sz w:val="22"/>
                <w:szCs w:val="22"/>
              </w:rPr>
              <w:t>REMOTA</w:t>
            </w:r>
            <w:r w:rsidRPr="00C6081A">
              <w:rPr>
                <w:rFonts w:ascii="Century Gothic" w:hAnsi="Century Gothic" w:cstheme="minorHAnsi"/>
                <w:bCs/>
                <w:sz w:val="22"/>
                <w:szCs w:val="22"/>
              </w:rPr>
              <w:t>, pues si bien la póliza ofrece cobertura material y temporal, no se aportó ningún medio de prueba que demuestre las circunstancias de tiempo, modo y lugar que den cuenta de la ocurrencia del accidente de tránsito.</w:t>
            </w:r>
          </w:p>
          <w:p w14:paraId="7D369F51" w14:textId="77777777" w:rsidR="00AA1D1A" w:rsidRPr="00C6081A" w:rsidRDefault="00AA1D1A" w:rsidP="00AA1D1A">
            <w:pPr>
              <w:spacing w:line="360" w:lineRule="auto"/>
              <w:jc w:val="both"/>
              <w:rPr>
                <w:rFonts w:ascii="Century Gothic" w:hAnsi="Century Gothic"/>
                <w:sz w:val="22"/>
                <w:szCs w:val="22"/>
              </w:rPr>
            </w:pPr>
          </w:p>
          <w:p w14:paraId="471CE716" w14:textId="4498F86F" w:rsidR="00AA1D1A" w:rsidRPr="00C6081A" w:rsidRDefault="00AA1D1A" w:rsidP="00AA1D1A">
            <w:pPr>
              <w:spacing w:line="360" w:lineRule="auto"/>
              <w:jc w:val="both"/>
              <w:rPr>
                <w:rFonts w:ascii="Century Gothic" w:hAnsi="Century Gothic" w:cstheme="minorHAnsi"/>
                <w:bCs/>
                <w:sz w:val="22"/>
                <w:szCs w:val="22"/>
              </w:rPr>
            </w:pPr>
            <w:r w:rsidRPr="00C6081A">
              <w:rPr>
                <w:rFonts w:ascii="Century Gothic" w:hAnsi="Century Gothic" w:cstheme="minorHAnsi"/>
                <w:bCs/>
                <w:sz w:val="22"/>
                <w:szCs w:val="22"/>
              </w:rPr>
              <w:t xml:space="preserve">En primer lugar, se debe indicar que la </w:t>
            </w:r>
            <w:r w:rsidRPr="00C6081A">
              <w:rPr>
                <w:rFonts w:ascii="Century Gothic" w:hAnsi="Century Gothic" w:cstheme="minorHAnsi"/>
                <w:b/>
                <w:bCs/>
                <w:sz w:val="22"/>
                <w:szCs w:val="22"/>
              </w:rPr>
              <w:t>póliza de RCE SERVICIO PÚBLICO No. AA002154</w:t>
            </w:r>
            <w:r w:rsidRPr="00C6081A">
              <w:rPr>
                <w:rFonts w:ascii="Century Gothic" w:hAnsi="Century Gothic" w:cstheme="minorHAnsi"/>
                <w:bCs/>
                <w:sz w:val="22"/>
                <w:szCs w:val="22"/>
              </w:rPr>
              <w:t xml:space="preserve">, presta cobertura material y temporal de conformidad con los hechos y pretensiones expuestos en el líbelo de la demanda. Frente a la </w:t>
            </w:r>
            <w:r w:rsidRPr="00C6081A">
              <w:rPr>
                <w:rFonts w:ascii="Century Gothic" w:hAnsi="Century Gothic" w:cstheme="minorHAnsi"/>
                <w:b/>
                <w:bCs/>
                <w:sz w:val="22"/>
                <w:szCs w:val="22"/>
              </w:rPr>
              <w:t>cobertura temporal</w:t>
            </w:r>
            <w:r w:rsidRPr="00C6081A">
              <w:rPr>
                <w:rFonts w:ascii="Century Gothic" w:hAnsi="Century Gothic" w:cstheme="minorHAnsi"/>
                <w:bCs/>
                <w:sz w:val="22"/>
                <w:szCs w:val="22"/>
              </w:rPr>
              <w:t xml:space="preserve">, es importante mencionar que, el accidente de tránsito ocurrió dentro de los límites temporales de la póliza, pues se pactó con una vigencia que inició el 03 de mayo de 2021 y terminó el 03 de mayo de 2022 en modalidad por ocurrencia, y el accidente habría tenido lugar el </w:t>
            </w:r>
            <w:r w:rsidRPr="00C6081A">
              <w:rPr>
                <w:rFonts w:ascii="Century Gothic" w:hAnsi="Century Gothic" w:cstheme="minorHAnsi"/>
                <w:bCs/>
                <w:sz w:val="22"/>
                <w:szCs w:val="22"/>
                <w:bdr w:val="none" w:sz="0" w:space="0" w:color="auto" w:frame="1"/>
              </w:rPr>
              <w:t>15 de noviembre de 2021,</w:t>
            </w:r>
            <w:r w:rsidRPr="00C6081A">
              <w:rPr>
                <w:rFonts w:ascii="Century Gothic" w:hAnsi="Century Gothic" w:cstheme="minorHAnsi"/>
                <w:bCs/>
                <w:sz w:val="22"/>
                <w:szCs w:val="22"/>
              </w:rPr>
              <w:t xml:space="preserve"> es decir, dentro de la vigencia. Aunado a ello, presta </w:t>
            </w:r>
            <w:r w:rsidRPr="00C6081A">
              <w:rPr>
                <w:rFonts w:ascii="Century Gothic" w:hAnsi="Century Gothic" w:cstheme="minorHAnsi"/>
                <w:b/>
                <w:bCs/>
                <w:sz w:val="22"/>
                <w:szCs w:val="22"/>
              </w:rPr>
              <w:t>cobertura material</w:t>
            </w:r>
            <w:r w:rsidRPr="00C6081A">
              <w:rPr>
                <w:rFonts w:ascii="Century Gothic" w:hAnsi="Century Gothic" w:cstheme="minorHAnsi"/>
                <w:bCs/>
                <w:sz w:val="22"/>
                <w:szCs w:val="22"/>
              </w:rPr>
              <w:t xml:space="preserve"> por cuanto ampara la responsabilidad civil extracontractual respecto de las lesiones o muerte de una persona, con relación a la conducción del vehículo de placa </w:t>
            </w:r>
            <w:r w:rsidRPr="00C6081A">
              <w:rPr>
                <w:rStyle w:val="Estilo3"/>
                <w:rFonts w:cstheme="minorHAnsi"/>
                <w:sz w:val="22"/>
                <w:szCs w:val="22"/>
              </w:rPr>
              <w:t>woz213</w:t>
            </w:r>
            <w:r w:rsidRPr="00C6081A">
              <w:rPr>
                <w:rFonts w:ascii="Century Gothic" w:hAnsi="Century Gothic" w:cstheme="minorHAnsi"/>
                <w:bCs/>
                <w:sz w:val="22"/>
                <w:szCs w:val="22"/>
              </w:rPr>
              <w:t xml:space="preserve">, pretensión que se endilga por el accionante al asegurado. </w:t>
            </w:r>
          </w:p>
          <w:p w14:paraId="3ADA0C09" w14:textId="77777777" w:rsidR="00AA1D1A" w:rsidRPr="00C6081A" w:rsidRDefault="00AA1D1A" w:rsidP="00AA1D1A">
            <w:pPr>
              <w:spacing w:line="360" w:lineRule="auto"/>
              <w:jc w:val="both"/>
              <w:rPr>
                <w:rFonts w:ascii="Century Gothic" w:hAnsi="Century Gothic" w:cstheme="minorHAnsi"/>
                <w:bCs/>
                <w:sz w:val="22"/>
                <w:szCs w:val="22"/>
              </w:rPr>
            </w:pPr>
          </w:p>
          <w:p w14:paraId="47AC72AD" w14:textId="31ED306A" w:rsidR="00423870" w:rsidRPr="00C6081A" w:rsidRDefault="00AA1D1A" w:rsidP="00423870">
            <w:pPr>
              <w:spacing w:line="360" w:lineRule="auto"/>
              <w:jc w:val="both"/>
              <w:rPr>
                <w:rFonts w:ascii="Century Gothic" w:hAnsi="Century Gothic" w:cstheme="minorHAnsi"/>
                <w:bCs/>
                <w:sz w:val="22"/>
                <w:szCs w:val="22"/>
              </w:rPr>
            </w:pPr>
            <w:r w:rsidRPr="00C6081A">
              <w:rPr>
                <w:rFonts w:ascii="Century Gothic" w:hAnsi="Century Gothic" w:cstheme="minorHAnsi"/>
                <w:bCs/>
                <w:sz w:val="22"/>
                <w:szCs w:val="22"/>
              </w:rPr>
              <w:t>En segundo lugar, lo anterior debe analizarse en consonancia con la responsabilidad que pretende atribuirse al asegurado, y frente a ello, deberá indicarse lo siguiente,</w:t>
            </w:r>
            <w:r w:rsidRPr="00C6081A">
              <w:rPr>
                <w:rFonts w:ascii="Century Gothic" w:hAnsi="Century Gothic"/>
                <w:sz w:val="22"/>
                <w:szCs w:val="22"/>
              </w:rPr>
              <w:t xml:space="preserve"> </w:t>
            </w:r>
            <w:r w:rsidRPr="00C6081A">
              <w:rPr>
                <w:rFonts w:ascii="Century Gothic" w:hAnsi="Century Gothic" w:cstheme="minorHAnsi"/>
                <w:bCs/>
                <w:sz w:val="22"/>
                <w:szCs w:val="22"/>
              </w:rPr>
              <w:t>no existen pruebas en el plenario que determinen las circunstancias de tiempo, modo y lugar en que ocurrieron los hechos; si bien no hay tarifa legal para ello, por lo general cuando ocurre un accidente vial la autoridad levanta un informe de accidentes de tránsito (IPAT) en el cual determina condiciones del día, de la vía, vehículos involucrados, tipos de daños, fecha, hora, un bosquejo y la posible causa del mismo, los cuales no fueron aportados</w:t>
            </w:r>
            <w:r w:rsidR="00423870" w:rsidRPr="00C6081A">
              <w:rPr>
                <w:rFonts w:ascii="Century Gothic" w:hAnsi="Century Gothic" w:cstheme="minorHAnsi"/>
                <w:bCs/>
                <w:sz w:val="22"/>
                <w:szCs w:val="22"/>
              </w:rPr>
              <w:t xml:space="preserve">, </w:t>
            </w:r>
            <w:r w:rsidR="00423870" w:rsidRPr="00C6081A">
              <w:rPr>
                <w:rFonts w:ascii="Century Gothic" w:hAnsi="Century Gothic"/>
                <w:sz w:val="22"/>
                <w:szCs w:val="22"/>
              </w:rPr>
              <w:t xml:space="preserve">por lo que dependerá del debate probatorio acreditar la responsabilidad, puesto que el demandante solicitó el testimonio del conductor de la moto, y a su vez con la declaración de parte del conductor demandado deberá esclarecerse la forma en como ocurrió el hecho, empero a la fecha no existe prueba que impute la responsabilidad al asegurado. Finalmente, sobre la prescripción vale decir que el reclamo extrajudicial es del 8 de marzo de 2023, celebrándose la audiencia en el Centro de Conciliación y Arbitramento Solución Integral, diligencia a la que el asegurado José Saul Torres si compareció y luego entonces se tiene que, la radicación del  </w:t>
            </w:r>
            <w:r w:rsidR="00423870" w:rsidRPr="00C6081A">
              <w:rPr>
                <w:rFonts w:ascii="Century Gothic" w:hAnsi="Century Gothic"/>
                <w:sz w:val="22"/>
                <w:szCs w:val="22"/>
              </w:rPr>
              <w:lastRenderedPageBreak/>
              <w:t xml:space="preserve">llamamiento en garantía del asegurado a la compañía es del 4 de mayo de 2024, por lo que no transcurrieron más de dos años desde uno y otro evento, motivo por el cual no ha operado la prescripción en los términos de los art. 1080 y 1131 del </w:t>
            </w:r>
            <w:proofErr w:type="spellStart"/>
            <w:r w:rsidR="00423870" w:rsidRPr="00C6081A">
              <w:rPr>
                <w:rFonts w:ascii="Century Gothic" w:hAnsi="Century Gothic"/>
                <w:sz w:val="22"/>
                <w:szCs w:val="22"/>
              </w:rPr>
              <w:t>C.Co</w:t>
            </w:r>
            <w:proofErr w:type="spellEnd"/>
            <w:r w:rsidR="00423870" w:rsidRPr="00C6081A">
              <w:rPr>
                <w:rFonts w:ascii="Century Gothic" w:hAnsi="Century Gothic"/>
                <w:sz w:val="22"/>
                <w:szCs w:val="22"/>
              </w:rPr>
              <w:t>.</w:t>
            </w:r>
          </w:p>
          <w:p w14:paraId="7793AF4D" w14:textId="77777777" w:rsidR="00AA1D1A" w:rsidRPr="00C6081A" w:rsidRDefault="00AA1D1A" w:rsidP="00AA1D1A">
            <w:pPr>
              <w:spacing w:line="360" w:lineRule="auto"/>
              <w:jc w:val="both"/>
              <w:rPr>
                <w:rFonts w:ascii="Century Gothic" w:hAnsi="Century Gothic" w:cstheme="minorHAnsi"/>
                <w:bCs/>
                <w:sz w:val="22"/>
                <w:szCs w:val="22"/>
              </w:rPr>
            </w:pPr>
          </w:p>
          <w:p w14:paraId="58FF1192" w14:textId="77B9203E" w:rsidR="00AA1D1A" w:rsidRPr="00C6081A" w:rsidRDefault="00AA1D1A" w:rsidP="00AA1D1A">
            <w:pPr>
              <w:spacing w:line="360" w:lineRule="auto"/>
              <w:jc w:val="both"/>
              <w:rPr>
                <w:rFonts w:ascii="Century Gothic" w:hAnsi="Century Gothic" w:cstheme="minorHAnsi"/>
                <w:bCs/>
                <w:sz w:val="22"/>
                <w:szCs w:val="22"/>
              </w:rPr>
            </w:pPr>
            <w:r w:rsidRPr="00C6081A">
              <w:rPr>
                <w:rFonts w:ascii="Century Gothic" w:hAnsi="Century Gothic"/>
                <w:sz w:val="22"/>
                <w:szCs w:val="22"/>
              </w:rPr>
              <w:t>Todo lo anterior, sin perjuicio del carácter contingente del proceso.</w:t>
            </w:r>
          </w:p>
        </w:tc>
      </w:tr>
      <w:tr w:rsidR="00BA1E5F" w:rsidRPr="00AA1D1A" w14:paraId="6A3F4D91" w14:textId="77777777" w:rsidTr="008B59F4">
        <w:trPr>
          <w:trHeight w:val="1361"/>
        </w:trPr>
        <w:tc>
          <w:tcPr>
            <w:tcW w:w="10207" w:type="dxa"/>
            <w:gridSpan w:val="2"/>
            <w:vAlign w:val="center"/>
          </w:tcPr>
          <w:p w14:paraId="7CCDB6E0" w14:textId="77777777" w:rsidR="00AA1D1A" w:rsidRPr="00C6081A" w:rsidRDefault="00AA1D1A" w:rsidP="00AA1D1A">
            <w:pPr>
              <w:spacing w:line="360" w:lineRule="auto"/>
              <w:jc w:val="center"/>
              <w:rPr>
                <w:rFonts w:ascii="Century Gothic" w:hAnsi="Century Gothic" w:cs="Arial"/>
                <w:bCs/>
                <w:sz w:val="22"/>
                <w:szCs w:val="22"/>
              </w:rPr>
            </w:pPr>
            <w:r w:rsidRPr="00C6081A">
              <w:rPr>
                <w:rFonts w:ascii="Century Gothic" w:hAnsi="Century Gothic" w:cs="Arial"/>
                <w:bCs/>
                <w:sz w:val="22"/>
                <w:szCs w:val="22"/>
              </w:rPr>
              <w:lastRenderedPageBreak/>
              <w:t>GHA Abogados &amp; Asociados</w:t>
            </w:r>
          </w:p>
          <w:p w14:paraId="3A806213" w14:textId="6E8A182C" w:rsidR="00BA1E5F" w:rsidRPr="00AA1D1A" w:rsidRDefault="00BA1E5F" w:rsidP="00BA1E5F">
            <w:pPr>
              <w:spacing w:line="360" w:lineRule="auto"/>
              <w:jc w:val="center"/>
              <w:rPr>
                <w:rFonts w:ascii="Century Gothic" w:hAnsi="Century Gothic"/>
                <w:b/>
                <w:bCs/>
                <w:sz w:val="22"/>
                <w:szCs w:val="22"/>
              </w:rPr>
            </w:pPr>
            <w:r w:rsidRPr="00C6081A">
              <w:rPr>
                <w:rFonts w:ascii="Century Gothic" w:hAnsi="Century Gothic"/>
                <w:b/>
                <w:bCs/>
                <w:sz w:val="22"/>
                <w:szCs w:val="22"/>
              </w:rPr>
              <w:t>Firma del abogado</w:t>
            </w:r>
          </w:p>
        </w:tc>
      </w:tr>
    </w:tbl>
    <w:p w14:paraId="66CA6B89" w14:textId="77777777" w:rsidR="002633C0" w:rsidRPr="00AA1D1A" w:rsidRDefault="002633C0" w:rsidP="003314A2">
      <w:pPr>
        <w:spacing w:line="360" w:lineRule="auto"/>
        <w:rPr>
          <w:rFonts w:ascii="Century Gothic" w:hAnsi="Century Gothic"/>
          <w:sz w:val="22"/>
          <w:szCs w:val="22"/>
        </w:rPr>
      </w:pPr>
    </w:p>
    <w:sectPr w:rsidR="002633C0" w:rsidRPr="00AA1D1A"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48DF" w14:textId="77777777" w:rsidR="0058400E" w:rsidRDefault="0058400E" w:rsidP="00E7033F">
      <w:r>
        <w:separator/>
      </w:r>
    </w:p>
  </w:endnote>
  <w:endnote w:type="continuationSeparator" w:id="0">
    <w:p w14:paraId="2AB41722" w14:textId="77777777" w:rsidR="0058400E" w:rsidRDefault="0058400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FD28" w14:textId="77777777" w:rsidR="0058400E" w:rsidRDefault="0058400E" w:rsidP="00E7033F">
      <w:r>
        <w:separator/>
      </w:r>
    </w:p>
  </w:footnote>
  <w:footnote w:type="continuationSeparator" w:id="0">
    <w:p w14:paraId="1B08480B" w14:textId="77777777" w:rsidR="0058400E" w:rsidRDefault="0058400E" w:rsidP="00E7033F">
      <w:r>
        <w:continuationSeparator/>
      </w:r>
    </w:p>
  </w:footnote>
  <w:footnote w:id="1">
    <w:p w14:paraId="4C94446D" w14:textId="77777777" w:rsidR="00AA1D1A" w:rsidRPr="002B4DF3" w:rsidRDefault="00AA1D1A" w:rsidP="00AA1D1A">
      <w:pPr>
        <w:pStyle w:val="Textonotapie"/>
        <w:rPr>
          <w:lang w:val="es-ES"/>
        </w:rPr>
      </w:pPr>
      <w:r>
        <w:rPr>
          <w:rStyle w:val="Refdenotaalpie"/>
        </w:rPr>
        <w:footnoteRef/>
      </w:r>
      <w:r>
        <w:t xml:space="preserve"> Corte Suprema de Justicia, Sala Civil, Sentencia SC-220362017 (73001310300220090011401).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83316"/>
    <w:multiLevelType w:val="hybridMultilevel"/>
    <w:tmpl w:val="B122091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6DB2923"/>
    <w:multiLevelType w:val="hybridMultilevel"/>
    <w:tmpl w:val="B122091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18D5C18"/>
    <w:multiLevelType w:val="hybridMultilevel"/>
    <w:tmpl w:val="B1220918"/>
    <w:lvl w:ilvl="0" w:tplc="7C2AFB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B03F01"/>
    <w:multiLevelType w:val="hybridMultilevel"/>
    <w:tmpl w:val="AFF492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80532419">
    <w:abstractNumId w:val="2"/>
  </w:num>
  <w:num w:numId="2" w16cid:durableId="1747727478">
    <w:abstractNumId w:val="3"/>
  </w:num>
  <w:num w:numId="3" w16cid:durableId="1345741141">
    <w:abstractNumId w:val="1"/>
  </w:num>
  <w:num w:numId="4" w16cid:durableId="29303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D23FC"/>
    <w:rsid w:val="001129B6"/>
    <w:rsid w:val="001235F7"/>
    <w:rsid w:val="001309FC"/>
    <w:rsid w:val="00177C35"/>
    <w:rsid w:val="00181E11"/>
    <w:rsid w:val="001B76C6"/>
    <w:rsid w:val="001C44B4"/>
    <w:rsid w:val="001E096B"/>
    <w:rsid w:val="001E1616"/>
    <w:rsid w:val="001E5C79"/>
    <w:rsid w:val="0023078D"/>
    <w:rsid w:val="00263011"/>
    <w:rsid w:val="002633C0"/>
    <w:rsid w:val="002A0E98"/>
    <w:rsid w:val="00311097"/>
    <w:rsid w:val="00314CAF"/>
    <w:rsid w:val="00321776"/>
    <w:rsid w:val="00324E27"/>
    <w:rsid w:val="003314A2"/>
    <w:rsid w:val="003827E1"/>
    <w:rsid w:val="003B44CB"/>
    <w:rsid w:val="003B7F1A"/>
    <w:rsid w:val="00403BFC"/>
    <w:rsid w:val="00423870"/>
    <w:rsid w:val="00437455"/>
    <w:rsid w:val="00455676"/>
    <w:rsid w:val="00493936"/>
    <w:rsid w:val="004C7D4E"/>
    <w:rsid w:val="00504FFB"/>
    <w:rsid w:val="0058400E"/>
    <w:rsid w:val="005F61D3"/>
    <w:rsid w:val="006056E7"/>
    <w:rsid w:val="00694306"/>
    <w:rsid w:val="006A1563"/>
    <w:rsid w:val="006F0CAA"/>
    <w:rsid w:val="00761B63"/>
    <w:rsid w:val="007C37D7"/>
    <w:rsid w:val="008B59F4"/>
    <w:rsid w:val="008B61E5"/>
    <w:rsid w:val="008B685D"/>
    <w:rsid w:val="008E249B"/>
    <w:rsid w:val="008E4BA2"/>
    <w:rsid w:val="008F6B57"/>
    <w:rsid w:val="00946B1B"/>
    <w:rsid w:val="0095378E"/>
    <w:rsid w:val="009578FD"/>
    <w:rsid w:val="009820E4"/>
    <w:rsid w:val="00986945"/>
    <w:rsid w:val="00987619"/>
    <w:rsid w:val="00992368"/>
    <w:rsid w:val="00996B7A"/>
    <w:rsid w:val="009A06ED"/>
    <w:rsid w:val="00A071C5"/>
    <w:rsid w:val="00A536A9"/>
    <w:rsid w:val="00AA1D1A"/>
    <w:rsid w:val="00AC516D"/>
    <w:rsid w:val="00B2787D"/>
    <w:rsid w:val="00B4750D"/>
    <w:rsid w:val="00B90E05"/>
    <w:rsid w:val="00BA0472"/>
    <w:rsid w:val="00BA1E5F"/>
    <w:rsid w:val="00C6081A"/>
    <w:rsid w:val="00D33414"/>
    <w:rsid w:val="00D35F0D"/>
    <w:rsid w:val="00DD6A64"/>
    <w:rsid w:val="00DE5BEB"/>
    <w:rsid w:val="00E7033F"/>
    <w:rsid w:val="00E802BC"/>
    <w:rsid w:val="00EB5FFB"/>
    <w:rsid w:val="00EE687D"/>
    <w:rsid w:val="00F62D63"/>
    <w:rsid w:val="00F67EF8"/>
    <w:rsid w:val="00F856C2"/>
    <w:rsid w:val="00F90650"/>
    <w:rsid w:val="00FA070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A1D1A"/>
    <w:rPr>
      <w:sz w:val="20"/>
      <w:szCs w:val="20"/>
      <w:lang w:val="es-CO"/>
    </w:rPr>
  </w:style>
  <w:style w:type="character" w:customStyle="1" w:styleId="TextonotapieCar">
    <w:name w:val="Texto nota pie Car"/>
    <w:basedOn w:val="Fuentedeprrafopredeter"/>
    <w:link w:val="Textonotapie"/>
    <w:uiPriority w:val="99"/>
    <w:semiHidden/>
    <w:rsid w:val="00AA1D1A"/>
    <w:rPr>
      <w:sz w:val="20"/>
      <w:szCs w:val="20"/>
      <w:lang w:val="es-CO"/>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unhideWhenUsed/>
    <w:qFormat/>
    <w:rsid w:val="00AA1D1A"/>
    <w:rPr>
      <w:vertAlign w:val="superscript"/>
    </w:rPr>
  </w:style>
  <w:style w:type="paragraph" w:styleId="Prrafodelista">
    <w:name w:val="List Paragraph"/>
    <w:aliases w:val="Nivel 1,Párrafo de lista1,Bullets,titulo 3,List Paragraph,Ha"/>
    <w:basedOn w:val="Normal"/>
    <w:link w:val="PrrafodelistaCar"/>
    <w:qFormat/>
    <w:rsid w:val="00455676"/>
    <w:pPr>
      <w:spacing w:after="200" w:line="276" w:lineRule="auto"/>
      <w:ind w:left="720"/>
      <w:contextualSpacing/>
    </w:pPr>
    <w:rPr>
      <w:sz w:val="22"/>
      <w:szCs w:val="22"/>
      <w:lang w:val="es-CO"/>
    </w:rPr>
  </w:style>
  <w:style w:type="character" w:customStyle="1" w:styleId="PrrafodelistaCar">
    <w:name w:val="Párrafo de lista Car"/>
    <w:aliases w:val="Nivel 1 Car,Párrafo de lista1 Car,Bullets Car,titulo 3 Car,List Paragraph Car,Ha Car"/>
    <w:link w:val="Prrafodelista"/>
    <w:rsid w:val="00455676"/>
    <w:rPr>
      <w:sz w:val="22"/>
      <w:szCs w:val="22"/>
      <w:lang w:val="es-CO"/>
    </w:rPr>
  </w:style>
  <w:style w:type="paragraph" w:styleId="Revisin">
    <w:name w:val="Revision"/>
    <w:hidden/>
    <w:uiPriority w:val="99"/>
    <w:semiHidden/>
    <w:rsid w:val="00946B1B"/>
  </w:style>
  <w:style w:type="character" w:styleId="Refdecomentario">
    <w:name w:val="annotation reference"/>
    <w:basedOn w:val="Fuentedeprrafopredeter"/>
    <w:uiPriority w:val="99"/>
    <w:semiHidden/>
    <w:unhideWhenUsed/>
    <w:rsid w:val="00946B1B"/>
    <w:rPr>
      <w:sz w:val="16"/>
      <w:szCs w:val="16"/>
    </w:rPr>
  </w:style>
  <w:style w:type="paragraph" w:styleId="Textocomentario">
    <w:name w:val="annotation text"/>
    <w:basedOn w:val="Normal"/>
    <w:link w:val="TextocomentarioCar"/>
    <w:uiPriority w:val="99"/>
    <w:semiHidden/>
    <w:unhideWhenUsed/>
    <w:rsid w:val="00946B1B"/>
    <w:rPr>
      <w:sz w:val="20"/>
      <w:szCs w:val="20"/>
    </w:rPr>
  </w:style>
  <w:style w:type="character" w:customStyle="1" w:styleId="TextocomentarioCar">
    <w:name w:val="Texto comentario Car"/>
    <w:basedOn w:val="Fuentedeprrafopredeter"/>
    <w:link w:val="Textocomentario"/>
    <w:uiPriority w:val="99"/>
    <w:semiHidden/>
    <w:rsid w:val="00946B1B"/>
    <w:rPr>
      <w:sz w:val="20"/>
      <w:szCs w:val="20"/>
    </w:rPr>
  </w:style>
  <w:style w:type="paragraph" w:styleId="Asuntodelcomentario">
    <w:name w:val="annotation subject"/>
    <w:basedOn w:val="Textocomentario"/>
    <w:next w:val="Textocomentario"/>
    <w:link w:val="AsuntodelcomentarioCar"/>
    <w:uiPriority w:val="99"/>
    <w:semiHidden/>
    <w:unhideWhenUsed/>
    <w:rsid w:val="00946B1B"/>
    <w:rPr>
      <w:b/>
      <w:bCs/>
    </w:rPr>
  </w:style>
  <w:style w:type="character" w:customStyle="1" w:styleId="AsuntodelcomentarioCar">
    <w:name w:val="Asunto del comentario Car"/>
    <w:basedOn w:val="TextocomentarioCar"/>
    <w:link w:val="Asuntodelcomentario"/>
    <w:uiPriority w:val="99"/>
    <w:semiHidden/>
    <w:rsid w:val="00946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671E664E25455BBB9EB8A661B6AC95"/>
        <w:category>
          <w:name w:val="General"/>
          <w:gallery w:val="placeholder"/>
        </w:category>
        <w:types>
          <w:type w:val="bbPlcHdr"/>
        </w:types>
        <w:behaviors>
          <w:behavior w:val="content"/>
        </w:behaviors>
        <w:guid w:val="{A1A17BD4-B042-4E82-9DF7-A17ABEC6B8E8}"/>
      </w:docPartPr>
      <w:docPartBody>
        <w:p w:rsidR="009D7AB0" w:rsidRDefault="00785567" w:rsidP="00785567">
          <w:pPr>
            <w:pStyle w:val="08671E664E25455BBB9EB8A661B6AC95"/>
          </w:pPr>
          <w:r w:rsidRPr="00DB0913">
            <w:rPr>
              <w:rStyle w:val="Textodelmarcadordeposicin"/>
            </w:rPr>
            <w:t>Haga clic o pulse aquí para escribir texto.</w:t>
          </w:r>
        </w:p>
      </w:docPartBody>
    </w:docPart>
    <w:docPart>
      <w:docPartPr>
        <w:name w:val="984BFA0718EA4196BECFC734668DF054"/>
        <w:category>
          <w:name w:val="General"/>
          <w:gallery w:val="placeholder"/>
        </w:category>
        <w:types>
          <w:type w:val="bbPlcHdr"/>
        </w:types>
        <w:behaviors>
          <w:behavior w:val="content"/>
        </w:behaviors>
        <w:guid w:val="{6C193422-8BBD-4B08-A1B3-120286C20B4B}"/>
      </w:docPartPr>
      <w:docPartBody>
        <w:p w:rsidR="009D7AB0" w:rsidRDefault="00785567" w:rsidP="00785567">
          <w:pPr>
            <w:pStyle w:val="984BFA0718EA4196BECFC734668DF05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67"/>
    <w:rsid w:val="001309FC"/>
    <w:rsid w:val="00177C35"/>
    <w:rsid w:val="00367EFC"/>
    <w:rsid w:val="0073745E"/>
    <w:rsid w:val="00785567"/>
    <w:rsid w:val="008939DC"/>
    <w:rsid w:val="009D7AB0"/>
    <w:rsid w:val="00F14215"/>
    <w:rsid w:val="00FA07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5567"/>
    <w:rPr>
      <w:color w:val="808080"/>
    </w:rPr>
  </w:style>
  <w:style w:type="paragraph" w:customStyle="1" w:styleId="08671E664E25455BBB9EB8A661B6AC95">
    <w:name w:val="08671E664E25455BBB9EB8A661B6AC95"/>
    <w:rsid w:val="00785567"/>
  </w:style>
  <w:style w:type="paragraph" w:customStyle="1" w:styleId="984BFA0718EA4196BECFC734668DF054">
    <w:name w:val="984BFA0718EA4196BECFC734668DF054"/>
    <w:rsid w:val="00785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1644</Words>
  <Characters>9043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2025-07-17T13:33:00Z</dcterms:created>
  <dcterms:modified xsi:type="dcterms:W3CDTF">2025-07-17T13:33:00Z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2025-07-17T13:33:38Z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68752763-5080-4d56-b4f8-b6a939d314d7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