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99F43" w14:textId="21CE9A91" w:rsidR="00336CED" w:rsidRDefault="00C56427" w:rsidP="0028019A">
      <w:pPr>
        <w:spacing w:after="0" w:line="312" w:lineRule="auto"/>
        <w:jc w:val="center"/>
        <w:rPr>
          <w:rFonts w:ascii="Arial" w:hAnsi="Arial" w:cs="Arial"/>
          <w:b/>
          <w:bCs/>
        </w:rPr>
      </w:pPr>
      <w:r>
        <w:rPr>
          <w:rFonts w:ascii="Arial" w:hAnsi="Arial" w:cs="Arial"/>
          <w:b/>
          <w:bCs/>
        </w:rPr>
        <w:t>EQUIDAD SEGUROS GENERALES DE COLOMBIA O.C.</w:t>
      </w:r>
    </w:p>
    <w:p w14:paraId="258BC524" w14:textId="77777777" w:rsidR="00336CED" w:rsidRDefault="00336CED" w:rsidP="0028019A">
      <w:pPr>
        <w:spacing w:after="0" w:line="312" w:lineRule="auto"/>
        <w:jc w:val="both"/>
        <w:rPr>
          <w:rFonts w:ascii="Arial" w:hAnsi="Arial" w:cs="Arial"/>
          <w:b/>
          <w:bCs/>
        </w:rPr>
      </w:pPr>
    </w:p>
    <w:p w14:paraId="6D0D56DE" w14:textId="28571CD9" w:rsidR="009914B7" w:rsidRDefault="008D33BE" w:rsidP="0028019A">
      <w:pPr>
        <w:spacing w:after="0" w:line="312" w:lineRule="auto"/>
        <w:jc w:val="both"/>
        <w:rPr>
          <w:rFonts w:ascii="Arial" w:hAnsi="Arial" w:cs="Arial"/>
        </w:rPr>
      </w:pPr>
      <w:r w:rsidRPr="004211AC">
        <w:rPr>
          <w:rFonts w:ascii="Arial" w:hAnsi="Arial" w:cs="Arial"/>
          <w:b/>
          <w:bCs/>
        </w:rPr>
        <w:t>CALIFICACIÓN DE CONTINGENCIA:</w:t>
      </w:r>
      <w:r w:rsidR="004211AC">
        <w:rPr>
          <w:rFonts w:ascii="Arial" w:hAnsi="Arial" w:cs="Arial"/>
          <w:b/>
          <w:bCs/>
        </w:rPr>
        <w:t xml:space="preserve"> </w:t>
      </w:r>
      <w:r w:rsidR="009914B7" w:rsidRPr="009914B7">
        <w:rPr>
          <w:rFonts w:ascii="Arial" w:hAnsi="Arial" w:cs="Arial"/>
        </w:rPr>
        <w:t xml:space="preserve">Se califica como </w:t>
      </w:r>
      <w:r w:rsidR="0028019A">
        <w:rPr>
          <w:rFonts w:ascii="Arial" w:hAnsi="Arial" w:cs="Arial"/>
        </w:rPr>
        <w:t>REMOTA</w:t>
      </w:r>
      <w:r w:rsidR="009914B7" w:rsidRPr="009914B7">
        <w:rPr>
          <w:rFonts w:ascii="Arial" w:hAnsi="Arial" w:cs="Arial"/>
        </w:rPr>
        <w:t xml:space="preserve">, </w:t>
      </w:r>
      <w:r w:rsidR="00130F00">
        <w:rPr>
          <w:rFonts w:ascii="Arial" w:hAnsi="Arial" w:cs="Arial"/>
        </w:rPr>
        <w:t>t</w:t>
      </w:r>
      <w:r w:rsidR="009914B7" w:rsidRPr="009914B7">
        <w:rPr>
          <w:rFonts w:ascii="Arial" w:hAnsi="Arial" w:cs="Arial"/>
        </w:rPr>
        <w:t xml:space="preserve">oda vez </w:t>
      </w:r>
      <w:r w:rsidR="002127F7" w:rsidRPr="009914B7">
        <w:rPr>
          <w:rFonts w:ascii="Arial" w:hAnsi="Arial" w:cs="Arial"/>
        </w:rPr>
        <w:t>que,</w:t>
      </w:r>
      <w:r w:rsidR="00130F00">
        <w:rPr>
          <w:rFonts w:ascii="Arial" w:hAnsi="Arial" w:cs="Arial"/>
        </w:rPr>
        <w:t xml:space="preserve"> la póliza no presta cobertura material, y aunado a ello,</w:t>
      </w:r>
      <w:r w:rsidR="009914B7" w:rsidRPr="009914B7">
        <w:rPr>
          <w:rFonts w:ascii="Arial" w:hAnsi="Arial" w:cs="Arial"/>
        </w:rPr>
        <w:t xml:space="preserve"> aunque con la demanda se aporta un </w:t>
      </w:r>
      <w:r w:rsidR="0028019A">
        <w:rPr>
          <w:rFonts w:ascii="Arial" w:hAnsi="Arial" w:cs="Arial"/>
        </w:rPr>
        <w:t>Informe Ejecutivo FPJ</w:t>
      </w:r>
      <w:r w:rsidR="009914B7" w:rsidRPr="009914B7">
        <w:rPr>
          <w:rFonts w:ascii="Arial" w:hAnsi="Arial" w:cs="Arial"/>
        </w:rPr>
        <w:t xml:space="preserve"> con hipótesis desfavorable </w:t>
      </w:r>
      <w:r w:rsidR="0028019A">
        <w:rPr>
          <w:rFonts w:ascii="Arial" w:hAnsi="Arial" w:cs="Arial"/>
        </w:rPr>
        <w:t xml:space="preserve">para los asegurados </w:t>
      </w:r>
      <w:r w:rsidR="009914B7" w:rsidRPr="009914B7">
        <w:rPr>
          <w:rFonts w:ascii="Arial" w:hAnsi="Arial" w:cs="Arial"/>
        </w:rPr>
        <w:t>(</w:t>
      </w:r>
      <w:r w:rsidR="0028019A">
        <w:rPr>
          <w:rFonts w:ascii="Arial" w:hAnsi="Arial" w:cs="Arial"/>
        </w:rPr>
        <w:t>sobre cupo y falta de mantenimiento mecánico</w:t>
      </w:r>
      <w:r w:rsidR="009914B7" w:rsidRPr="009914B7">
        <w:rPr>
          <w:rFonts w:ascii="Arial" w:hAnsi="Arial" w:cs="Arial"/>
        </w:rPr>
        <w:t xml:space="preserve">) lo cierto es que el mismo se tomó </w:t>
      </w:r>
      <w:r w:rsidR="0028019A">
        <w:rPr>
          <w:rFonts w:ascii="Arial" w:hAnsi="Arial" w:cs="Arial"/>
        </w:rPr>
        <w:t>2</w:t>
      </w:r>
      <w:r w:rsidR="009914B7" w:rsidRPr="009914B7">
        <w:rPr>
          <w:rFonts w:ascii="Arial" w:hAnsi="Arial" w:cs="Arial"/>
        </w:rPr>
        <w:t xml:space="preserve">4 horas después del hecho y </w:t>
      </w:r>
      <w:r w:rsidR="0028019A">
        <w:rPr>
          <w:rFonts w:ascii="Arial" w:hAnsi="Arial" w:cs="Arial"/>
        </w:rPr>
        <w:t>tras el debate probatorio no se determinó con claridad el sobre cupo y se desestimó la falta de mantenimiento mecánico</w:t>
      </w:r>
      <w:r w:rsidR="009914B7" w:rsidRPr="009914B7">
        <w:rPr>
          <w:rFonts w:ascii="Arial" w:hAnsi="Arial" w:cs="Arial"/>
        </w:rPr>
        <w:t>.</w:t>
      </w:r>
    </w:p>
    <w:p w14:paraId="2685B491" w14:textId="77777777" w:rsidR="009914B7" w:rsidRPr="009914B7" w:rsidRDefault="009914B7" w:rsidP="0028019A">
      <w:pPr>
        <w:spacing w:after="0" w:line="312" w:lineRule="auto"/>
        <w:jc w:val="both"/>
        <w:rPr>
          <w:rFonts w:ascii="Arial" w:hAnsi="Arial" w:cs="Arial"/>
        </w:rPr>
      </w:pPr>
    </w:p>
    <w:p w14:paraId="57590AB7" w14:textId="2AFF0FC4" w:rsidR="009914B7" w:rsidRDefault="009914B7" w:rsidP="0028019A">
      <w:pPr>
        <w:spacing w:after="0" w:line="312" w:lineRule="auto"/>
        <w:jc w:val="both"/>
        <w:rPr>
          <w:rFonts w:ascii="Arial" w:hAnsi="Arial" w:cs="Arial"/>
        </w:rPr>
      </w:pPr>
      <w:r w:rsidRPr="009914B7">
        <w:rPr>
          <w:rFonts w:ascii="Arial" w:hAnsi="Arial" w:cs="Arial"/>
        </w:rPr>
        <w:t xml:space="preserve">Lo primero que se debe decir es que la </w:t>
      </w:r>
      <w:r w:rsidR="00073163" w:rsidRPr="00073163">
        <w:rPr>
          <w:rFonts w:ascii="Arial" w:hAnsi="Arial" w:cs="Arial"/>
        </w:rPr>
        <w:t>Póliza de Responsabilidad Civil Contractual Seguro de Accidentes a Pasajeros en Vehículos de Servicio Público</w:t>
      </w:r>
      <w:r w:rsidRPr="009914B7">
        <w:rPr>
          <w:rFonts w:ascii="Arial" w:hAnsi="Arial" w:cs="Arial"/>
        </w:rPr>
        <w:t xml:space="preserve"> </w:t>
      </w:r>
      <w:r w:rsidR="00073163" w:rsidRPr="00C819F7">
        <w:rPr>
          <w:rFonts w:ascii="Arial" w:hAnsi="Arial" w:cs="Arial"/>
        </w:rPr>
        <w:t>N</w:t>
      </w:r>
      <w:r w:rsidR="00073163">
        <w:rPr>
          <w:rFonts w:ascii="Arial" w:hAnsi="Arial" w:cs="Arial"/>
        </w:rPr>
        <w:t>o.</w:t>
      </w:r>
      <w:r w:rsidR="00073163" w:rsidRPr="00C819F7">
        <w:rPr>
          <w:rFonts w:ascii="Arial" w:hAnsi="Arial" w:cs="Arial"/>
        </w:rPr>
        <w:t xml:space="preserve"> AA003532</w:t>
      </w:r>
      <w:r w:rsidRPr="009914B7">
        <w:rPr>
          <w:rFonts w:ascii="Arial" w:hAnsi="Arial" w:cs="Arial"/>
        </w:rPr>
        <w:t xml:space="preserve"> </w:t>
      </w:r>
      <w:r w:rsidR="00073163">
        <w:rPr>
          <w:rFonts w:ascii="Arial" w:hAnsi="Arial" w:cs="Arial"/>
        </w:rPr>
        <w:t xml:space="preserve">en donde </w:t>
      </w:r>
      <w:r w:rsidR="007D30B3">
        <w:rPr>
          <w:rFonts w:ascii="Arial" w:hAnsi="Arial" w:cs="Arial"/>
        </w:rPr>
        <w:t xml:space="preserve">la </w:t>
      </w:r>
      <w:r w:rsidR="007D30B3" w:rsidRPr="007D30B3">
        <w:rPr>
          <w:rFonts w:ascii="Arial" w:hAnsi="Arial" w:cs="Arial"/>
        </w:rPr>
        <w:t>Cooperativa Integral de Transportes Rápido Tambo “T</w:t>
      </w:r>
      <w:r w:rsidR="007D30B3" w:rsidRPr="007D30B3">
        <w:rPr>
          <w:rFonts w:ascii="Arial" w:hAnsi="Arial" w:cs="Arial"/>
        </w:rPr>
        <w:t>ranstambo</w:t>
      </w:r>
      <w:r w:rsidR="007D30B3" w:rsidRPr="007D30B3">
        <w:rPr>
          <w:rFonts w:ascii="Arial" w:hAnsi="Arial" w:cs="Arial"/>
        </w:rPr>
        <w:t>”</w:t>
      </w:r>
      <w:r w:rsidR="00073163" w:rsidRPr="00073163">
        <w:rPr>
          <w:rFonts w:ascii="Arial" w:hAnsi="Arial" w:cs="Arial"/>
        </w:rPr>
        <w:t>, figura como tomadora y el señor Carlos Aurelio Rizo Hoyos figura como asegurado</w:t>
      </w:r>
      <w:r w:rsidRPr="009914B7">
        <w:rPr>
          <w:rFonts w:ascii="Arial" w:hAnsi="Arial" w:cs="Arial"/>
        </w:rPr>
        <w:t xml:space="preserve">, </w:t>
      </w:r>
      <w:r w:rsidR="007D30B3">
        <w:rPr>
          <w:rFonts w:ascii="Arial" w:hAnsi="Arial" w:cs="Arial"/>
        </w:rPr>
        <w:t xml:space="preserve">no </w:t>
      </w:r>
      <w:r w:rsidRPr="009914B7">
        <w:rPr>
          <w:rFonts w:ascii="Arial" w:hAnsi="Arial" w:cs="Arial"/>
        </w:rPr>
        <w:t xml:space="preserve">presta cobertura </w:t>
      </w:r>
      <w:r w:rsidR="00E61DA4" w:rsidRPr="009914B7">
        <w:rPr>
          <w:rFonts w:ascii="Arial" w:hAnsi="Arial" w:cs="Arial"/>
        </w:rPr>
        <w:t>material,</w:t>
      </w:r>
      <w:r w:rsidRPr="009914B7">
        <w:rPr>
          <w:rFonts w:ascii="Arial" w:hAnsi="Arial" w:cs="Arial"/>
        </w:rPr>
        <w:t xml:space="preserve"> </w:t>
      </w:r>
      <w:r w:rsidR="00E61DA4">
        <w:rPr>
          <w:rFonts w:ascii="Arial" w:hAnsi="Arial" w:cs="Arial"/>
        </w:rPr>
        <w:t xml:space="preserve">aunque sí presta cobertura </w:t>
      </w:r>
      <w:r w:rsidRPr="009914B7">
        <w:rPr>
          <w:rFonts w:ascii="Arial" w:hAnsi="Arial" w:cs="Arial"/>
        </w:rPr>
        <w:t xml:space="preserve">temporal de conformidad con los hechos y pretensiones expuestos en el líbelo de la demanda. Frente a la cobertura </w:t>
      </w:r>
      <w:r w:rsidR="00E61DA4">
        <w:rPr>
          <w:rFonts w:ascii="Arial" w:hAnsi="Arial" w:cs="Arial"/>
        </w:rPr>
        <w:t xml:space="preserve">material debe decirse que la misma ampara los riesgos </w:t>
      </w:r>
      <w:r w:rsidR="00E61DA4" w:rsidRPr="00E61DA4">
        <w:rPr>
          <w:rFonts w:ascii="Arial" w:hAnsi="Arial" w:cs="Arial"/>
        </w:rPr>
        <w:t xml:space="preserve">en que incurra el transportador </w:t>
      </w:r>
      <w:r w:rsidR="00E61DA4">
        <w:rPr>
          <w:rFonts w:ascii="Arial" w:hAnsi="Arial" w:cs="Arial"/>
        </w:rPr>
        <w:t xml:space="preserve">frente a los </w:t>
      </w:r>
      <w:r w:rsidR="00E61DA4" w:rsidRPr="00E61DA4">
        <w:rPr>
          <w:rFonts w:ascii="Arial" w:hAnsi="Arial" w:cs="Arial"/>
        </w:rPr>
        <w:t>pasajeros del vehículo asegurado</w:t>
      </w:r>
      <w:r w:rsidR="00E61DA4">
        <w:rPr>
          <w:rFonts w:ascii="Arial" w:hAnsi="Arial" w:cs="Arial"/>
        </w:rPr>
        <w:t>, en el caso de marras se pudo demostrar que el viaje que suscitó el accidente fue producto de una iniciativa del conductor, sin permiso del propietario, figura que jurídicamente se puede denominar “transporte benévolo”, pues los demandantes no demostraron la existencia de un tiquete, y los testigos adujeron en forma coherente y conjunta que no pagaron nada por el viaje, lo que hace que no existe el acuerdo de voluntades que genera la responsabilidad contractual en el caso. Frente a la cobertura temporal debe decirse qu</w:t>
      </w:r>
      <w:r w:rsidRPr="009914B7">
        <w:rPr>
          <w:rFonts w:ascii="Arial" w:hAnsi="Arial" w:cs="Arial"/>
        </w:rPr>
        <w:t xml:space="preserve">e su modalidad es de ocurrencia, dicho fundamento fáctico </w:t>
      </w:r>
      <w:r w:rsidR="00E61DA4">
        <w:rPr>
          <w:rFonts w:ascii="Arial" w:hAnsi="Arial" w:cs="Arial"/>
        </w:rPr>
        <w:t xml:space="preserve">sí </w:t>
      </w:r>
      <w:r w:rsidRPr="009914B7">
        <w:rPr>
          <w:rFonts w:ascii="Arial" w:hAnsi="Arial" w:cs="Arial"/>
        </w:rPr>
        <w:t>se da</w:t>
      </w:r>
      <w:r w:rsidR="00E61DA4">
        <w:rPr>
          <w:rFonts w:ascii="Arial" w:hAnsi="Arial" w:cs="Arial"/>
        </w:rPr>
        <w:t>,</w:t>
      </w:r>
      <w:r w:rsidRPr="009914B7">
        <w:rPr>
          <w:rFonts w:ascii="Arial" w:hAnsi="Arial" w:cs="Arial"/>
        </w:rPr>
        <w:t xml:space="preserve"> pues el siniestro ocurrió el </w:t>
      </w:r>
      <w:r w:rsidR="00E61DA4">
        <w:rPr>
          <w:rFonts w:ascii="Arial" w:hAnsi="Arial" w:cs="Arial"/>
        </w:rPr>
        <w:t>31</w:t>
      </w:r>
      <w:r w:rsidRPr="009914B7">
        <w:rPr>
          <w:rFonts w:ascii="Arial" w:hAnsi="Arial" w:cs="Arial"/>
        </w:rPr>
        <w:t xml:space="preserve"> de </w:t>
      </w:r>
      <w:r w:rsidR="00E61DA4">
        <w:rPr>
          <w:rFonts w:ascii="Arial" w:hAnsi="Arial" w:cs="Arial"/>
        </w:rPr>
        <w:t>diciem</w:t>
      </w:r>
      <w:r w:rsidRPr="009914B7">
        <w:rPr>
          <w:rFonts w:ascii="Arial" w:hAnsi="Arial" w:cs="Arial"/>
        </w:rPr>
        <w:t>bre de 20</w:t>
      </w:r>
      <w:r w:rsidR="00E61DA4">
        <w:rPr>
          <w:rFonts w:ascii="Arial" w:hAnsi="Arial" w:cs="Arial"/>
        </w:rPr>
        <w:t>11</w:t>
      </w:r>
      <w:r w:rsidRPr="009914B7">
        <w:rPr>
          <w:rFonts w:ascii="Arial" w:hAnsi="Arial" w:cs="Arial"/>
        </w:rPr>
        <w:t xml:space="preserve"> mientras que la vigencia de la póliza corrió desde el </w:t>
      </w:r>
      <w:r w:rsidR="009429B6">
        <w:rPr>
          <w:rFonts w:ascii="Arial" w:hAnsi="Arial" w:cs="Arial"/>
        </w:rPr>
        <w:t>14</w:t>
      </w:r>
      <w:r w:rsidRPr="009914B7">
        <w:rPr>
          <w:rFonts w:ascii="Arial" w:hAnsi="Arial" w:cs="Arial"/>
        </w:rPr>
        <w:t xml:space="preserve"> de </w:t>
      </w:r>
      <w:r w:rsidR="009429B6">
        <w:rPr>
          <w:rFonts w:ascii="Arial" w:hAnsi="Arial" w:cs="Arial"/>
        </w:rPr>
        <w:t>noviembre</w:t>
      </w:r>
      <w:r w:rsidRPr="009914B7">
        <w:rPr>
          <w:rFonts w:ascii="Arial" w:hAnsi="Arial" w:cs="Arial"/>
        </w:rPr>
        <w:t xml:space="preserve"> de 20</w:t>
      </w:r>
      <w:r w:rsidR="009429B6">
        <w:rPr>
          <w:rFonts w:ascii="Arial" w:hAnsi="Arial" w:cs="Arial"/>
        </w:rPr>
        <w:t>11</w:t>
      </w:r>
      <w:r w:rsidRPr="009914B7">
        <w:rPr>
          <w:rFonts w:ascii="Arial" w:hAnsi="Arial" w:cs="Arial"/>
        </w:rPr>
        <w:t xml:space="preserve"> hasta el </w:t>
      </w:r>
      <w:r w:rsidR="009429B6">
        <w:rPr>
          <w:rFonts w:ascii="Arial" w:hAnsi="Arial" w:cs="Arial"/>
        </w:rPr>
        <w:t>14</w:t>
      </w:r>
      <w:r w:rsidRPr="009914B7">
        <w:rPr>
          <w:rFonts w:ascii="Arial" w:hAnsi="Arial" w:cs="Arial"/>
        </w:rPr>
        <w:t xml:space="preserve"> de </w:t>
      </w:r>
      <w:r w:rsidR="009429B6">
        <w:rPr>
          <w:rFonts w:ascii="Arial" w:hAnsi="Arial" w:cs="Arial"/>
        </w:rPr>
        <w:t>novi</w:t>
      </w:r>
      <w:r w:rsidRPr="009914B7">
        <w:rPr>
          <w:rFonts w:ascii="Arial" w:hAnsi="Arial" w:cs="Arial"/>
        </w:rPr>
        <w:t>embre 20</w:t>
      </w:r>
      <w:r w:rsidR="009429B6">
        <w:rPr>
          <w:rFonts w:ascii="Arial" w:hAnsi="Arial" w:cs="Arial"/>
        </w:rPr>
        <w:t>1</w:t>
      </w:r>
      <w:r w:rsidRPr="009914B7">
        <w:rPr>
          <w:rFonts w:ascii="Arial" w:hAnsi="Arial" w:cs="Arial"/>
        </w:rPr>
        <w:t>2, y por tanto aquel hecho se encuentra dentro de la delimitación temporal de la póliza en mención.</w:t>
      </w:r>
    </w:p>
    <w:p w14:paraId="396C6ED8" w14:textId="77777777" w:rsidR="009914B7" w:rsidRDefault="009914B7" w:rsidP="0028019A">
      <w:pPr>
        <w:spacing w:after="0" w:line="312" w:lineRule="auto"/>
        <w:jc w:val="both"/>
        <w:rPr>
          <w:rFonts w:ascii="Arial" w:hAnsi="Arial" w:cs="Arial"/>
        </w:rPr>
      </w:pPr>
    </w:p>
    <w:p w14:paraId="03246EA6" w14:textId="651104E8" w:rsidR="00211328" w:rsidRPr="004211AC" w:rsidRDefault="009914B7" w:rsidP="0028019A">
      <w:pPr>
        <w:spacing w:after="0" w:line="312" w:lineRule="auto"/>
        <w:jc w:val="both"/>
        <w:rPr>
          <w:rFonts w:ascii="Arial" w:hAnsi="Arial" w:cs="Arial"/>
        </w:rPr>
      </w:pPr>
      <w:r w:rsidRPr="009914B7">
        <w:rPr>
          <w:rFonts w:ascii="Arial" w:hAnsi="Arial" w:cs="Arial"/>
        </w:rPr>
        <w:t xml:space="preserve">Por otro lado, frente a la responsabilidad del asegurado debe decirse que si bien es cierto </w:t>
      </w:r>
      <w:r w:rsidR="00912410" w:rsidRPr="009914B7">
        <w:rPr>
          <w:rFonts w:ascii="Arial" w:hAnsi="Arial" w:cs="Arial"/>
        </w:rPr>
        <w:t xml:space="preserve">se aporta un </w:t>
      </w:r>
      <w:r w:rsidR="00912410">
        <w:rPr>
          <w:rFonts w:ascii="Arial" w:hAnsi="Arial" w:cs="Arial"/>
        </w:rPr>
        <w:t>Informe Ejecutivo FPJ</w:t>
      </w:r>
      <w:r w:rsidR="00912410" w:rsidRPr="009914B7">
        <w:rPr>
          <w:rFonts w:ascii="Arial" w:hAnsi="Arial" w:cs="Arial"/>
        </w:rPr>
        <w:t xml:space="preserve"> con hipótesis desfavorable (</w:t>
      </w:r>
      <w:r w:rsidR="00912410">
        <w:rPr>
          <w:rFonts w:ascii="Arial" w:hAnsi="Arial" w:cs="Arial"/>
        </w:rPr>
        <w:t>sobre cupo y falta de mantenimiento mecánico</w:t>
      </w:r>
      <w:r w:rsidR="00912410" w:rsidRPr="009914B7">
        <w:rPr>
          <w:rFonts w:ascii="Arial" w:hAnsi="Arial" w:cs="Arial"/>
        </w:rPr>
        <w:t xml:space="preserve">) lo cierto es que el mismo se tomó </w:t>
      </w:r>
      <w:r w:rsidR="00912410">
        <w:rPr>
          <w:rFonts w:ascii="Arial" w:hAnsi="Arial" w:cs="Arial"/>
        </w:rPr>
        <w:t>2</w:t>
      </w:r>
      <w:r w:rsidR="00912410" w:rsidRPr="009914B7">
        <w:rPr>
          <w:rFonts w:ascii="Arial" w:hAnsi="Arial" w:cs="Arial"/>
        </w:rPr>
        <w:t xml:space="preserve">4 horas después del hecho y </w:t>
      </w:r>
      <w:r w:rsidR="00912410">
        <w:rPr>
          <w:rFonts w:ascii="Arial" w:hAnsi="Arial" w:cs="Arial"/>
        </w:rPr>
        <w:t xml:space="preserve">tras el debate probatorio no se determinó con claridad </w:t>
      </w:r>
      <w:r w:rsidR="00912410">
        <w:rPr>
          <w:rFonts w:ascii="Arial" w:hAnsi="Arial" w:cs="Arial"/>
        </w:rPr>
        <w:t>la existencia de</w:t>
      </w:r>
      <w:r w:rsidR="00912410">
        <w:rPr>
          <w:rFonts w:ascii="Arial" w:hAnsi="Arial" w:cs="Arial"/>
        </w:rPr>
        <w:t xml:space="preserve"> sobre cupo </w:t>
      </w:r>
      <w:r w:rsidR="00912410">
        <w:rPr>
          <w:rFonts w:ascii="Arial" w:hAnsi="Arial" w:cs="Arial"/>
        </w:rPr>
        <w:t xml:space="preserve">toda vez que los testigos no informaron que ello se presentara </w:t>
      </w:r>
      <w:r w:rsidR="00912410">
        <w:rPr>
          <w:rFonts w:ascii="Arial" w:hAnsi="Arial" w:cs="Arial"/>
        </w:rPr>
        <w:t xml:space="preserve">y </w:t>
      </w:r>
      <w:r w:rsidR="00912410">
        <w:rPr>
          <w:rFonts w:ascii="Arial" w:hAnsi="Arial" w:cs="Arial"/>
        </w:rPr>
        <w:t xml:space="preserve">por otra parte </w:t>
      </w:r>
      <w:r w:rsidR="00912410">
        <w:rPr>
          <w:rFonts w:ascii="Arial" w:hAnsi="Arial" w:cs="Arial"/>
        </w:rPr>
        <w:t>se desestimó la falta de mantenimiento mecánico</w:t>
      </w:r>
      <w:r w:rsidR="00912410">
        <w:rPr>
          <w:rFonts w:ascii="Arial" w:hAnsi="Arial" w:cs="Arial"/>
        </w:rPr>
        <w:t xml:space="preserve"> al allegarse prueba de la revisión técnico mecánica dos meses antes de los hechos, así como testimonios tanto del conductor como de pasajeros de que el vehículo se encontraba en buenas condiciones. De otra parte, frente a la diligencia del conductor se acreditó la vasta experiencia y se demostró que en los hechos fueron relevantes el estado de la vía (terciaria, angosta y sin mantenimiento) y el hecho de que llovió de manera importante en las horas previas al hecho, lo que junto al estado de la vía llevó a que esta cediera ante el peso del vehículo y provocará el volcamiento.</w:t>
      </w:r>
      <w:r w:rsidR="00C30DC3">
        <w:rPr>
          <w:rFonts w:ascii="Arial" w:hAnsi="Arial" w:cs="Arial"/>
        </w:rPr>
        <w:t xml:space="preserve"> También debe </w:t>
      </w:r>
      <w:r w:rsidR="00C30DC3">
        <w:rPr>
          <w:rFonts w:ascii="Arial" w:hAnsi="Arial" w:cs="Arial"/>
        </w:rPr>
        <w:lastRenderedPageBreak/>
        <w:t>hacerse mención a que en el caso se dio a conocer al fallador la existencia de un contrato de transacción entre los asegurados (mencionando la exoneración de la aseguradora) y el demandante, el cual haría tránsito a cosa juzgada respecto de las afectaciones suscitadas por el hecho que se demanda</w:t>
      </w:r>
      <w:r w:rsidR="00D979B8">
        <w:rPr>
          <w:rFonts w:ascii="Arial" w:hAnsi="Arial" w:cs="Arial"/>
        </w:rPr>
        <w:t>, situación que no fue contrarrestada por los demandantes, pues dicho extremo procesal no se presentó al proceso ni para los interrogatorios de parte citados, ni para allegar los testigos solicitados; situaciones estas que en conjunto</w:t>
      </w:r>
      <w:r w:rsidRPr="009914B7">
        <w:rPr>
          <w:rFonts w:ascii="Arial" w:hAnsi="Arial" w:cs="Arial"/>
        </w:rPr>
        <w:t xml:space="preserve"> generan que la </w:t>
      </w:r>
      <w:r w:rsidR="00CF5484">
        <w:rPr>
          <w:rFonts w:ascii="Arial" w:hAnsi="Arial" w:cs="Arial"/>
        </w:rPr>
        <w:t>posibilidad de condena</w:t>
      </w:r>
      <w:r w:rsidRPr="009914B7">
        <w:rPr>
          <w:rFonts w:ascii="Arial" w:hAnsi="Arial" w:cs="Arial"/>
        </w:rPr>
        <w:t xml:space="preserve"> se</w:t>
      </w:r>
      <w:r w:rsidR="00CF5484">
        <w:rPr>
          <w:rFonts w:ascii="Arial" w:hAnsi="Arial" w:cs="Arial"/>
        </w:rPr>
        <w:t>a</w:t>
      </w:r>
      <w:r w:rsidRPr="009914B7">
        <w:rPr>
          <w:rFonts w:ascii="Arial" w:hAnsi="Arial" w:cs="Arial"/>
        </w:rPr>
        <w:t xml:space="preserve"> </w:t>
      </w:r>
      <w:r w:rsidR="00CF5484">
        <w:rPr>
          <w:rFonts w:ascii="Arial" w:hAnsi="Arial" w:cs="Arial"/>
        </w:rPr>
        <w:t>REMOTA, más allá del carácter contingente del caso</w:t>
      </w:r>
      <w:r w:rsidRPr="009914B7">
        <w:rPr>
          <w:rFonts w:ascii="Arial" w:hAnsi="Arial" w:cs="Arial"/>
        </w:rPr>
        <w:t>.</w:t>
      </w:r>
    </w:p>
    <w:p w14:paraId="0E902D6C" w14:textId="31C8E5CB" w:rsidR="004264FC" w:rsidRPr="004211AC" w:rsidRDefault="004264FC" w:rsidP="0028019A">
      <w:pPr>
        <w:spacing w:after="0" w:line="312" w:lineRule="auto"/>
        <w:jc w:val="both"/>
        <w:rPr>
          <w:rFonts w:ascii="Arial" w:hAnsi="Arial" w:cs="Arial"/>
        </w:rPr>
      </w:pPr>
      <w:r w:rsidRPr="004211AC">
        <w:rPr>
          <w:rFonts w:ascii="Arial" w:hAnsi="Arial" w:cs="Arial"/>
        </w:rPr>
        <w:t> </w:t>
      </w:r>
    </w:p>
    <w:p w14:paraId="24CA59F8" w14:textId="3366B01C" w:rsidR="004211AC" w:rsidRPr="004211AC" w:rsidRDefault="00C214A5" w:rsidP="0028019A">
      <w:pPr>
        <w:spacing w:after="0" w:line="312" w:lineRule="auto"/>
        <w:jc w:val="both"/>
        <w:rPr>
          <w:rFonts w:ascii="Arial" w:hAnsi="Arial" w:cs="Arial"/>
        </w:rPr>
      </w:pPr>
      <w:r w:rsidRPr="004211AC">
        <w:rPr>
          <w:rFonts w:ascii="Arial" w:hAnsi="Arial" w:cs="Arial"/>
          <w:b/>
          <w:bCs/>
        </w:rPr>
        <w:t>LIQUIDACIÓN OBJETIVA</w:t>
      </w:r>
      <w:r w:rsidRPr="004211AC">
        <w:rPr>
          <w:rFonts w:ascii="Arial" w:hAnsi="Arial" w:cs="Arial"/>
        </w:rPr>
        <w:t>:</w:t>
      </w:r>
      <w:r w:rsidR="006264AC">
        <w:rPr>
          <w:rFonts w:ascii="Arial" w:hAnsi="Arial" w:cs="Arial"/>
        </w:rPr>
        <w:t xml:space="preserve"> </w:t>
      </w:r>
      <w:r w:rsidR="0016462C" w:rsidRPr="0016462C">
        <w:rPr>
          <w:rFonts w:ascii="Arial" w:hAnsi="Arial" w:cs="Arial"/>
          <w:b/>
          <w:bCs/>
        </w:rPr>
        <w:t>$42.705.000</w:t>
      </w:r>
      <w:r w:rsidR="00FD282C" w:rsidRPr="00FD282C">
        <w:rPr>
          <w:rFonts w:ascii="Arial" w:hAnsi="Arial" w:cs="Arial"/>
        </w:rPr>
        <w:t xml:space="preserve">. A este valor se llegó tomando el reconocimiento de </w:t>
      </w:r>
      <w:r w:rsidR="00AA41D4">
        <w:rPr>
          <w:rFonts w:ascii="Arial" w:hAnsi="Arial" w:cs="Arial"/>
        </w:rPr>
        <w:t>30</w:t>
      </w:r>
      <w:r w:rsidR="00FD282C" w:rsidRPr="00FD282C">
        <w:rPr>
          <w:rFonts w:ascii="Arial" w:hAnsi="Arial" w:cs="Arial"/>
        </w:rPr>
        <w:t xml:space="preserve"> SMMLV por daño moral y daño a la salud, lo cual arroja un resultado de $4</w:t>
      </w:r>
      <w:r w:rsidR="00AA41D4">
        <w:rPr>
          <w:rFonts w:ascii="Arial" w:hAnsi="Arial" w:cs="Arial"/>
        </w:rPr>
        <w:t>2</w:t>
      </w:r>
      <w:r w:rsidR="00FD282C" w:rsidRPr="00FD282C">
        <w:rPr>
          <w:rFonts w:ascii="Arial" w:hAnsi="Arial" w:cs="Arial"/>
        </w:rPr>
        <w:t>.</w:t>
      </w:r>
      <w:r w:rsidR="00AA41D4">
        <w:rPr>
          <w:rFonts w:ascii="Arial" w:hAnsi="Arial" w:cs="Arial"/>
        </w:rPr>
        <w:t>705</w:t>
      </w:r>
      <w:r w:rsidR="00FD282C" w:rsidRPr="00FD282C">
        <w:rPr>
          <w:rFonts w:ascii="Arial" w:hAnsi="Arial" w:cs="Arial"/>
        </w:rPr>
        <w:t>.000</w:t>
      </w:r>
      <w:r w:rsidR="00392AE8">
        <w:rPr>
          <w:rFonts w:ascii="Arial" w:hAnsi="Arial" w:cs="Arial"/>
        </w:rPr>
        <w:t>.</w:t>
      </w:r>
    </w:p>
    <w:p w14:paraId="6472234D" w14:textId="77777777" w:rsidR="00AA41D4" w:rsidRDefault="00AA41D4" w:rsidP="0028019A">
      <w:pPr>
        <w:spacing w:after="0" w:line="312" w:lineRule="auto"/>
        <w:jc w:val="both"/>
        <w:rPr>
          <w:rFonts w:ascii="Arial" w:hAnsi="Arial" w:cs="Arial"/>
          <w:b/>
          <w:bCs/>
        </w:rPr>
      </w:pPr>
    </w:p>
    <w:p w14:paraId="3CD4D2B0" w14:textId="51137420" w:rsidR="00A10C60" w:rsidRPr="00A10C60" w:rsidRDefault="00A10C60" w:rsidP="0028019A">
      <w:pPr>
        <w:spacing w:after="0" w:line="312" w:lineRule="auto"/>
        <w:jc w:val="both"/>
        <w:rPr>
          <w:rFonts w:ascii="Arial" w:hAnsi="Arial" w:cs="Arial"/>
        </w:rPr>
      </w:pPr>
      <w:r w:rsidRPr="00A10C60">
        <w:rPr>
          <w:rFonts w:ascii="Arial" w:hAnsi="Arial" w:cs="Arial"/>
          <w:b/>
          <w:bCs/>
        </w:rPr>
        <w:t>Perjuicios morales</w:t>
      </w:r>
      <w:r w:rsidR="00F37112">
        <w:rPr>
          <w:rFonts w:ascii="Arial" w:hAnsi="Arial" w:cs="Arial"/>
          <w:b/>
          <w:bCs/>
        </w:rPr>
        <w:t xml:space="preserve">: </w:t>
      </w:r>
      <w:r w:rsidR="00405B77" w:rsidRPr="00405B77">
        <w:rPr>
          <w:rFonts w:ascii="Arial" w:hAnsi="Arial" w:cs="Arial"/>
        </w:rPr>
        <w:t>2</w:t>
      </w:r>
      <w:r w:rsidR="002B6589">
        <w:rPr>
          <w:rFonts w:ascii="Arial" w:hAnsi="Arial" w:cs="Arial"/>
        </w:rPr>
        <w:t>0</w:t>
      </w:r>
      <w:r w:rsidR="00405B77" w:rsidRPr="00405B77">
        <w:rPr>
          <w:rFonts w:ascii="Arial" w:hAnsi="Arial" w:cs="Arial"/>
        </w:rPr>
        <w:t xml:space="preserve"> SMMLV ($</w:t>
      </w:r>
      <w:r w:rsidR="002B6589" w:rsidRPr="002B6589">
        <w:rPr>
          <w:rFonts w:ascii="Arial" w:hAnsi="Arial" w:cs="Arial"/>
        </w:rPr>
        <w:t>28.470.000</w:t>
      </w:r>
      <w:r w:rsidR="00405B77" w:rsidRPr="00405B77">
        <w:rPr>
          <w:rFonts w:ascii="Arial" w:hAnsi="Arial" w:cs="Arial"/>
        </w:rPr>
        <w:t xml:space="preserve"> en SMMLV de 202</w:t>
      </w:r>
      <w:r w:rsidR="002B6589">
        <w:rPr>
          <w:rFonts w:ascii="Arial" w:hAnsi="Arial" w:cs="Arial"/>
        </w:rPr>
        <w:t>5</w:t>
      </w:r>
      <w:r w:rsidR="00405B77" w:rsidRPr="00405B77">
        <w:rPr>
          <w:rFonts w:ascii="Arial" w:hAnsi="Arial" w:cs="Arial"/>
        </w:rPr>
        <w:t xml:space="preserve">). Debido a que los demandantes que adelante se individualizarán se encuentran entre el 1 y 2 nivel de relaciones afectivas y estos niveles gozan de presunción de daño, se reconocerá a ellos lo correspondiente al grado menor de daño estipulado por el Consejo de Estado, toda vez que en el caso no existe dictamen de pérdida de capacidad laboral </w:t>
      </w:r>
      <w:r w:rsidR="002B6589">
        <w:rPr>
          <w:rFonts w:ascii="Arial" w:hAnsi="Arial" w:cs="Arial"/>
        </w:rPr>
        <w:t xml:space="preserve">ni documento similar </w:t>
      </w:r>
      <w:r w:rsidR="00405B77" w:rsidRPr="00405B77">
        <w:rPr>
          <w:rFonts w:ascii="Arial" w:hAnsi="Arial" w:cs="Arial"/>
        </w:rPr>
        <w:t xml:space="preserve">que permita establecer el porcentaje correcto de las lesiones, en caso de haberlas. En ese sentido se reconocen: </w:t>
      </w:r>
      <w:r w:rsidR="002B6589">
        <w:rPr>
          <w:rFonts w:ascii="Arial" w:hAnsi="Arial" w:cs="Arial"/>
        </w:rPr>
        <w:t>Jesús Alexander Cortes Idrobo</w:t>
      </w:r>
      <w:r w:rsidR="00405B77" w:rsidRPr="00405B77">
        <w:rPr>
          <w:rFonts w:ascii="Arial" w:hAnsi="Arial" w:cs="Arial"/>
        </w:rPr>
        <w:t xml:space="preserve"> </w:t>
      </w:r>
      <w:r w:rsidR="002B6589">
        <w:rPr>
          <w:rFonts w:ascii="Arial" w:hAnsi="Arial" w:cs="Arial"/>
        </w:rPr>
        <w:t xml:space="preserve">como </w:t>
      </w:r>
      <w:r w:rsidR="00405B77" w:rsidRPr="00405B77">
        <w:rPr>
          <w:rFonts w:ascii="Arial" w:hAnsi="Arial" w:cs="Arial"/>
        </w:rPr>
        <w:t xml:space="preserve">víctima (10 </w:t>
      </w:r>
      <w:r w:rsidR="002B6589" w:rsidRPr="00405B77">
        <w:rPr>
          <w:rFonts w:ascii="Arial" w:hAnsi="Arial" w:cs="Arial"/>
        </w:rPr>
        <w:t>SMMLV</w:t>
      </w:r>
      <w:r w:rsidR="00405B77" w:rsidRPr="00405B77">
        <w:rPr>
          <w:rFonts w:ascii="Arial" w:hAnsi="Arial" w:cs="Arial"/>
        </w:rPr>
        <w:t xml:space="preserve">), </w:t>
      </w:r>
      <w:r w:rsidR="00D80348">
        <w:rPr>
          <w:rFonts w:ascii="Arial" w:hAnsi="Arial" w:cs="Arial"/>
        </w:rPr>
        <w:t>Corín</w:t>
      </w:r>
      <w:r w:rsidR="002B6589">
        <w:rPr>
          <w:rFonts w:ascii="Arial" w:hAnsi="Arial" w:cs="Arial"/>
        </w:rPr>
        <w:t xml:space="preserve"> Vanesa Cortes Pérez</w:t>
      </w:r>
      <w:r w:rsidR="00405B77" w:rsidRPr="00405B77">
        <w:rPr>
          <w:rFonts w:ascii="Arial" w:hAnsi="Arial" w:cs="Arial"/>
        </w:rPr>
        <w:t xml:space="preserve"> </w:t>
      </w:r>
      <w:r w:rsidR="005378A2">
        <w:rPr>
          <w:rFonts w:ascii="Arial" w:hAnsi="Arial" w:cs="Arial"/>
        </w:rPr>
        <w:t xml:space="preserve">como </w:t>
      </w:r>
      <w:r w:rsidR="002B6589">
        <w:rPr>
          <w:rFonts w:ascii="Arial" w:hAnsi="Arial" w:cs="Arial"/>
        </w:rPr>
        <w:t>hija</w:t>
      </w:r>
      <w:r w:rsidR="00405B77" w:rsidRPr="00405B77">
        <w:rPr>
          <w:rFonts w:ascii="Arial" w:hAnsi="Arial" w:cs="Arial"/>
        </w:rPr>
        <w:t xml:space="preserve"> de la víctima (10 </w:t>
      </w:r>
      <w:r w:rsidR="002B6589" w:rsidRPr="00405B77">
        <w:rPr>
          <w:rFonts w:ascii="Arial" w:hAnsi="Arial" w:cs="Arial"/>
        </w:rPr>
        <w:t>SMMLV</w:t>
      </w:r>
      <w:r w:rsidR="00405B77" w:rsidRPr="00405B77">
        <w:rPr>
          <w:rFonts w:ascii="Arial" w:hAnsi="Arial" w:cs="Arial"/>
        </w:rPr>
        <w:t>)</w:t>
      </w:r>
      <w:r w:rsidR="002B6589">
        <w:rPr>
          <w:rFonts w:ascii="Arial" w:hAnsi="Arial" w:cs="Arial"/>
        </w:rPr>
        <w:t>.</w:t>
      </w:r>
      <w:r w:rsidR="00405B77" w:rsidRPr="00405B77">
        <w:rPr>
          <w:rFonts w:ascii="Arial" w:hAnsi="Arial" w:cs="Arial"/>
        </w:rPr>
        <w:t xml:space="preserve"> No se reconoce indemnización a </w:t>
      </w:r>
      <w:r w:rsidR="002B6589">
        <w:rPr>
          <w:rFonts w:ascii="Arial" w:hAnsi="Arial" w:cs="Arial"/>
        </w:rPr>
        <w:t>Ofelia Pérez Camayo</w:t>
      </w:r>
      <w:r w:rsidR="00405B77" w:rsidRPr="00405B77">
        <w:rPr>
          <w:rFonts w:ascii="Arial" w:hAnsi="Arial" w:cs="Arial"/>
        </w:rPr>
        <w:t xml:space="preserve"> </w:t>
      </w:r>
      <w:r w:rsidR="002B6589">
        <w:rPr>
          <w:rFonts w:ascii="Arial" w:hAnsi="Arial" w:cs="Arial"/>
        </w:rPr>
        <w:t>como compañera permanente, pues no se demostró en el caso que dicha situación existiese para el momento de los hechos, toda vez que los demandantes no se hicieron presentes al proceso en la etapa probatoria</w:t>
      </w:r>
      <w:r w:rsidRPr="00A10C60">
        <w:rPr>
          <w:rFonts w:ascii="Arial" w:hAnsi="Arial" w:cs="Arial"/>
        </w:rPr>
        <w:t>.</w:t>
      </w:r>
    </w:p>
    <w:p w14:paraId="0F8F0318" w14:textId="77777777" w:rsidR="002B6589" w:rsidRDefault="002B6589" w:rsidP="0028019A">
      <w:pPr>
        <w:spacing w:after="0" w:line="312" w:lineRule="auto"/>
        <w:jc w:val="both"/>
        <w:rPr>
          <w:rFonts w:ascii="Arial" w:hAnsi="Arial" w:cs="Arial"/>
          <w:b/>
          <w:bCs/>
        </w:rPr>
      </w:pPr>
    </w:p>
    <w:p w14:paraId="58EC9305" w14:textId="0E0810CD" w:rsidR="00A10C60" w:rsidRPr="00A10C60" w:rsidRDefault="00A10C60" w:rsidP="0028019A">
      <w:pPr>
        <w:spacing w:after="0" w:line="312" w:lineRule="auto"/>
        <w:jc w:val="both"/>
        <w:rPr>
          <w:rFonts w:ascii="Arial" w:hAnsi="Arial" w:cs="Arial"/>
        </w:rPr>
      </w:pPr>
      <w:r w:rsidRPr="00A10C60">
        <w:rPr>
          <w:rFonts w:ascii="Arial" w:hAnsi="Arial" w:cs="Arial"/>
          <w:b/>
          <w:bCs/>
        </w:rPr>
        <w:t>Daño a la salud</w:t>
      </w:r>
      <w:r w:rsidRPr="00A10C60">
        <w:rPr>
          <w:rFonts w:ascii="Arial" w:hAnsi="Arial" w:cs="Arial"/>
        </w:rPr>
        <w:t xml:space="preserve">: </w:t>
      </w:r>
      <w:r w:rsidR="00AE44E1" w:rsidRPr="00AE44E1">
        <w:rPr>
          <w:rFonts w:ascii="Arial" w:hAnsi="Arial" w:cs="Arial"/>
        </w:rPr>
        <w:t>10 SMMLV ($</w:t>
      </w:r>
      <w:r w:rsidR="0016462C" w:rsidRPr="0016462C">
        <w:rPr>
          <w:rFonts w:ascii="Arial" w:hAnsi="Arial" w:cs="Arial"/>
        </w:rPr>
        <w:t>14.235.000</w:t>
      </w:r>
      <w:r w:rsidR="0016462C">
        <w:rPr>
          <w:rFonts w:ascii="Arial" w:hAnsi="Arial" w:cs="Arial"/>
        </w:rPr>
        <w:t xml:space="preserve"> </w:t>
      </w:r>
      <w:r w:rsidR="00AE44E1" w:rsidRPr="00AE44E1">
        <w:rPr>
          <w:rFonts w:ascii="Arial" w:hAnsi="Arial" w:cs="Arial"/>
        </w:rPr>
        <w:t>en SMMLV de 202</w:t>
      </w:r>
      <w:r w:rsidR="0016462C">
        <w:rPr>
          <w:rFonts w:ascii="Arial" w:hAnsi="Arial" w:cs="Arial"/>
        </w:rPr>
        <w:t>5</w:t>
      </w:r>
      <w:r w:rsidR="00AE44E1" w:rsidRPr="00AE44E1">
        <w:rPr>
          <w:rFonts w:ascii="Arial" w:hAnsi="Arial" w:cs="Arial"/>
        </w:rPr>
        <w:t>). Debido a que en el expediente obra historia clínica que puede dar fe de las afectaciones de salud</w:t>
      </w:r>
      <w:r w:rsidR="00A945F8">
        <w:rPr>
          <w:rFonts w:ascii="Arial" w:hAnsi="Arial" w:cs="Arial"/>
        </w:rPr>
        <w:t xml:space="preserve"> padecidas</w:t>
      </w:r>
      <w:r w:rsidR="00AE44E1" w:rsidRPr="00AE44E1">
        <w:rPr>
          <w:rFonts w:ascii="Arial" w:hAnsi="Arial" w:cs="Arial"/>
        </w:rPr>
        <w:t>, aunque se reconoce sólo para la víctima, en este caso en cuantía de 10 SMMLV</w:t>
      </w:r>
      <w:r w:rsidRPr="00A10C60">
        <w:rPr>
          <w:rFonts w:ascii="Arial" w:hAnsi="Arial" w:cs="Arial"/>
        </w:rPr>
        <w:t>.</w:t>
      </w:r>
    </w:p>
    <w:p w14:paraId="61CC7325" w14:textId="77777777" w:rsidR="0016462C" w:rsidRDefault="0016462C" w:rsidP="0028019A">
      <w:pPr>
        <w:spacing w:after="0" w:line="312" w:lineRule="auto"/>
        <w:jc w:val="both"/>
        <w:rPr>
          <w:rFonts w:ascii="Arial" w:hAnsi="Arial" w:cs="Arial"/>
          <w:b/>
          <w:bCs/>
        </w:rPr>
      </w:pPr>
    </w:p>
    <w:p w14:paraId="1AE500C6" w14:textId="4FA75749" w:rsidR="00A10C60" w:rsidRPr="00A10C60" w:rsidRDefault="00A10C60" w:rsidP="0028019A">
      <w:pPr>
        <w:spacing w:after="0" w:line="312" w:lineRule="auto"/>
        <w:jc w:val="both"/>
        <w:rPr>
          <w:rFonts w:ascii="Arial" w:hAnsi="Arial" w:cs="Arial"/>
        </w:rPr>
      </w:pPr>
      <w:r w:rsidRPr="00A10C60">
        <w:rPr>
          <w:rFonts w:ascii="Arial" w:hAnsi="Arial" w:cs="Arial"/>
          <w:b/>
          <w:bCs/>
        </w:rPr>
        <w:t>Daño emergente</w:t>
      </w:r>
      <w:r w:rsidRPr="00A10C60">
        <w:rPr>
          <w:rFonts w:ascii="Arial" w:hAnsi="Arial" w:cs="Arial"/>
        </w:rPr>
        <w:t xml:space="preserve">: </w:t>
      </w:r>
      <w:r w:rsidR="00AE44E1" w:rsidRPr="00AE44E1">
        <w:rPr>
          <w:rFonts w:ascii="Arial" w:hAnsi="Arial" w:cs="Arial"/>
        </w:rPr>
        <w:t>$0. Toda vez que, si bien existen en el plenario una serie de facturas, lo cierto es que no obra prueba de que esos valores se hayan cancelado por la víctima de manera efectiva, aunado al hecho de que en su mayoría carecen de los requisitos legales de una factura y que además se solicita un pago improcedente en este aspecto como es el valor del semestre que se había cancelado meses atrás</w:t>
      </w:r>
      <w:r w:rsidRPr="00A10C60">
        <w:rPr>
          <w:rFonts w:ascii="Arial" w:hAnsi="Arial" w:cs="Arial"/>
        </w:rPr>
        <w:t>.</w:t>
      </w:r>
    </w:p>
    <w:p w14:paraId="346529FE" w14:textId="77777777" w:rsidR="0016462C" w:rsidRDefault="0016462C" w:rsidP="0028019A">
      <w:pPr>
        <w:spacing w:after="0" w:line="312" w:lineRule="auto"/>
        <w:jc w:val="both"/>
        <w:rPr>
          <w:rFonts w:ascii="Arial" w:hAnsi="Arial" w:cs="Arial"/>
          <w:b/>
          <w:bCs/>
        </w:rPr>
      </w:pPr>
    </w:p>
    <w:p w14:paraId="379A38F0" w14:textId="390142D0" w:rsidR="001A74D5" w:rsidRDefault="00A10C60" w:rsidP="0028019A">
      <w:pPr>
        <w:spacing w:after="0" w:line="312" w:lineRule="auto"/>
        <w:jc w:val="both"/>
        <w:rPr>
          <w:rFonts w:ascii="Arial" w:hAnsi="Arial" w:cs="Arial"/>
        </w:rPr>
      </w:pPr>
      <w:r w:rsidRPr="00A10C60">
        <w:rPr>
          <w:rFonts w:ascii="Arial" w:hAnsi="Arial" w:cs="Arial"/>
          <w:b/>
          <w:bCs/>
        </w:rPr>
        <w:t>Lucro cesante</w:t>
      </w:r>
      <w:r w:rsidR="00B77395">
        <w:rPr>
          <w:rFonts w:ascii="Arial" w:hAnsi="Arial" w:cs="Arial"/>
          <w:b/>
          <w:bCs/>
        </w:rPr>
        <w:t xml:space="preserve"> (consolidado y futuro)</w:t>
      </w:r>
      <w:r w:rsidRPr="00A10C60">
        <w:rPr>
          <w:rFonts w:ascii="Arial" w:hAnsi="Arial" w:cs="Arial"/>
        </w:rPr>
        <w:t xml:space="preserve">: </w:t>
      </w:r>
      <w:r w:rsidR="0016462C">
        <w:rPr>
          <w:rFonts w:ascii="Arial" w:hAnsi="Arial" w:cs="Arial"/>
        </w:rPr>
        <w:t>$0</w:t>
      </w:r>
      <w:r w:rsidR="001A74D5">
        <w:rPr>
          <w:rFonts w:ascii="Arial" w:hAnsi="Arial" w:cs="Arial"/>
        </w:rPr>
        <w:t xml:space="preserve">. </w:t>
      </w:r>
      <w:r w:rsidR="0016462C">
        <w:rPr>
          <w:rFonts w:ascii="Arial" w:hAnsi="Arial" w:cs="Arial"/>
        </w:rPr>
        <w:t>No se reconoce</w:t>
      </w:r>
      <w:r w:rsidR="001A74D5" w:rsidRPr="001A74D5">
        <w:rPr>
          <w:rFonts w:ascii="Arial" w:hAnsi="Arial" w:cs="Arial"/>
        </w:rPr>
        <w:t xml:space="preserve"> </w:t>
      </w:r>
      <w:r w:rsidR="0016462C">
        <w:rPr>
          <w:rFonts w:ascii="Arial" w:hAnsi="Arial" w:cs="Arial"/>
        </w:rPr>
        <w:t>t</w:t>
      </w:r>
      <w:r w:rsidR="001A74D5" w:rsidRPr="001A74D5">
        <w:rPr>
          <w:rFonts w:ascii="Arial" w:hAnsi="Arial" w:cs="Arial"/>
        </w:rPr>
        <w:t xml:space="preserve">oda vez que </w:t>
      </w:r>
      <w:r w:rsidR="0016462C">
        <w:rPr>
          <w:rFonts w:ascii="Arial" w:hAnsi="Arial" w:cs="Arial"/>
        </w:rPr>
        <w:t>no existe prueba si quiera sumaria de la existencia de una labor remunera o de un ingreso dejado de percibir a causa de los hechos</w:t>
      </w:r>
      <w:r w:rsidR="00787528">
        <w:rPr>
          <w:rFonts w:ascii="Arial" w:hAnsi="Arial" w:cs="Arial"/>
        </w:rPr>
        <w:t>.</w:t>
      </w:r>
    </w:p>
    <w:p w14:paraId="15E1AA66" w14:textId="77777777" w:rsidR="00C80005" w:rsidRDefault="00C80005" w:rsidP="0028019A">
      <w:pPr>
        <w:spacing w:after="0" w:line="312" w:lineRule="auto"/>
        <w:jc w:val="both"/>
        <w:rPr>
          <w:rFonts w:ascii="Arial" w:hAnsi="Arial" w:cs="Arial"/>
        </w:rPr>
      </w:pPr>
    </w:p>
    <w:p w14:paraId="393F0645" w14:textId="46C5B3AA" w:rsidR="00C80005" w:rsidRDefault="00C80005" w:rsidP="00C80005">
      <w:pPr>
        <w:pStyle w:val="Prrafodelista"/>
        <w:numPr>
          <w:ilvl w:val="0"/>
          <w:numId w:val="1"/>
        </w:numPr>
        <w:spacing w:after="0" w:line="312" w:lineRule="auto"/>
        <w:jc w:val="both"/>
        <w:rPr>
          <w:rFonts w:ascii="Arial" w:hAnsi="Arial" w:cs="Arial"/>
        </w:rPr>
      </w:pPr>
      <w:r>
        <w:rPr>
          <w:rFonts w:ascii="Arial" w:hAnsi="Arial" w:cs="Arial"/>
        </w:rPr>
        <w:t>No hay deducible</w:t>
      </w:r>
    </w:p>
    <w:p w14:paraId="39C88804" w14:textId="4E79B2EB" w:rsidR="00C80005" w:rsidRPr="00C80005" w:rsidRDefault="00C80005" w:rsidP="00C80005">
      <w:pPr>
        <w:pStyle w:val="Prrafodelista"/>
        <w:numPr>
          <w:ilvl w:val="0"/>
          <w:numId w:val="1"/>
        </w:numPr>
        <w:spacing w:after="0" w:line="312" w:lineRule="auto"/>
        <w:jc w:val="both"/>
        <w:rPr>
          <w:rFonts w:ascii="Arial" w:hAnsi="Arial" w:cs="Arial"/>
        </w:rPr>
      </w:pPr>
      <w:r>
        <w:rPr>
          <w:rFonts w:ascii="Arial" w:hAnsi="Arial" w:cs="Arial"/>
        </w:rPr>
        <w:t>No hay coaseguro</w:t>
      </w:r>
    </w:p>
    <w:sectPr w:rsidR="00C80005" w:rsidRPr="00C8000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D4601" w14:textId="77777777" w:rsidR="008668D4" w:rsidRDefault="008668D4" w:rsidP="004211AC">
      <w:pPr>
        <w:spacing w:after="0" w:line="240" w:lineRule="auto"/>
      </w:pPr>
      <w:r>
        <w:separator/>
      </w:r>
    </w:p>
  </w:endnote>
  <w:endnote w:type="continuationSeparator" w:id="0">
    <w:p w14:paraId="7B1A48D2" w14:textId="77777777" w:rsidR="008668D4" w:rsidRDefault="008668D4" w:rsidP="0042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CE47E" w14:textId="77777777" w:rsidR="008668D4" w:rsidRDefault="008668D4" w:rsidP="004211AC">
      <w:pPr>
        <w:spacing w:after="0" w:line="240" w:lineRule="auto"/>
      </w:pPr>
      <w:r>
        <w:separator/>
      </w:r>
    </w:p>
  </w:footnote>
  <w:footnote w:type="continuationSeparator" w:id="0">
    <w:p w14:paraId="12690021" w14:textId="77777777" w:rsidR="008668D4" w:rsidRDefault="008668D4" w:rsidP="00421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30619"/>
    <w:multiLevelType w:val="hybridMultilevel"/>
    <w:tmpl w:val="D6308E6E"/>
    <w:lvl w:ilvl="0" w:tplc="1DE687C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2997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03"/>
    <w:rsid w:val="00031CB4"/>
    <w:rsid w:val="00042AEF"/>
    <w:rsid w:val="00073163"/>
    <w:rsid w:val="0007402F"/>
    <w:rsid w:val="000A7A8E"/>
    <w:rsid w:val="000D4A9F"/>
    <w:rsid w:val="000E7551"/>
    <w:rsid w:val="00130F00"/>
    <w:rsid w:val="0016462C"/>
    <w:rsid w:val="00167122"/>
    <w:rsid w:val="001A74D5"/>
    <w:rsid w:val="001A772D"/>
    <w:rsid w:val="00204BC4"/>
    <w:rsid w:val="00211328"/>
    <w:rsid w:val="002127F7"/>
    <w:rsid w:val="00246CDA"/>
    <w:rsid w:val="0025018A"/>
    <w:rsid w:val="0028019A"/>
    <w:rsid w:val="002B6589"/>
    <w:rsid w:val="002D1DBE"/>
    <w:rsid w:val="00336CED"/>
    <w:rsid w:val="003831E9"/>
    <w:rsid w:val="00392AE8"/>
    <w:rsid w:val="003D1CF9"/>
    <w:rsid w:val="003E023D"/>
    <w:rsid w:val="003E3232"/>
    <w:rsid w:val="003E4BB9"/>
    <w:rsid w:val="00405B77"/>
    <w:rsid w:val="00407349"/>
    <w:rsid w:val="00407546"/>
    <w:rsid w:val="00416BD0"/>
    <w:rsid w:val="004211AC"/>
    <w:rsid w:val="004264FC"/>
    <w:rsid w:val="0047011A"/>
    <w:rsid w:val="004710AF"/>
    <w:rsid w:val="0050295B"/>
    <w:rsid w:val="005378A2"/>
    <w:rsid w:val="005545CE"/>
    <w:rsid w:val="005B2FF5"/>
    <w:rsid w:val="00611ECF"/>
    <w:rsid w:val="006264AC"/>
    <w:rsid w:val="0065475B"/>
    <w:rsid w:val="00680144"/>
    <w:rsid w:val="006A14A5"/>
    <w:rsid w:val="006D7E4E"/>
    <w:rsid w:val="00704623"/>
    <w:rsid w:val="00705EDA"/>
    <w:rsid w:val="00787528"/>
    <w:rsid w:val="007D30B3"/>
    <w:rsid w:val="0083350E"/>
    <w:rsid w:val="008510E8"/>
    <w:rsid w:val="0085790E"/>
    <w:rsid w:val="008668D4"/>
    <w:rsid w:val="008826E0"/>
    <w:rsid w:val="008C7954"/>
    <w:rsid w:val="008D33BE"/>
    <w:rsid w:val="00912410"/>
    <w:rsid w:val="009247E4"/>
    <w:rsid w:val="009429B6"/>
    <w:rsid w:val="00987543"/>
    <w:rsid w:val="009914B7"/>
    <w:rsid w:val="009A1CDD"/>
    <w:rsid w:val="009A2A03"/>
    <w:rsid w:val="009B204D"/>
    <w:rsid w:val="009F44DF"/>
    <w:rsid w:val="00A10C60"/>
    <w:rsid w:val="00A73902"/>
    <w:rsid w:val="00A945F8"/>
    <w:rsid w:val="00AA41D4"/>
    <w:rsid w:val="00AD299D"/>
    <w:rsid w:val="00AE44E1"/>
    <w:rsid w:val="00B11106"/>
    <w:rsid w:val="00B53F4D"/>
    <w:rsid w:val="00B77395"/>
    <w:rsid w:val="00B806CE"/>
    <w:rsid w:val="00BA728D"/>
    <w:rsid w:val="00BB71F6"/>
    <w:rsid w:val="00C1203F"/>
    <w:rsid w:val="00C214A5"/>
    <w:rsid w:val="00C30DC3"/>
    <w:rsid w:val="00C41657"/>
    <w:rsid w:val="00C56427"/>
    <w:rsid w:val="00C6787F"/>
    <w:rsid w:val="00C70FF8"/>
    <w:rsid w:val="00C80005"/>
    <w:rsid w:val="00C84630"/>
    <w:rsid w:val="00C876BD"/>
    <w:rsid w:val="00C907FA"/>
    <w:rsid w:val="00CA2BA4"/>
    <w:rsid w:val="00CC0B8C"/>
    <w:rsid w:val="00CF5484"/>
    <w:rsid w:val="00D52D74"/>
    <w:rsid w:val="00D80348"/>
    <w:rsid w:val="00D90DB6"/>
    <w:rsid w:val="00D979B8"/>
    <w:rsid w:val="00DD76E7"/>
    <w:rsid w:val="00E57E1C"/>
    <w:rsid w:val="00E61DA4"/>
    <w:rsid w:val="00E92D43"/>
    <w:rsid w:val="00F37112"/>
    <w:rsid w:val="00F56924"/>
    <w:rsid w:val="00F82DD6"/>
    <w:rsid w:val="00FD282C"/>
    <w:rsid w:val="00FE2F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A2AF"/>
  <w15:chartTrackingRefBased/>
  <w15:docId w15:val="{3F44C2C2-E3AE-4D0F-897D-433ADA3D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2A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A2A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A2A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A2A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A2A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A2A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2A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2A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2A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2A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A2A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A2A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2A0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A2A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A2A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2A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2A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2A03"/>
    <w:rPr>
      <w:rFonts w:eastAsiaTheme="majorEastAsia" w:cstheme="majorBidi"/>
      <w:color w:val="272727" w:themeColor="text1" w:themeTint="D8"/>
    </w:rPr>
  </w:style>
  <w:style w:type="paragraph" w:styleId="Ttulo">
    <w:name w:val="Title"/>
    <w:basedOn w:val="Normal"/>
    <w:next w:val="Normal"/>
    <w:link w:val="TtuloCar"/>
    <w:uiPriority w:val="10"/>
    <w:qFormat/>
    <w:rsid w:val="009A2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2A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2A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2A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2A03"/>
    <w:pPr>
      <w:spacing w:before="160"/>
      <w:jc w:val="center"/>
    </w:pPr>
    <w:rPr>
      <w:i/>
      <w:iCs/>
      <w:color w:val="404040" w:themeColor="text1" w:themeTint="BF"/>
    </w:rPr>
  </w:style>
  <w:style w:type="character" w:customStyle="1" w:styleId="CitaCar">
    <w:name w:val="Cita Car"/>
    <w:basedOn w:val="Fuentedeprrafopredeter"/>
    <w:link w:val="Cita"/>
    <w:uiPriority w:val="29"/>
    <w:rsid w:val="009A2A03"/>
    <w:rPr>
      <w:i/>
      <w:iCs/>
      <w:color w:val="404040" w:themeColor="text1" w:themeTint="BF"/>
    </w:rPr>
  </w:style>
  <w:style w:type="paragraph" w:styleId="Prrafodelista">
    <w:name w:val="List Paragraph"/>
    <w:basedOn w:val="Normal"/>
    <w:uiPriority w:val="34"/>
    <w:qFormat/>
    <w:rsid w:val="009A2A03"/>
    <w:pPr>
      <w:ind w:left="720"/>
      <w:contextualSpacing/>
    </w:pPr>
  </w:style>
  <w:style w:type="character" w:styleId="nfasisintenso">
    <w:name w:val="Intense Emphasis"/>
    <w:basedOn w:val="Fuentedeprrafopredeter"/>
    <w:uiPriority w:val="21"/>
    <w:qFormat/>
    <w:rsid w:val="009A2A03"/>
    <w:rPr>
      <w:i/>
      <w:iCs/>
      <w:color w:val="0F4761" w:themeColor="accent1" w:themeShade="BF"/>
    </w:rPr>
  </w:style>
  <w:style w:type="paragraph" w:styleId="Citadestacada">
    <w:name w:val="Intense Quote"/>
    <w:basedOn w:val="Normal"/>
    <w:next w:val="Normal"/>
    <w:link w:val="CitadestacadaCar"/>
    <w:uiPriority w:val="30"/>
    <w:qFormat/>
    <w:rsid w:val="009A2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2A03"/>
    <w:rPr>
      <w:i/>
      <w:iCs/>
      <w:color w:val="0F4761" w:themeColor="accent1" w:themeShade="BF"/>
    </w:rPr>
  </w:style>
  <w:style w:type="character" w:styleId="Referenciaintensa">
    <w:name w:val="Intense Reference"/>
    <w:basedOn w:val="Fuentedeprrafopredeter"/>
    <w:uiPriority w:val="32"/>
    <w:qFormat/>
    <w:rsid w:val="009A2A03"/>
    <w:rPr>
      <w:b/>
      <w:bCs/>
      <w:smallCaps/>
      <w:color w:val="0F4761" w:themeColor="accent1" w:themeShade="BF"/>
      <w:spacing w:val="5"/>
    </w:rPr>
  </w:style>
  <w:style w:type="paragraph" w:styleId="Textonotapie">
    <w:name w:val="footnote text"/>
    <w:basedOn w:val="Normal"/>
    <w:link w:val="TextonotapieCar"/>
    <w:uiPriority w:val="99"/>
    <w:semiHidden/>
    <w:unhideWhenUsed/>
    <w:rsid w:val="004211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11AC"/>
    <w:rPr>
      <w:sz w:val="20"/>
      <w:szCs w:val="20"/>
    </w:rPr>
  </w:style>
  <w:style w:type="character" w:styleId="Refdenotaalpie">
    <w:name w:val="footnote reference"/>
    <w:basedOn w:val="Fuentedeprrafopredeter"/>
    <w:uiPriority w:val="99"/>
    <w:semiHidden/>
    <w:unhideWhenUsed/>
    <w:rsid w:val="004211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5217">
      <w:bodyDiv w:val="1"/>
      <w:marLeft w:val="0"/>
      <w:marRight w:val="0"/>
      <w:marTop w:val="0"/>
      <w:marBottom w:val="0"/>
      <w:divBdr>
        <w:top w:val="none" w:sz="0" w:space="0" w:color="auto"/>
        <w:left w:val="none" w:sz="0" w:space="0" w:color="auto"/>
        <w:bottom w:val="none" w:sz="0" w:space="0" w:color="auto"/>
        <w:right w:val="none" w:sz="0" w:space="0" w:color="auto"/>
      </w:divBdr>
      <w:divsChild>
        <w:div w:id="975452063">
          <w:marLeft w:val="0"/>
          <w:marRight w:val="0"/>
          <w:marTop w:val="0"/>
          <w:marBottom w:val="0"/>
          <w:divBdr>
            <w:top w:val="none" w:sz="0" w:space="0" w:color="auto"/>
            <w:left w:val="none" w:sz="0" w:space="0" w:color="auto"/>
            <w:bottom w:val="none" w:sz="0" w:space="0" w:color="auto"/>
            <w:right w:val="none" w:sz="0" w:space="0" w:color="auto"/>
          </w:divBdr>
        </w:div>
        <w:div w:id="1699159656">
          <w:marLeft w:val="0"/>
          <w:marRight w:val="0"/>
          <w:marTop w:val="0"/>
          <w:marBottom w:val="0"/>
          <w:divBdr>
            <w:top w:val="none" w:sz="0" w:space="0" w:color="auto"/>
            <w:left w:val="none" w:sz="0" w:space="0" w:color="auto"/>
            <w:bottom w:val="none" w:sz="0" w:space="0" w:color="auto"/>
            <w:right w:val="none" w:sz="0" w:space="0" w:color="auto"/>
          </w:divBdr>
        </w:div>
      </w:divsChild>
    </w:div>
    <w:div w:id="1720204497">
      <w:bodyDiv w:val="1"/>
      <w:marLeft w:val="0"/>
      <w:marRight w:val="0"/>
      <w:marTop w:val="0"/>
      <w:marBottom w:val="0"/>
      <w:divBdr>
        <w:top w:val="none" w:sz="0" w:space="0" w:color="auto"/>
        <w:left w:val="none" w:sz="0" w:space="0" w:color="auto"/>
        <w:bottom w:val="none" w:sz="0" w:space="0" w:color="auto"/>
        <w:right w:val="none" w:sz="0" w:space="0" w:color="auto"/>
      </w:divBdr>
      <w:divsChild>
        <w:div w:id="1005596254">
          <w:marLeft w:val="0"/>
          <w:marRight w:val="0"/>
          <w:marTop w:val="0"/>
          <w:marBottom w:val="0"/>
          <w:divBdr>
            <w:top w:val="none" w:sz="0" w:space="0" w:color="auto"/>
            <w:left w:val="none" w:sz="0" w:space="0" w:color="auto"/>
            <w:bottom w:val="none" w:sz="0" w:space="0" w:color="auto"/>
            <w:right w:val="none" w:sz="0" w:space="0" w:color="auto"/>
          </w:divBdr>
        </w:div>
        <w:div w:id="1474174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455E1-89EF-4024-8CF2-E72CE7DA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870</Words>
  <Characters>4786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Rivera Agredo</dc:creator>
  <cp:keywords/>
  <dc:description/>
  <cp:lastModifiedBy>Javier Rivera Agredo</cp:lastModifiedBy>
  <cp:revision>85</cp:revision>
  <dcterms:created xsi:type="dcterms:W3CDTF">2024-10-07T14:45:00Z</dcterms:created>
  <dcterms:modified xsi:type="dcterms:W3CDTF">2025-05-28T14:13:00Z</dcterms:modified>
</cp:coreProperties>
</file>