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2395" w14:textId="366719AB" w:rsidR="00B9243D" w:rsidRDefault="002D2FD3" w:rsidP="002D2FD3">
      <w:pPr>
        <w:jc w:val="center"/>
      </w:pPr>
      <w:r w:rsidRPr="002D2FD3">
        <w:rPr>
          <w:noProof/>
        </w:rPr>
        <w:drawing>
          <wp:inline distT="0" distB="0" distL="0" distR="0" wp14:anchorId="78DED28E" wp14:editId="7F9947DE">
            <wp:extent cx="4181475" cy="1343025"/>
            <wp:effectExtent l="0" t="0" r="9525" b="9525"/>
            <wp:docPr id="2968389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68781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center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Rama Judicial del Poder Público</w:t>
      </w:r>
    </w:p>
    <w:p w14:paraId="60D923E6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center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JUZGADO DÉCIMO CIVIL DEL CIRCUITO DE BOGOTÁ D.C.</w:t>
      </w:r>
    </w:p>
    <w:p w14:paraId="054305B3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center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Carrera 9 No. 11-45 Piso 4</w:t>
      </w:r>
    </w:p>
    <w:p w14:paraId="773E6104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center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Edificio El Virrey Torre Central</w:t>
      </w:r>
    </w:p>
    <w:p w14:paraId="2F1CD11D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center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Teléfono (601) 3432666 Ext. 71310</w:t>
      </w:r>
    </w:p>
    <w:p w14:paraId="7F8F0658" w14:textId="3C986972" w:rsidR="00324747" w:rsidRDefault="00324747" w:rsidP="00324747">
      <w:pPr>
        <w:autoSpaceDE w:val="0"/>
        <w:autoSpaceDN w:val="0"/>
        <w:adjustRightInd w:val="0"/>
        <w:spacing w:after="0" w:line="240" w:lineRule="auto"/>
        <w:jc w:val="center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_________________________________________________________________________</w:t>
      </w:r>
    </w:p>
    <w:p w14:paraId="2CF362BE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center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Bogotá D.C., veinte de mayo de dos mil veinticuatro</w:t>
      </w:r>
    </w:p>
    <w:p w14:paraId="5307FCAB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kern w:val="0"/>
          <w:sz w:val="20"/>
          <w:szCs w:val="20"/>
          <w:lang w:val="es-CO"/>
        </w:rPr>
      </w:pPr>
    </w:p>
    <w:p w14:paraId="101FE7C5" w14:textId="0ACFC8B0" w:rsidR="00324747" w:rsidRDefault="00324747" w:rsidP="00324747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kern w:val="0"/>
          <w:sz w:val="20"/>
          <w:szCs w:val="20"/>
          <w:lang w:val="es-CO"/>
        </w:rPr>
      </w:pPr>
      <w:r>
        <w:rPr>
          <w:rFonts w:ascii="ErasITC-Medium" w:hAnsi="ErasITC-Medium" w:cs="ErasITC-Medium"/>
          <w:kern w:val="0"/>
          <w:sz w:val="20"/>
          <w:szCs w:val="20"/>
          <w:lang w:val="es-CO"/>
        </w:rPr>
        <w:t xml:space="preserve">REFERENCIA: </w:t>
      </w:r>
      <w:r>
        <w:rPr>
          <w:rFonts w:ascii="ErasITC-Medium" w:hAnsi="ErasITC-Medium" w:cs="ErasITC-Medium"/>
          <w:kern w:val="0"/>
          <w:sz w:val="20"/>
          <w:szCs w:val="20"/>
          <w:lang w:val="es-CO"/>
        </w:rPr>
        <w:tab/>
      </w:r>
      <w:r>
        <w:rPr>
          <w:rFonts w:ascii="ErasITC-Medium" w:hAnsi="ErasITC-Medium" w:cs="ErasITC-Medium"/>
          <w:kern w:val="0"/>
          <w:sz w:val="20"/>
          <w:szCs w:val="20"/>
          <w:lang w:val="es-CO"/>
        </w:rPr>
        <w:t>PROCESO EJECUTIVO SINGULAR DE MAYOR CUANTÍA</w:t>
      </w:r>
    </w:p>
    <w:p w14:paraId="330B34C1" w14:textId="6052CF1E" w:rsidR="00324747" w:rsidRDefault="00324747" w:rsidP="00324747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kern w:val="0"/>
          <w:sz w:val="20"/>
          <w:szCs w:val="20"/>
          <w:lang w:val="es-CO"/>
        </w:rPr>
      </w:pPr>
      <w:r>
        <w:rPr>
          <w:rFonts w:ascii="ErasITC-Medium" w:hAnsi="ErasITC-Medium" w:cs="ErasITC-Medium"/>
          <w:kern w:val="0"/>
          <w:sz w:val="20"/>
          <w:szCs w:val="20"/>
          <w:lang w:val="es-CO"/>
        </w:rPr>
        <w:t xml:space="preserve">RADICADO: </w:t>
      </w:r>
      <w:r>
        <w:rPr>
          <w:rFonts w:ascii="ErasITC-Medium" w:hAnsi="ErasITC-Medium" w:cs="ErasITC-Medium"/>
          <w:kern w:val="0"/>
          <w:sz w:val="20"/>
          <w:szCs w:val="20"/>
          <w:lang w:val="es-CO"/>
        </w:rPr>
        <w:tab/>
      </w:r>
      <w:r>
        <w:rPr>
          <w:rFonts w:ascii="ErasITC-Medium" w:hAnsi="ErasITC-Medium" w:cs="ErasITC-Medium"/>
          <w:kern w:val="0"/>
          <w:sz w:val="20"/>
          <w:szCs w:val="20"/>
          <w:lang w:val="es-CO"/>
        </w:rPr>
        <w:t>11001310301020120069000</w:t>
      </w:r>
    </w:p>
    <w:p w14:paraId="4FF38ED4" w14:textId="63E0A12A" w:rsidR="00324747" w:rsidRDefault="00324747" w:rsidP="00324747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kern w:val="0"/>
          <w:sz w:val="20"/>
          <w:szCs w:val="20"/>
          <w:lang w:val="es-CO"/>
        </w:rPr>
      </w:pPr>
      <w:r>
        <w:rPr>
          <w:rFonts w:ascii="ErasITC-Medium" w:hAnsi="ErasITC-Medium" w:cs="ErasITC-Medium"/>
          <w:kern w:val="0"/>
          <w:sz w:val="20"/>
          <w:szCs w:val="20"/>
          <w:lang w:val="es-CO"/>
        </w:rPr>
        <w:t xml:space="preserve">EJECUTANTE: </w:t>
      </w:r>
      <w:r>
        <w:rPr>
          <w:rFonts w:ascii="ErasITC-Medium" w:hAnsi="ErasITC-Medium" w:cs="ErasITC-Medium"/>
          <w:kern w:val="0"/>
          <w:sz w:val="20"/>
          <w:szCs w:val="20"/>
          <w:lang w:val="es-CO"/>
        </w:rPr>
        <w:tab/>
      </w:r>
      <w:r>
        <w:rPr>
          <w:rFonts w:ascii="ErasITC-Medium" w:hAnsi="ErasITC-Medium" w:cs="ErasITC-Medium"/>
          <w:kern w:val="0"/>
          <w:sz w:val="20"/>
          <w:szCs w:val="20"/>
          <w:lang w:val="es-CO"/>
        </w:rPr>
        <w:t>INDUSTRIA DE MUEBLES DEL VALLE S.A. - INVAL S.A.</w:t>
      </w:r>
    </w:p>
    <w:p w14:paraId="4DBB3621" w14:textId="3B93BE58" w:rsidR="00324747" w:rsidRDefault="00324747" w:rsidP="00324747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kern w:val="0"/>
          <w:sz w:val="20"/>
          <w:szCs w:val="20"/>
          <w:lang w:val="es-CO"/>
        </w:rPr>
      </w:pPr>
      <w:r>
        <w:rPr>
          <w:rFonts w:ascii="ErasITC-Medium" w:hAnsi="ErasITC-Medium" w:cs="ErasITC-Medium"/>
          <w:kern w:val="0"/>
          <w:sz w:val="20"/>
          <w:szCs w:val="20"/>
          <w:lang w:val="es-CO"/>
        </w:rPr>
        <w:t xml:space="preserve">EJECUTADO: </w:t>
      </w:r>
      <w:r>
        <w:rPr>
          <w:rFonts w:ascii="ErasITC-Medium" w:hAnsi="ErasITC-Medium" w:cs="ErasITC-Medium"/>
          <w:kern w:val="0"/>
          <w:sz w:val="20"/>
          <w:szCs w:val="20"/>
          <w:lang w:val="es-CO"/>
        </w:rPr>
        <w:tab/>
      </w:r>
      <w:r>
        <w:rPr>
          <w:rFonts w:ascii="ErasITC-Medium" w:hAnsi="ErasITC-Medium" w:cs="ErasITC-Medium"/>
          <w:kern w:val="0"/>
          <w:sz w:val="20"/>
          <w:szCs w:val="20"/>
          <w:lang w:val="es-CO"/>
        </w:rPr>
        <w:t>SEGUREXPO DE COLOMBIA S.A. - ASEGURADORA DE CRÉDITO Y COMERCIO</w:t>
      </w:r>
    </w:p>
    <w:p w14:paraId="22186509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ErasITC-Medium" w:hAnsi="ErasITC-Medium" w:cs="ErasITC-Medium"/>
          <w:kern w:val="0"/>
          <w:sz w:val="20"/>
          <w:szCs w:val="20"/>
          <w:lang w:val="es-CO"/>
        </w:rPr>
      </w:pPr>
      <w:r>
        <w:rPr>
          <w:rFonts w:ascii="ErasITC-Medium" w:hAnsi="ErasITC-Medium" w:cs="ErasITC-Medium"/>
          <w:kern w:val="0"/>
          <w:sz w:val="20"/>
          <w:szCs w:val="20"/>
          <w:lang w:val="es-CO"/>
        </w:rPr>
        <w:t>EXTERIOR</w:t>
      </w:r>
    </w:p>
    <w:p w14:paraId="4A8927FC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rPr>
          <w:rFonts w:ascii="ErasITC-Medium" w:hAnsi="ErasITC-Medium" w:cs="ErasITC-Medium"/>
          <w:kern w:val="0"/>
          <w:sz w:val="24"/>
          <w:szCs w:val="24"/>
          <w:lang w:val="es-CO"/>
        </w:rPr>
      </w:pPr>
    </w:p>
    <w:p w14:paraId="6EC43848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</w:p>
    <w:p w14:paraId="582ABFB1" w14:textId="6B17E98A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En atención a la solicitud que eleva el apoderado judicial de la entidad accionada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SEGUREXPO DE COLOMBIA S.A. en escrito allegado el día tres (03) de abril de dos mil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veinticuatro (2024), en consonancia con lo dispuesto por este Despacho mediante auto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del quince (15) de agosto de dos mil veintitrés (2023)</w:t>
      </w:r>
      <w:r>
        <w:rPr>
          <w:rFonts w:ascii="ErasITC-Medium" w:hAnsi="ErasITC-Medium" w:cs="ErasITC-Medium"/>
          <w:kern w:val="0"/>
          <w:sz w:val="16"/>
          <w:szCs w:val="16"/>
          <w:lang w:val="es-CO"/>
        </w:rPr>
        <w:t>1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, se REQUIERE a Secretaría para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que realice la entrega del título de depósito judicial a que allí se hizo alusión en el numeral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1.2, por valor de $1.364.338,46, amén de haberse cumplido por la entidad con el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requerimiento de información y documentos para materializar la entrega, acorde con el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memorial incorporado desde el 22 de noviembre de 2023</w:t>
      </w:r>
      <w:r>
        <w:rPr>
          <w:rFonts w:ascii="ErasITC-Medium" w:hAnsi="ErasITC-Medium" w:cs="ErasITC-Medium"/>
          <w:kern w:val="0"/>
          <w:sz w:val="16"/>
          <w:szCs w:val="16"/>
          <w:lang w:val="es-CO"/>
        </w:rPr>
        <w:t>2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.</w:t>
      </w:r>
    </w:p>
    <w:p w14:paraId="06EF9EDB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</w:p>
    <w:p w14:paraId="0C4346C4" w14:textId="7578A486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Efectuada la entrega del precitado título, vuelva el expediente al Despacho para decidir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lo pertinente sobre la solicitud de terminación del proceso elevada por la entidad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 xml:space="preserve"> </w:t>
      </w:r>
      <w:r>
        <w:rPr>
          <w:rFonts w:ascii="ErasITC-Medium" w:hAnsi="ErasITC-Medium" w:cs="ErasITC-Medium"/>
          <w:kern w:val="0"/>
          <w:sz w:val="24"/>
          <w:szCs w:val="24"/>
          <w:lang w:val="es-CO"/>
        </w:rPr>
        <w:t>ejecutada.</w:t>
      </w:r>
    </w:p>
    <w:p w14:paraId="07D53967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</w:p>
    <w:p w14:paraId="0BFE7A2A" w14:textId="304CA7FC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Notifíquese y Cúmplase,</w:t>
      </w:r>
    </w:p>
    <w:p w14:paraId="3C95BF79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</w:p>
    <w:p w14:paraId="3CA15022" w14:textId="1A07E981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FELIPE PABLO MOJICA CORTÉS</w:t>
      </w:r>
    </w:p>
    <w:p w14:paraId="138C0F02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ErasITC-Medium" w:hAnsi="ErasITC-Medium" w:cs="ErasITC-Medium"/>
          <w:kern w:val="0"/>
          <w:sz w:val="24"/>
          <w:szCs w:val="24"/>
          <w:lang w:val="es-CO"/>
        </w:rPr>
      </w:pPr>
      <w:r>
        <w:rPr>
          <w:rFonts w:ascii="ErasITC-Medium" w:hAnsi="ErasITC-Medium" w:cs="ErasITC-Medium"/>
          <w:kern w:val="0"/>
          <w:sz w:val="24"/>
          <w:szCs w:val="24"/>
          <w:lang w:val="es-CO"/>
        </w:rPr>
        <w:t>Juez</w:t>
      </w:r>
    </w:p>
    <w:p w14:paraId="2DCBFAB9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10"/>
          <w:szCs w:val="10"/>
          <w:lang w:val="es-CO"/>
        </w:rPr>
      </w:pPr>
    </w:p>
    <w:p w14:paraId="11B06B06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10"/>
          <w:szCs w:val="10"/>
          <w:lang w:val="es-CO"/>
        </w:rPr>
      </w:pPr>
    </w:p>
    <w:p w14:paraId="6F184B1E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10"/>
          <w:szCs w:val="10"/>
          <w:lang w:val="es-CO"/>
        </w:rPr>
      </w:pPr>
    </w:p>
    <w:p w14:paraId="267E6B5E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10"/>
          <w:szCs w:val="10"/>
          <w:lang w:val="es-CO"/>
        </w:rPr>
      </w:pPr>
    </w:p>
    <w:p w14:paraId="514FEFC9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10"/>
          <w:szCs w:val="10"/>
          <w:lang w:val="es-CO"/>
        </w:rPr>
      </w:pPr>
    </w:p>
    <w:p w14:paraId="0A983D04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10"/>
          <w:szCs w:val="10"/>
          <w:lang w:val="es-CO"/>
        </w:rPr>
      </w:pPr>
    </w:p>
    <w:p w14:paraId="20A4C23A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10"/>
          <w:szCs w:val="10"/>
          <w:lang w:val="es-CO"/>
        </w:rPr>
      </w:pPr>
    </w:p>
    <w:p w14:paraId="21B2DE55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10"/>
          <w:szCs w:val="10"/>
          <w:lang w:val="es-CO"/>
        </w:rPr>
      </w:pPr>
    </w:p>
    <w:p w14:paraId="5F4E72BB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10"/>
          <w:szCs w:val="10"/>
          <w:lang w:val="es-CO"/>
        </w:rPr>
      </w:pPr>
    </w:p>
    <w:p w14:paraId="56CDC360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10"/>
          <w:szCs w:val="10"/>
          <w:lang w:val="es-CO"/>
        </w:rPr>
      </w:pPr>
    </w:p>
    <w:p w14:paraId="101D7B41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10"/>
          <w:szCs w:val="10"/>
          <w:lang w:val="es-CO"/>
        </w:rPr>
      </w:pPr>
    </w:p>
    <w:p w14:paraId="4A80472F" w14:textId="77777777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10"/>
          <w:szCs w:val="10"/>
          <w:lang w:val="es-CO"/>
        </w:rPr>
      </w:pPr>
    </w:p>
    <w:p w14:paraId="7F286D5B" w14:textId="3F76A4C5" w:rsidR="00324747" w:rsidRDefault="00324747" w:rsidP="003247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16"/>
          <w:szCs w:val="16"/>
          <w:lang w:val="es-CO"/>
        </w:rPr>
      </w:pPr>
      <w:r>
        <w:rPr>
          <w:rFonts w:ascii="Calibri" w:hAnsi="Calibri" w:cs="Calibri"/>
          <w:kern w:val="0"/>
          <w:sz w:val="10"/>
          <w:szCs w:val="10"/>
          <w:lang w:val="es-CO"/>
        </w:rPr>
        <w:t xml:space="preserve">1 </w:t>
      </w:r>
      <w:r>
        <w:rPr>
          <w:rFonts w:ascii="Calibri" w:hAnsi="Calibri" w:cs="Calibri"/>
          <w:kern w:val="0"/>
          <w:sz w:val="16"/>
          <w:szCs w:val="16"/>
          <w:lang w:val="es-CO"/>
        </w:rPr>
        <w:t>Archivo de formato PDF “</w:t>
      </w:r>
      <w:proofErr w:type="gramStart"/>
      <w:r>
        <w:rPr>
          <w:rFonts w:ascii="Calibri-Italic" w:hAnsi="Calibri-Italic" w:cs="Calibri-Italic"/>
          <w:i/>
          <w:iCs/>
          <w:kern w:val="0"/>
          <w:sz w:val="16"/>
          <w:szCs w:val="16"/>
          <w:lang w:val="es-CO"/>
        </w:rPr>
        <w:t>11.AutoResuelveSolicitud</w:t>
      </w:r>
      <w:proofErr w:type="gramEnd"/>
      <w:r>
        <w:rPr>
          <w:rFonts w:ascii="Calibri-Italic" w:hAnsi="Calibri-Italic" w:cs="Calibri-Italic"/>
          <w:i/>
          <w:iCs/>
          <w:kern w:val="0"/>
          <w:sz w:val="16"/>
          <w:szCs w:val="16"/>
          <w:lang w:val="es-CO"/>
        </w:rPr>
        <w:t xml:space="preserve">” </w:t>
      </w:r>
      <w:r>
        <w:rPr>
          <w:rFonts w:ascii="Calibri" w:hAnsi="Calibri" w:cs="Calibri"/>
          <w:kern w:val="0"/>
          <w:sz w:val="16"/>
          <w:szCs w:val="16"/>
          <w:lang w:val="es-CO"/>
        </w:rPr>
        <w:t>de la carpeta “</w:t>
      </w:r>
      <w:r>
        <w:rPr>
          <w:rFonts w:ascii="Calibri-Italic" w:hAnsi="Calibri-Italic" w:cs="Calibri-Italic"/>
          <w:i/>
          <w:iCs/>
          <w:kern w:val="0"/>
          <w:sz w:val="16"/>
          <w:szCs w:val="16"/>
          <w:lang w:val="es-CO"/>
        </w:rPr>
        <w:t xml:space="preserve">01CuadernoPrincipal” </w:t>
      </w:r>
      <w:r>
        <w:rPr>
          <w:rFonts w:ascii="Calibri" w:hAnsi="Calibri" w:cs="Calibri"/>
          <w:kern w:val="0"/>
          <w:sz w:val="16"/>
          <w:szCs w:val="16"/>
          <w:lang w:val="es-CO"/>
        </w:rPr>
        <w:t>del expediente electrónico.</w:t>
      </w:r>
    </w:p>
    <w:p w14:paraId="44FFCB6B" w14:textId="4CF82DA6" w:rsidR="002D2FD3" w:rsidRDefault="00324747" w:rsidP="00324747">
      <w:pPr>
        <w:jc w:val="both"/>
      </w:pPr>
      <w:r>
        <w:rPr>
          <w:rFonts w:ascii="Calibri" w:hAnsi="Calibri" w:cs="Calibri"/>
          <w:kern w:val="0"/>
          <w:sz w:val="10"/>
          <w:szCs w:val="10"/>
          <w:lang w:val="es-CO"/>
        </w:rPr>
        <w:t xml:space="preserve">2 </w:t>
      </w:r>
      <w:r>
        <w:rPr>
          <w:rFonts w:ascii="Calibri" w:hAnsi="Calibri" w:cs="Calibri"/>
          <w:kern w:val="0"/>
          <w:sz w:val="16"/>
          <w:szCs w:val="16"/>
          <w:lang w:val="es-CO"/>
        </w:rPr>
        <w:t>Archivo de formato PDF “</w:t>
      </w:r>
      <w:proofErr w:type="gramStart"/>
      <w:r>
        <w:rPr>
          <w:rFonts w:ascii="Calibri-Italic" w:hAnsi="Calibri-Italic" w:cs="Calibri-Italic"/>
          <w:i/>
          <w:iCs/>
          <w:kern w:val="0"/>
          <w:sz w:val="16"/>
          <w:szCs w:val="16"/>
          <w:lang w:val="es-CO"/>
        </w:rPr>
        <w:t>30.CumplimientoAuto</w:t>
      </w:r>
      <w:proofErr w:type="gramEnd"/>
      <w:r>
        <w:rPr>
          <w:rFonts w:ascii="Calibri-Italic" w:hAnsi="Calibri-Italic" w:cs="Calibri-Italic"/>
          <w:i/>
          <w:iCs/>
          <w:kern w:val="0"/>
          <w:sz w:val="16"/>
          <w:szCs w:val="16"/>
          <w:lang w:val="es-CO"/>
        </w:rPr>
        <w:t xml:space="preserve">” </w:t>
      </w:r>
      <w:r>
        <w:rPr>
          <w:rFonts w:ascii="Calibri" w:hAnsi="Calibri" w:cs="Calibri"/>
          <w:kern w:val="0"/>
          <w:sz w:val="16"/>
          <w:szCs w:val="16"/>
          <w:lang w:val="es-CO"/>
        </w:rPr>
        <w:t>ídem.</w:t>
      </w:r>
    </w:p>
    <w:sectPr w:rsidR="002D2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ITC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D3"/>
    <w:rsid w:val="002D2FD3"/>
    <w:rsid w:val="00324747"/>
    <w:rsid w:val="00737460"/>
    <w:rsid w:val="007946CC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1563"/>
  <w15:chartTrackingRefBased/>
  <w15:docId w15:val="{C8105E2D-B03B-4E70-9851-1B0CC4D4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2024-05-21T22:42:00Z</dcterms:created>
  <dcterms:modified xsi:type="dcterms:W3CDTF">2024-05-21T22:44:00Z</dcterms:modified>
</cp:coreProperties>
</file>