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265A5" w14:textId="77777777" w:rsidR="006D5181" w:rsidRPr="00B63455" w:rsidRDefault="006D5181" w:rsidP="00B63455">
      <w:pPr>
        <w:spacing w:after="0" w:line="312" w:lineRule="auto"/>
        <w:ind w:left="14" w:firstLine="0"/>
        <w:jc w:val="left"/>
      </w:pPr>
    </w:p>
    <w:p w14:paraId="4430484C" w14:textId="6C83EEF9" w:rsidR="00CC7A03" w:rsidRPr="00B63455" w:rsidRDefault="00CC7A03" w:rsidP="00B63455">
      <w:pPr>
        <w:spacing w:after="0" w:line="312" w:lineRule="auto"/>
      </w:pPr>
      <w:r w:rsidRPr="00B63455">
        <w:t>Honorable</w:t>
      </w:r>
    </w:p>
    <w:p w14:paraId="0B5257F7" w14:textId="77777777" w:rsidR="00CC7A03" w:rsidRPr="00B63455" w:rsidRDefault="00CC7A03" w:rsidP="00B63455">
      <w:pPr>
        <w:spacing w:after="0" w:line="312" w:lineRule="auto"/>
        <w:rPr>
          <w:b/>
          <w:bCs/>
          <w:lang w:val="it-IT"/>
        </w:rPr>
      </w:pPr>
      <w:r w:rsidRPr="00B63455">
        <w:rPr>
          <w:b/>
          <w:bCs/>
          <w:lang w:val="it-IT"/>
        </w:rPr>
        <w:t>TRIBUNAL ADMINISTRATIVO DEL VALLE DEL CAUCA</w:t>
      </w:r>
    </w:p>
    <w:p w14:paraId="710555BA" w14:textId="1C73C9F5" w:rsidR="00CC7A03" w:rsidRPr="00B63455" w:rsidRDefault="00CC7A03" w:rsidP="00B63455">
      <w:pPr>
        <w:spacing w:after="0" w:line="312" w:lineRule="auto"/>
        <w:rPr>
          <w:b/>
          <w:bCs/>
          <w:lang w:val="it-IT"/>
        </w:rPr>
      </w:pPr>
      <w:r w:rsidRPr="00B63455">
        <w:rPr>
          <w:lang w:val="it-IT"/>
        </w:rPr>
        <w:t>Magistrad</w:t>
      </w:r>
      <w:r w:rsidR="00DA070E" w:rsidRPr="00B63455">
        <w:rPr>
          <w:lang w:val="it-IT"/>
        </w:rPr>
        <w:t>a</w:t>
      </w:r>
      <w:r w:rsidRPr="00B63455">
        <w:rPr>
          <w:lang w:val="it-IT"/>
        </w:rPr>
        <w:t xml:space="preserve"> ponente Dra.</w:t>
      </w:r>
      <w:r w:rsidRPr="00B63455">
        <w:rPr>
          <w:b/>
          <w:bCs/>
          <w:lang w:val="it-IT"/>
        </w:rPr>
        <w:t xml:space="preserve"> Katia Alexandra Domínguez Garcés</w:t>
      </w:r>
    </w:p>
    <w:p w14:paraId="44C18D05" w14:textId="305F3BDF" w:rsidR="009E53B9" w:rsidRPr="00B63455" w:rsidRDefault="00DA070E" w:rsidP="00B63455">
      <w:pPr>
        <w:spacing w:after="0" w:line="312" w:lineRule="auto"/>
        <w:ind w:left="14" w:firstLine="0"/>
        <w:jc w:val="left"/>
      </w:pPr>
      <w:hyperlink r:id="rId8" w:history="1">
        <w:r w:rsidRPr="00B63455">
          <w:rPr>
            <w:rStyle w:val="Hipervnculo"/>
          </w:rPr>
          <w:t>rpmemorialestadmvcauca@cendoj.ramajudicial.gov.co</w:t>
        </w:r>
      </w:hyperlink>
      <w:r w:rsidRPr="00B63455">
        <w:t xml:space="preserve"> </w:t>
      </w:r>
    </w:p>
    <w:p w14:paraId="7C7190F4" w14:textId="2E0EFB78" w:rsidR="00C53004" w:rsidRPr="00B63455" w:rsidRDefault="00C53004" w:rsidP="00B63455">
      <w:pPr>
        <w:spacing w:after="0" w:line="312" w:lineRule="auto"/>
        <w:ind w:left="14" w:firstLine="0"/>
        <w:jc w:val="left"/>
      </w:pPr>
    </w:p>
    <w:p w14:paraId="7350D1A4" w14:textId="77777777" w:rsidR="00BF3DDF" w:rsidRPr="00B63455" w:rsidRDefault="00BF3DDF" w:rsidP="00B63455">
      <w:pPr>
        <w:spacing w:after="0" w:line="312" w:lineRule="auto"/>
        <w:ind w:left="2489" w:hanging="2490"/>
        <w:rPr>
          <w:b/>
          <w:bCs/>
        </w:rPr>
      </w:pPr>
    </w:p>
    <w:p w14:paraId="2BD2D59B" w14:textId="2429D158" w:rsidR="00C53004" w:rsidRPr="00B63455" w:rsidRDefault="00C53004" w:rsidP="00B63455">
      <w:pPr>
        <w:spacing w:after="0" w:line="312" w:lineRule="auto"/>
        <w:ind w:left="2489" w:hanging="2490"/>
        <w:rPr>
          <w:b/>
          <w:bCs/>
        </w:rPr>
      </w:pPr>
      <w:r w:rsidRPr="00B63455">
        <w:rPr>
          <w:b/>
          <w:bCs/>
        </w:rPr>
        <w:t xml:space="preserve">REFERENCIA:    </w:t>
      </w:r>
      <w:r w:rsidRPr="00B63455">
        <w:rPr>
          <w:b/>
          <w:bCs/>
        </w:rPr>
        <w:tab/>
      </w:r>
      <w:r w:rsidR="00CC7A03" w:rsidRPr="00B63455">
        <w:rPr>
          <w:b/>
          <w:bCs/>
          <w:u w:val="single"/>
        </w:rPr>
        <w:t>SOLICITUD DE ACLARACIÓN Y</w:t>
      </w:r>
      <w:r w:rsidR="00DA070E" w:rsidRPr="00B63455">
        <w:rPr>
          <w:b/>
          <w:bCs/>
          <w:u w:val="single"/>
        </w:rPr>
        <w:t xml:space="preserve"> </w:t>
      </w:r>
      <w:r w:rsidR="00CC7A03" w:rsidRPr="00B63455">
        <w:rPr>
          <w:b/>
          <w:bCs/>
          <w:u w:val="single"/>
        </w:rPr>
        <w:t xml:space="preserve">ADICION </w:t>
      </w:r>
      <w:r w:rsidR="00FD496C" w:rsidRPr="00B63455">
        <w:rPr>
          <w:b/>
          <w:bCs/>
          <w:u w:val="single"/>
        </w:rPr>
        <w:t xml:space="preserve">DE LA </w:t>
      </w:r>
      <w:r w:rsidR="00CC7A03" w:rsidRPr="00B63455">
        <w:rPr>
          <w:b/>
          <w:bCs/>
          <w:u w:val="single"/>
        </w:rPr>
        <w:t>SENTENCIA</w:t>
      </w:r>
      <w:r w:rsidR="00167C36" w:rsidRPr="00B63455">
        <w:rPr>
          <w:b/>
          <w:bCs/>
          <w:u w:val="single"/>
        </w:rPr>
        <w:t xml:space="preserve"> </w:t>
      </w:r>
      <w:r w:rsidR="00FD496C" w:rsidRPr="00B63455">
        <w:rPr>
          <w:b/>
          <w:bCs/>
          <w:u w:val="single"/>
        </w:rPr>
        <w:t>No. 428 del 16 de diciembre de 202</w:t>
      </w:r>
      <w:r w:rsidR="00DA070E" w:rsidRPr="00B63455">
        <w:rPr>
          <w:b/>
          <w:bCs/>
          <w:u w:val="single"/>
        </w:rPr>
        <w:t>4, notificada</w:t>
      </w:r>
      <w:r w:rsidR="00F21B18" w:rsidRPr="00B63455">
        <w:rPr>
          <w:b/>
          <w:bCs/>
          <w:u w:val="single"/>
        </w:rPr>
        <w:t xml:space="preserve"> </w:t>
      </w:r>
      <w:r w:rsidR="00DA070E" w:rsidRPr="00B63455">
        <w:rPr>
          <w:b/>
          <w:bCs/>
          <w:u w:val="single"/>
        </w:rPr>
        <w:t>el 27 de enero de 2025</w:t>
      </w:r>
      <w:r w:rsidR="00BF3DDF" w:rsidRPr="00B63455">
        <w:rPr>
          <w:b/>
          <w:bCs/>
          <w:u w:val="single"/>
        </w:rPr>
        <w:t>.</w:t>
      </w:r>
    </w:p>
    <w:p w14:paraId="4DC1FA94" w14:textId="005357B8" w:rsidR="00EA787F" w:rsidRPr="00B63455" w:rsidRDefault="00EA787F" w:rsidP="00B63455">
      <w:pPr>
        <w:spacing w:after="0" w:line="312" w:lineRule="auto"/>
      </w:pPr>
      <w:r w:rsidRPr="00B63455">
        <w:rPr>
          <w:b/>
          <w:bCs/>
        </w:rPr>
        <w:t>RADICADO</w:t>
      </w:r>
      <w:r w:rsidRPr="00B63455">
        <w:t xml:space="preserve">: </w:t>
      </w:r>
      <w:r w:rsidRPr="00B63455">
        <w:tab/>
      </w:r>
      <w:r w:rsidRPr="00B63455">
        <w:tab/>
        <w:t xml:space="preserve">      </w:t>
      </w:r>
      <w:r w:rsidR="00CC7A03" w:rsidRPr="00B63455">
        <w:t>76</w:t>
      </w:r>
      <w:r w:rsidR="00DA070E" w:rsidRPr="00B63455">
        <w:t>-</w:t>
      </w:r>
      <w:r w:rsidR="00CC7A03" w:rsidRPr="00B63455">
        <w:t>001-33</w:t>
      </w:r>
      <w:r w:rsidR="00DA070E" w:rsidRPr="00B63455">
        <w:t>-</w:t>
      </w:r>
      <w:r w:rsidR="00CC7A03" w:rsidRPr="00B63455">
        <w:t>33-001-</w:t>
      </w:r>
      <w:r w:rsidR="00CC7A03" w:rsidRPr="00B63455">
        <w:rPr>
          <w:b/>
          <w:bCs/>
          <w:u w:val="single"/>
        </w:rPr>
        <w:t>2016-00330</w:t>
      </w:r>
      <w:r w:rsidR="00CC7A03" w:rsidRPr="00B63455">
        <w:t>-02</w:t>
      </w:r>
    </w:p>
    <w:p w14:paraId="25B6CEE4" w14:textId="30F6006F" w:rsidR="00EA787F" w:rsidRPr="00B63455" w:rsidRDefault="00EA787F" w:rsidP="00B63455">
      <w:pPr>
        <w:spacing w:after="0" w:line="312" w:lineRule="auto"/>
      </w:pPr>
      <w:r w:rsidRPr="00B63455">
        <w:rPr>
          <w:b/>
          <w:bCs/>
        </w:rPr>
        <w:t>DEMANDANTES</w:t>
      </w:r>
      <w:r w:rsidRPr="00B63455">
        <w:t xml:space="preserve">: </w:t>
      </w:r>
      <w:r w:rsidRPr="00B63455">
        <w:tab/>
        <w:t xml:space="preserve">      </w:t>
      </w:r>
      <w:r w:rsidR="00CC7A03" w:rsidRPr="00B63455">
        <w:t>RUBEN DARÍO ACEVEDO TORO</w:t>
      </w:r>
      <w:r w:rsidRPr="00B63455">
        <w:t xml:space="preserve"> Y OTROS</w:t>
      </w:r>
    </w:p>
    <w:p w14:paraId="712BD379" w14:textId="1858D21D" w:rsidR="00EA787F" w:rsidRPr="00B63455" w:rsidRDefault="00EA787F" w:rsidP="00B63455">
      <w:pPr>
        <w:spacing w:after="0" w:line="312" w:lineRule="auto"/>
      </w:pPr>
      <w:r w:rsidRPr="00B63455">
        <w:rPr>
          <w:b/>
          <w:bCs/>
        </w:rPr>
        <w:t>DEMANDADOS</w:t>
      </w:r>
      <w:r w:rsidRPr="00B63455">
        <w:t xml:space="preserve">: </w:t>
      </w:r>
      <w:r w:rsidRPr="00B63455">
        <w:tab/>
        <w:t xml:space="preserve">      </w:t>
      </w:r>
      <w:r w:rsidR="00CC7A03" w:rsidRPr="00B63455">
        <w:t xml:space="preserve">EMCALI EICE </w:t>
      </w:r>
      <w:r w:rsidR="009E7767" w:rsidRPr="00B63455">
        <w:t>ESP</w:t>
      </w:r>
      <w:r w:rsidRPr="00B63455">
        <w:t xml:space="preserve"> Y OTROS</w:t>
      </w:r>
    </w:p>
    <w:p w14:paraId="7C1040DD" w14:textId="739A2F3A" w:rsidR="00167C36" w:rsidRPr="00B63455" w:rsidRDefault="00EA787F" w:rsidP="00B63455">
      <w:pPr>
        <w:spacing w:after="0" w:line="312" w:lineRule="auto"/>
      </w:pPr>
      <w:r w:rsidRPr="00B63455">
        <w:rPr>
          <w:b/>
          <w:bCs/>
        </w:rPr>
        <w:t>LLAMADO EN GTÍA</w:t>
      </w:r>
      <w:r w:rsidRPr="00B63455">
        <w:t xml:space="preserve">.:     </w:t>
      </w:r>
      <w:r w:rsidR="005141E4" w:rsidRPr="00B63455">
        <w:rPr>
          <w:b/>
          <w:bCs/>
        </w:rPr>
        <w:t>ASEGURADORA SOLIDARIA DE COLOMBIA E.C.</w:t>
      </w:r>
      <w:r w:rsidRPr="00B63455">
        <w:rPr>
          <w:b/>
          <w:bCs/>
        </w:rPr>
        <w:t xml:space="preserve"> </w:t>
      </w:r>
      <w:r w:rsidR="009E7767" w:rsidRPr="00B63455">
        <w:rPr>
          <w:b/>
          <w:bCs/>
        </w:rPr>
        <w:t>Y OTROS</w:t>
      </w:r>
    </w:p>
    <w:p w14:paraId="6CC0249C" w14:textId="77777777" w:rsidR="00EA787F" w:rsidRPr="00B63455" w:rsidRDefault="00EA787F" w:rsidP="00B63455">
      <w:pPr>
        <w:spacing w:after="0" w:line="312" w:lineRule="auto"/>
        <w:ind w:left="14" w:firstLine="0"/>
        <w:jc w:val="left"/>
      </w:pPr>
    </w:p>
    <w:p w14:paraId="2DA0FEC9" w14:textId="77777777" w:rsidR="00BF3DDF" w:rsidRPr="00B63455" w:rsidRDefault="00BF3DDF" w:rsidP="00B63455">
      <w:pPr>
        <w:spacing w:after="0" w:line="312" w:lineRule="auto"/>
        <w:ind w:left="-5"/>
        <w:rPr>
          <w:b/>
        </w:rPr>
      </w:pPr>
    </w:p>
    <w:p w14:paraId="18CEC36B" w14:textId="7E877503" w:rsidR="00532A05" w:rsidRPr="00B63455" w:rsidRDefault="00BD3158" w:rsidP="00B63455">
      <w:pPr>
        <w:spacing w:after="0" w:line="312" w:lineRule="auto"/>
        <w:ind w:left="-5"/>
      </w:pPr>
      <w:r w:rsidRPr="00B63455">
        <w:rPr>
          <w:b/>
        </w:rPr>
        <w:t>GUSTAVO ALBERTO HERRERA ÁVILA</w:t>
      </w:r>
      <w:r w:rsidRPr="00B63455">
        <w:rPr>
          <w:bCs/>
        </w:rPr>
        <w:t>,</w:t>
      </w:r>
      <w:r w:rsidRPr="00B63455">
        <w:rPr>
          <w:b/>
        </w:rPr>
        <w:t xml:space="preserve"> </w:t>
      </w:r>
      <w:r w:rsidRPr="00B63455">
        <w:t xml:space="preserve">identificado con cédula de ciudadanía No. 19.395.114 de Bogotá, abogado titulado y en ejercicio, portador de la tarjeta profesional No. 39.116 del Consejo Superior de la Judicatura </w:t>
      </w:r>
      <w:r w:rsidR="00FD496C" w:rsidRPr="00B63455">
        <w:t>apoderado especial de la</w:t>
      </w:r>
      <w:r w:rsidRPr="00B63455">
        <w:t xml:space="preserve"> </w:t>
      </w:r>
      <w:r w:rsidR="004B1AE2" w:rsidRPr="00B63455">
        <w:rPr>
          <w:b/>
          <w:bCs/>
        </w:rPr>
        <w:t>ASEGURADORA SOLIDARIA DE COLOMBIA E.C</w:t>
      </w:r>
      <w:r w:rsidR="004B1AE2" w:rsidRPr="00B63455">
        <w:t>.</w:t>
      </w:r>
      <w:r w:rsidR="00DA070E" w:rsidRPr="00B63455">
        <w:rPr>
          <w:b/>
          <w:bCs/>
        </w:rPr>
        <w:t xml:space="preserve">, </w:t>
      </w:r>
      <w:r w:rsidR="0070611D" w:rsidRPr="00B63455">
        <w:t>como consta en el memorial poder que reposa en el plenario,</w:t>
      </w:r>
      <w:r w:rsidR="0070611D" w:rsidRPr="00B63455">
        <w:rPr>
          <w:b/>
          <w:bCs/>
        </w:rPr>
        <w:t xml:space="preserve"> </w:t>
      </w:r>
      <w:r w:rsidR="00532A05" w:rsidRPr="00B63455">
        <w:t xml:space="preserve">mediante el presente escrito respetuosamente solicito </w:t>
      </w:r>
      <w:r w:rsidR="00532A05" w:rsidRPr="00B63455">
        <w:rPr>
          <w:b/>
          <w:bCs/>
        </w:rPr>
        <w:t xml:space="preserve">ACLARACIÓN </w:t>
      </w:r>
      <w:r w:rsidR="00DA070E" w:rsidRPr="00B63455">
        <w:rPr>
          <w:b/>
          <w:bCs/>
        </w:rPr>
        <w:t>Y</w:t>
      </w:r>
      <w:r w:rsidR="00532A05" w:rsidRPr="00B63455">
        <w:rPr>
          <w:b/>
          <w:bCs/>
        </w:rPr>
        <w:t xml:space="preserve"> ADICIÓN </w:t>
      </w:r>
      <w:r w:rsidR="00DA070E" w:rsidRPr="00B63455">
        <w:t>frente a</w:t>
      </w:r>
      <w:r w:rsidR="00196C04" w:rsidRPr="00B63455">
        <w:t xml:space="preserve"> la sentencia de segunda instancia No. 428 del 16 de diciembre de 202</w:t>
      </w:r>
      <w:r w:rsidR="00DA070E" w:rsidRPr="00B63455">
        <w:t>4, notificada el 27 de enero de 2025,</w:t>
      </w:r>
      <w:r w:rsidR="00196C04" w:rsidRPr="00B63455">
        <w:t xml:space="preserve"> </w:t>
      </w:r>
      <w:r w:rsidR="00532A05" w:rsidRPr="00B63455">
        <w:t>con fundamento en los argumentos que concretaré en los acápites siguientes:</w:t>
      </w:r>
    </w:p>
    <w:p w14:paraId="1C3D5D71" w14:textId="77777777" w:rsidR="00DA070E" w:rsidRPr="00B63455" w:rsidRDefault="00DA070E" w:rsidP="00B63455">
      <w:pPr>
        <w:spacing w:after="0" w:line="312" w:lineRule="auto"/>
        <w:ind w:left="-5"/>
      </w:pPr>
    </w:p>
    <w:p w14:paraId="3363001C" w14:textId="77777777" w:rsidR="00DA070E" w:rsidRPr="00B63455" w:rsidRDefault="00DA070E" w:rsidP="00B63455">
      <w:pPr>
        <w:pStyle w:val="Textoindependiente"/>
        <w:widowControl w:val="0"/>
        <w:numPr>
          <w:ilvl w:val="0"/>
          <w:numId w:val="5"/>
        </w:numPr>
        <w:autoSpaceDE w:val="0"/>
        <w:autoSpaceDN w:val="0"/>
        <w:spacing w:after="0" w:line="312" w:lineRule="auto"/>
        <w:ind w:left="284" w:hanging="284"/>
        <w:jc w:val="center"/>
        <w:rPr>
          <w:b/>
          <w:bCs/>
          <w:sz w:val="22"/>
          <w:szCs w:val="22"/>
          <w:u w:val="single"/>
        </w:rPr>
      </w:pPr>
      <w:r w:rsidRPr="00B63455">
        <w:rPr>
          <w:b/>
          <w:bCs/>
          <w:sz w:val="22"/>
          <w:szCs w:val="22"/>
          <w:u w:val="single"/>
        </w:rPr>
        <w:t>OPORTUNDAD</w:t>
      </w:r>
    </w:p>
    <w:p w14:paraId="78080E55" w14:textId="77777777" w:rsidR="00DA070E" w:rsidRPr="00B63455" w:rsidRDefault="00DA070E" w:rsidP="00B63455">
      <w:pPr>
        <w:pStyle w:val="Textoindependiente"/>
        <w:spacing w:after="0" w:line="312" w:lineRule="auto"/>
        <w:rPr>
          <w:b/>
          <w:bCs/>
          <w:sz w:val="22"/>
          <w:szCs w:val="22"/>
          <w:u w:val="single"/>
        </w:rPr>
      </w:pPr>
    </w:p>
    <w:p w14:paraId="3882C34F" w14:textId="7AB2B2C7" w:rsidR="00DA070E" w:rsidRPr="00B63455" w:rsidRDefault="00DA070E" w:rsidP="00B63455">
      <w:pPr>
        <w:pStyle w:val="Textoindependiente"/>
        <w:spacing w:after="0" w:line="312" w:lineRule="auto"/>
        <w:rPr>
          <w:bCs/>
          <w:color w:val="000000" w:themeColor="text1"/>
          <w:sz w:val="22"/>
          <w:szCs w:val="22"/>
        </w:rPr>
      </w:pPr>
      <w:r w:rsidRPr="00B63455">
        <w:rPr>
          <w:bCs/>
          <w:color w:val="000000" w:themeColor="text1"/>
          <w:sz w:val="22"/>
          <w:szCs w:val="22"/>
        </w:rPr>
        <w:t xml:space="preserve">En primera medida, cabe aclarar que el presente escrito se presenta dentro del término de ejecutoria de la sentencia objeto de adición y aclaración, a luces del artículo 302 del Código General del Proceso, en la medida que esta fue notificada personalmente el día 27 de enero de 2025. En virtud de lo anterior, los tres (3) días de ejecutoria comenzaron a correr a partir del 28 de enero, finalizando el 30 de enero de 2025, por lo que la solicitud que pasa a sustentarse se presenta dentro de la oportunidad correspondiente. </w:t>
      </w:r>
    </w:p>
    <w:p w14:paraId="2B2AB69E" w14:textId="77777777" w:rsidR="0070611D" w:rsidRPr="00B63455" w:rsidRDefault="0070611D" w:rsidP="00B63455">
      <w:pPr>
        <w:spacing w:after="0" w:line="312" w:lineRule="auto"/>
        <w:ind w:left="-5"/>
      </w:pPr>
    </w:p>
    <w:p w14:paraId="57280BC7" w14:textId="2B92D152" w:rsidR="001A4768" w:rsidRDefault="00B34EFB" w:rsidP="00B63455">
      <w:pPr>
        <w:pStyle w:val="Prrafodelista"/>
        <w:numPr>
          <w:ilvl w:val="0"/>
          <w:numId w:val="5"/>
        </w:numPr>
        <w:tabs>
          <w:tab w:val="left" w:pos="5626"/>
        </w:tabs>
        <w:spacing w:after="0" w:line="312" w:lineRule="auto"/>
        <w:ind w:left="284" w:hanging="284"/>
        <w:jc w:val="center"/>
        <w:rPr>
          <w:b/>
          <w:bCs/>
          <w:u w:val="single"/>
        </w:rPr>
      </w:pPr>
      <w:r>
        <w:rPr>
          <w:b/>
          <w:bCs/>
          <w:u w:val="single"/>
        </w:rPr>
        <w:t>FUNDAMENTOS LEGALES</w:t>
      </w:r>
      <w:r w:rsidR="001A4768">
        <w:rPr>
          <w:b/>
          <w:bCs/>
          <w:u w:val="single"/>
        </w:rPr>
        <w:t>.</w:t>
      </w:r>
    </w:p>
    <w:p w14:paraId="1151C90F" w14:textId="77777777" w:rsidR="001A4768" w:rsidRDefault="001A4768" w:rsidP="001A4768">
      <w:pPr>
        <w:tabs>
          <w:tab w:val="left" w:pos="5626"/>
        </w:tabs>
        <w:spacing w:after="0" w:line="312" w:lineRule="auto"/>
        <w:ind w:left="0" w:firstLine="0"/>
        <w:rPr>
          <w:b/>
          <w:bCs/>
          <w:u w:val="single"/>
        </w:rPr>
      </w:pPr>
    </w:p>
    <w:p w14:paraId="54652081" w14:textId="4F4DDE31" w:rsidR="006B1AA1" w:rsidRPr="006B1AA1" w:rsidRDefault="006B1AA1" w:rsidP="006B1AA1">
      <w:pPr>
        <w:pStyle w:val="Textoindependiente"/>
        <w:spacing w:line="312" w:lineRule="auto"/>
        <w:ind w:hanging="11"/>
        <w:rPr>
          <w:bCs/>
          <w:color w:val="000000" w:themeColor="text1"/>
          <w:sz w:val="22"/>
          <w:szCs w:val="22"/>
        </w:rPr>
      </w:pPr>
      <w:r w:rsidRPr="006B1AA1">
        <w:rPr>
          <w:bCs/>
          <w:color w:val="000000" w:themeColor="text1"/>
          <w:sz w:val="22"/>
          <w:szCs w:val="22"/>
        </w:rPr>
        <w:t xml:space="preserve">En primera medida, es menester recordar que la solicitud de adición está contemplada en el artículo 287 del Código General del Proceso y tiene como finalidad resolver cualquier omisión o punto que debía ser objeto de pronunciamiento en </w:t>
      </w:r>
      <w:r w:rsidR="001938F7">
        <w:rPr>
          <w:bCs/>
          <w:color w:val="000000" w:themeColor="text1"/>
          <w:sz w:val="22"/>
          <w:szCs w:val="22"/>
        </w:rPr>
        <w:t>la sentencia</w:t>
      </w:r>
      <w:r w:rsidRPr="006B1AA1">
        <w:rPr>
          <w:bCs/>
          <w:color w:val="000000" w:themeColor="text1"/>
          <w:sz w:val="22"/>
          <w:szCs w:val="22"/>
        </w:rPr>
        <w:t>, en los siguientes términos:</w:t>
      </w:r>
    </w:p>
    <w:p w14:paraId="469CCB2E" w14:textId="77777777" w:rsidR="006B1AA1" w:rsidRPr="006B1AA1" w:rsidRDefault="006B1AA1" w:rsidP="006B1AA1">
      <w:pPr>
        <w:pStyle w:val="Textoindependiente"/>
        <w:spacing w:line="312" w:lineRule="auto"/>
        <w:ind w:hanging="11"/>
        <w:rPr>
          <w:bCs/>
          <w:color w:val="000000" w:themeColor="text1"/>
          <w:sz w:val="22"/>
          <w:szCs w:val="22"/>
        </w:rPr>
      </w:pPr>
    </w:p>
    <w:p w14:paraId="082B8725" w14:textId="77777777" w:rsidR="006B1AA1" w:rsidRPr="00D21091" w:rsidRDefault="006B1AA1" w:rsidP="00D21091">
      <w:pPr>
        <w:pStyle w:val="Textoindependiente"/>
        <w:spacing w:line="240" w:lineRule="auto"/>
        <w:ind w:left="851" w:right="843" w:hanging="11"/>
        <w:rPr>
          <w:bCs/>
          <w:color w:val="000000" w:themeColor="text1"/>
          <w:sz w:val="20"/>
          <w:szCs w:val="20"/>
        </w:rPr>
      </w:pPr>
      <w:r w:rsidRPr="001938F7">
        <w:rPr>
          <w:bCs/>
          <w:color w:val="000000" w:themeColor="text1"/>
          <w:sz w:val="20"/>
          <w:szCs w:val="20"/>
        </w:rPr>
        <w:t>“ARTÍCULO 287. ADICIÓN.</w:t>
      </w:r>
      <w:r w:rsidRPr="00D21091">
        <w:rPr>
          <w:bCs/>
          <w:color w:val="000000" w:themeColor="text1"/>
          <w:sz w:val="20"/>
          <w:szCs w:val="20"/>
        </w:rPr>
        <w:t xml:space="preserve"> Cuando la sentencia omita resolver sobre cualquiera de los extremos de la litis o sobre cualquier otro punto que de conformidad con la ley debía ser objeto de pronunciamiento, deberá adicionarse por medio de sentencia complementaria, dentro de la ejecutoria, de oficio o a solicitud de parte presentada en la misma oportunidad.</w:t>
      </w:r>
    </w:p>
    <w:p w14:paraId="08EC4B58" w14:textId="77777777" w:rsidR="006B1AA1" w:rsidRPr="00D21091" w:rsidRDefault="006B1AA1" w:rsidP="00D21091">
      <w:pPr>
        <w:pStyle w:val="Textoindependiente"/>
        <w:spacing w:line="240" w:lineRule="auto"/>
        <w:ind w:left="851" w:right="843" w:hanging="11"/>
        <w:rPr>
          <w:bCs/>
          <w:color w:val="000000" w:themeColor="text1"/>
          <w:sz w:val="20"/>
          <w:szCs w:val="20"/>
        </w:rPr>
      </w:pPr>
    </w:p>
    <w:p w14:paraId="6C132B95" w14:textId="77777777" w:rsidR="006B1AA1" w:rsidRPr="00D21091" w:rsidRDefault="006B1AA1" w:rsidP="00D21091">
      <w:pPr>
        <w:pStyle w:val="Textoindependiente"/>
        <w:spacing w:line="240" w:lineRule="auto"/>
        <w:ind w:left="851" w:right="843" w:hanging="11"/>
        <w:rPr>
          <w:bCs/>
          <w:color w:val="000000" w:themeColor="text1"/>
          <w:sz w:val="20"/>
          <w:szCs w:val="20"/>
        </w:rPr>
      </w:pPr>
      <w:r w:rsidRPr="00D21091">
        <w:rPr>
          <w:bCs/>
          <w:color w:val="000000" w:themeColor="text1"/>
          <w:sz w:val="20"/>
          <w:szCs w:val="20"/>
        </w:rPr>
        <w:t xml:space="preserve">El juez de segunda instancia deberá complementar la sentencia del inferior siempre que la parte perjudicada con la omisión haya apelado; pero </w:t>
      </w:r>
      <w:proofErr w:type="spellStart"/>
      <w:r w:rsidRPr="00D21091">
        <w:rPr>
          <w:bCs/>
          <w:color w:val="000000" w:themeColor="text1"/>
          <w:sz w:val="20"/>
          <w:szCs w:val="20"/>
        </w:rPr>
        <w:t>si</w:t>
      </w:r>
      <w:proofErr w:type="spellEnd"/>
      <w:r w:rsidRPr="00D21091">
        <w:rPr>
          <w:bCs/>
          <w:color w:val="000000" w:themeColor="text1"/>
          <w:sz w:val="20"/>
          <w:szCs w:val="20"/>
        </w:rPr>
        <w:t xml:space="preserve"> dejó de resolver la demanda de reconvención o la de un proceso acumulado, le devolverá el expediente para que dicte sentencia complementaria.</w:t>
      </w:r>
    </w:p>
    <w:p w14:paraId="367BF14F" w14:textId="77777777" w:rsidR="006B1AA1" w:rsidRPr="00D21091" w:rsidRDefault="006B1AA1" w:rsidP="00D21091">
      <w:pPr>
        <w:pStyle w:val="Textoindependiente"/>
        <w:spacing w:line="240" w:lineRule="auto"/>
        <w:ind w:left="851" w:right="843" w:hanging="11"/>
        <w:rPr>
          <w:bCs/>
          <w:color w:val="000000" w:themeColor="text1"/>
          <w:sz w:val="20"/>
          <w:szCs w:val="20"/>
        </w:rPr>
      </w:pPr>
    </w:p>
    <w:p w14:paraId="4BE5390B" w14:textId="77777777" w:rsidR="006B1AA1" w:rsidRPr="001938F7" w:rsidRDefault="006B1AA1" w:rsidP="00D21091">
      <w:pPr>
        <w:pStyle w:val="Textoindependiente"/>
        <w:spacing w:line="240" w:lineRule="auto"/>
        <w:ind w:left="851" w:right="843" w:hanging="11"/>
        <w:rPr>
          <w:bCs/>
          <w:color w:val="000000" w:themeColor="text1"/>
          <w:sz w:val="20"/>
          <w:szCs w:val="20"/>
        </w:rPr>
      </w:pPr>
      <w:r w:rsidRPr="001938F7">
        <w:rPr>
          <w:bCs/>
          <w:color w:val="000000" w:themeColor="text1"/>
          <w:sz w:val="20"/>
          <w:szCs w:val="20"/>
        </w:rPr>
        <w:t>Los autos solo podrán adicionarse de oficio dentro del término de su ejecutoria, o a solicitud de parte presentada en el mismo término.</w:t>
      </w:r>
    </w:p>
    <w:p w14:paraId="33CA3091" w14:textId="77777777" w:rsidR="006B1AA1" w:rsidRPr="00D21091" w:rsidRDefault="006B1AA1" w:rsidP="00D21091">
      <w:pPr>
        <w:pStyle w:val="Textoindependiente"/>
        <w:spacing w:line="240" w:lineRule="auto"/>
        <w:ind w:left="851" w:right="843" w:hanging="11"/>
        <w:rPr>
          <w:bCs/>
          <w:color w:val="000000" w:themeColor="text1"/>
          <w:sz w:val="20"/>
          <w:szCs w:val="20"/>
        </w:rPr>
      </w:pPr>
    </w:p>
    <w:p w14:paraId="6EB5EEC8" w14:textId="77777777" w:rsidR="006B1AA1" w:rsidRPr="00D21091" w:rsidRDefault="006B1AA1" w:rsidP="00D21091">
      <w:pPr>
        <w:pStyle w:val="Textoindependiente"/>
        <w:spacing w:line="240" w:lineRule="auto"/>
        <w:ind w:left="851" w:right="843" w:hanging="11"/>
        <w:rPr>
          <w:bCs/>
          <w:color w:val="000000" w:themeColor="text1"/>
          <w:sz w:val="20"/>
          <w:szCs w:val="20"/>
        </w:rPr>
      </w:pPr>
      <w:r w:rsidRPr="00D21091">
        <w:rPr>
          <w:bCs/>
          <w:color w:val="000000" w:themeColor="text1"/>
          <w:sz w:val="20"/>
          <w:szCs w:val="20"/>
        </w:rPr>
        <w:t xml:space="preserve">Dentro del término de ejecutoria de la providencia que resuelva sobre la complementación podrá recurrirse también la providencia principal”. </w:t>
      </w:r>
    </w:p>
    <w:p w14:paraId="54967321" w14:textId="77777777" w:rsidR="006B1AA1" w:rsidRPr="006B1AA1" w:rsidRDefault="006B1AA1" w:rsidP="006B1AA1">
      <w:pPr>
        <w:pStyle w:val="Textoindependiente"/>
        <w:spacing w:line="312" w:lineRule="auto"/>
        <w:ind w:right="899" w:hanging="11"/>
        <w:rPr>
          <w:bCs/>
          <w:i/>
          <w:iCs/>
          <w:color w:val="000000" w:themeColor="text1"/>
          <w:sz w:val="22"/>
          <w:szCs w:val="22"/>
        </w:rPr>
      </w:pPr>
    </w:p>
    <w:p w14:paraId="2ACB9839" w14:textId="77777777" w:rsidR="006B1AA1" w:rsidRPr="006B1AA1" w:rsidRDefault="006B1AA1" w:rsidP="006B1AA1">
      <w:pPr>
        <w:pStyle w:val="Textoindependiente"/>
        <w:spacing w:line="312" w:lineRule="auto"/>
        <w:ind w:right="48" w:hanging="11"/>
        <w:rPr>
          <w:bCs/>
          <w:color w:val="000000" w:themeColor="text1"/>
          <w:sz w:val="22"/>
          <w:szCs w:val="22"/>
        </w:rPr>
      </w:pPr>
      <w:r w:rsidRPr="006B1AA1">
        <w:rPr>
          <w:bCs/>
          <w:color w:val="000000" w:themeColor="text1"/>
          <w:sz w:val="22"/>
          <w:szCs w:val="22"/>
        </w:rPr>
        <w:t>En el mismo sentido, el Consejo de Estado ha explicado la solicitud de adición de providencias judiciales, así:</w:t>
      </w:r>
    </w:p>
    <w:p w14:paraId="5F9B9760" w14:textId="77777777" w:rsidR="006B1AA1" w:rsidRPr="006B1AA1" w:rsidRDefault="006B1AA1" w:rsidP="006B1AA1">
      <w:pPr>
        <w:pStyle w:val="Textoindependiente"/>
        <w:spacing w:line="312" w:lineRule="auto"/>
        <w:ind w:hanging="11"/>
        <w:rPr>
          <w:bCs/>
          <w:color w:val="000000" w:themeColor="text1"/>
          <w:sz w:val="22"/>
          <w:szCs w:val="22"/>
        </w:rPr>
      </w:pPr>
    </w:p>
    <w:p w14:paraId="6F0B2174" w14:textId="77777777" w:rsidR="006B1AA1" w:rsidRPr="006B1AA1" w:rsidRDefault="006B1AA1" w:rsidP="001938F7">
      <w:pPr>
        <w:pStyle w:val="Textoindependiente"/>
        <w:spacing w:line="240" w:lineRule="auto"/>
        <w:ind w:left="851" w:right="843" w:firstLine="0"/>
        <w:rPr>
          <w:bCs/>
          <w:i/>
          <w:iCs/>
          <w:color w:val="000000" w:themeColor="text1"/>
          <w:sz w:val="22"/>
          <w:szCs w:val="22"/>
        </w:rPr>
      </w:pPr>
      <w:r w:rsidRPr="001938F7">
        <w:rPr>
          <w:bCs/>
          <w:color w:val="000000" w:themeColor="text1"/>
          <w:sz w:val="20"/>
          <w:szCs w:val="20"/>
        </w:rPr>
        <w:t>“De otro lado, al tenor de lo dispuesto en el artículo 287 del Código General del Proceso, aplicable al presente asunto por remisión expresa de la Ley 1437 de 2011, procede la adición de providencias judiciales dentro del término de su ejecutoria, de oficio o a solicitud de parte, frente a autos y sentencias en las cuales se haya omitido la resolución de cualquiera de los extremos de la litis, o de cualquier otro punto que de conformidad con la Ley debía ser objeto de pronunciamiento, omisión que debe ser suplida por el respectivo juez mediante sentencia o auto complementario</w:t>
      </w:r>
      <w:r w:rsidRPr="006B1AA1">
        <w:rPr>
          <w:bCs/>
          <w:i/>
          <w:iCs/>
          <w:color w:val="000000" w:themeColor="text1"/>
          <w:sz w:val="22"/>
          <w:szCs w:val="22"/>
        </w:rPr>
        <w:t>”</w:t>
      </w:r>
      <w:r w:rsidRPr="006B1AA1">
        <w:rPr>
          <w:rStyle w:val="Refdenotaalpie"/>
          <w:i/>
          <w:iCs/>
          <w:color w:val="000000" w:themeColor="text1"/>
          <w:sz w:val="22"/>
          <w:szCs w:val="22"/>
        </w:rPr>
        <w:footnoteReference w:id="1"/>
      </w:r>
      <w:r w:rsidRPr="006B1AA1">
        <w:rPr>
          <w:bCs/>
          <w:i/>
          <w:iCs/>
          <w:color w:val="000000" w:themeColor="text1"/>
          <w:sz w:val="22"/>
          <w:szCs w:val="22"/>
        </w:rPr>
        <w:t>.</w:t>
      </w:r>
    </w:p>
    <w:p w14:paraId="190F4858" w14:textId="77777777" w:rsidR="006B1AA1" w:rsidRPr="006B1AA1" w:rsidRDefault="006B1AA1" w:rsidP="006B1AA1">
      <w:pPr>
        <w:pStyle w:val="Textoindependiente"/>
        <w:spacing w:line="312" w:lineRule="auto"/>
        <w:ind w:hanging="11"/>
        <w:rPr>
          <w:sz w:val="22"/>
          <w:szCs w:val="22"/>
        </w:rPr>
      </w:pPr>
    </w:p>
    <w:p w14:paraId="7A570C57" w14:textId="3C74F72B" w:rsidR="006B1AA1" w:rsidRPr="006B1AA1" w:rsidRDefault="006B1AA1" w:rsidP="001938F7">
      <w:pPr>
        <w:pStyle w:val="Textoindependiente"/>
        <w:spacing w:line="312" w:lineRule="auto"/>
        <w:ind w:hanging="11"/>
        <w:rPr>
          <w:sz w:val="22"/>
          <w:szCs w:val="22"/>
        </w:rPr>
      </w:pPr>
      <w:r w:rsidRPr="006B1AA1">
        <w:rPr>
          <w:sz w:val="22"/>
          <w:szCs w:val="22"/>
        </w:rPr>
        <w:t xml:space="preserve">Pues bien, una vez aclarada la finalidad de la adición de </w:t>
      </w:r>
      <w:r w:rsidR="001938F7">
        <w:rPr>
          <w:sz w:val="22"/>
          <w:szCs w:val="22"/>
        </w:rPr>
        <w:t>sentencias</w:t>
      </w:r>
      <w:r w:rsidRPr="006B1AA1">
        <w:rPr>
          <w:sz w:val="22"/>
          <w:szCs w:val="22"/>
        </w:rPr>
        <w:t xml:space="preserve">, debe indicarse que la decisión contenida en </w:t>
      </w:r>
      <w:r w:rsidR="001938F7" w:rsidRPr="00B63455">
        <w:rPr>
          <w:sz w:val="22"/>
          <w:szCs w:val="22"/>
        </w:rPr>
        <w:t>la sentencia de segunda instancia No. 428 del 16 de diciembre de 2024, notificada el 27 de enero de 2025</w:t>
      </w:r>
      <w:r w:rsidR="001938F7">
        <w:rPr>
          <w:sz w:val="22"/>
          <w:szCs w:val="22"/>
        </w:rPr>
        <w:t xml:space="preserve"> </w:t>
      </w:r>
      <w:r w:rsidRPr="006B1AA1">
        <w:rPr>
          <w:sz w:val="22"/>
          <w:szCs w:val="22"/>
        </w:rPr>
        <w:t>omitió aspectos relevantes con relación a</w:t>
      </w:r>
      <w:r w:rsidR="001938F7">
        <w:rPr>
          <w:sz w:val="22"/>
          <w:szCs w:val="22"/>
        </w:rPr>
        <w:t xml:space="preserve"> </w:t>
      </w:r>
      <w:r w:rsidR="005D7854">
        <w:rPr>
          <w:sz w:val="22"/>
          <w:szCs w:val="22"/>
        </w:rPr>
        <w:t xml:space="preserve">lo siguiente: </w:t>
      </w:r>
    </w:p>
    <w:p w14:paraId="103B1EDA" w14:textId="77777777" w:rsidR="001A4768" w:rsidRPr="001A4768" w:rsidRDefault="001A4768" w:rsidP="001A4768">
      <w:pPr>
        <w:tabs>
          <w:tab w:val="left" w:pos="5626"/>
        </w:tabs>
        <w:spacing w:after="0" w:line="312" w:lineRule="auto"/>
        <w:ind w:left="0" w:firstLine="0"/>
        <w:rPr>
          <w:b/>
          <w:bCs/>
          <w:u w:val="single"/>
        </w:rPr>
      </w:pPr>
    </w:p>
    <w:p w14:paraId="4F2B9778" w14:textId="2018169B" w:rsidR="00532A05" w:rsidRPr="00B63455" w:rsidRDefault="00532A05" w:rsidP="00B63455">
      <w:pPr>
        <w:pStyle w:val="Prrafodelista"/>
        <w:numPr>
          <w:ilvl w:val="0"/>
          <w:numId w:val="5"/>
        </w:numPr>
        <w:tabs>
          <w:tab w:val="left" w:pos="5626"/>
        </w:tabs>
        <w:spacing w:after="0" w:line="312" w:lineRule="auto"/>
        <w:ind w:left="284" w:hanging="284"/>
        <w:jc w:val="center"/>
        <w:rPr>
          <w:b/>
          <w:bCs/>
          <w:u w:val="single"/>
        </w:rPr>
      </w:pPr>
      <w:r w:rsidRPr="00B63455">
        <w:rPr>
          <w:b/>
          <w:bCs/>
          <w:u w:val="single"/>
        </w:rPr>
        <w:t>FUNDAMENTOS FÁCTICOS</w:t>
      </w:r>
    </w:p>
    <w:p w14:paraId="565EA7E4" w14:textId="77777777" w:rsidR="00532A05" w:rsidRPr="00B63455" w:rsidRDefault="00532A05" w:rsidP="00B63455">
      <w:pPr>
        <w:tabs>
          <w:tab w:val="left" w:pos="5626"/>
        </w:tabs>
        <w:spacing w:after="0" w:line="312" w:lineRule="auto"/>
      </w:pPr>
    </w:p>
    <w:p w14:paraId="15FE20D8" w14:textId="7CECDA01" w:rsidR="000B5FAE" w:rsidRPr="00B63455" w:rsidRDefault="00532A05" w:rsidP="00B63455">
      <w:pPr>
        <w:tabs>
          <w:tab w:val="left" w:pos="5626"/>
        </w:tabs>
        <w:spacing w:after="0" w:line="312" w:lineRule="auto"/>
      </w:pPr>
      <w:r w:rsidRPr="00B63455">
        <w:rPr>
          <w:b/>
          <w:bCs/>
        </w:rPr>
        <w:t xml:space="preserve">PRIMERO: </w:t>
      </w:r>
      <w:r w:rsidR="000B5FAE" w:rsidRPr="00B63455">
        <w:t xml:space="preserve">Los aquí demandantes presentaron medio de control de reparación directa </w:t>
      </w:r>
      <w:r w:rsidR="00F11FB9" w:rsidRPr="00B63455">
        <w:t xml:space="preserve">contra </w:t>
      </w:r>
      <w:r w:rsidR="00DA070E" w:rsidRPr="00B63455">
        <w:t xml:space="preserve">las </w:t>
      </w:r>
      <w:r w:rsidR="00B263F0" w:rsidRPr="00B63455">
        <w:t>Empresas Municipales de Cali -</w:t>
      </w:r>
      <w:r w:rsidR="00F11FB9" w:rsidRPr="00B63455">
        <w:t>EMCALI EICE ESP</w:t>
      </w:r>
      <w:r w:rsidR="00DA070E" w:rsidRPr="00B63455">
        <w:t>-</w:t>
      </w:r>
      <w:r w:rsidR="00F11FB9" w:rsidRPr="00B63455">
        <w:t xml:space="preserve"> y TELMEX COL</w:t>
      </w:r>
      <w:r w:rsidR="00B263F0" w:rsidRPr="00B63455">
        <w:t>O</w:t>
      </w:r>
      <w:r w:rsidR="00F11FB9" w:rsidRPr="00B63455">
        <w:t xml:space="preserve">MBIA </w:t>
      </w:r>
      <w:r w:rsidR="00B263F0" w:rsidRPr="00B63455">
        <w:t>S.A.</w:t>
      </w:r>
      <w:r w:rsidR="00DA070E" w:rsidRPr="00B63455">
        <w:t>,</w:t>
      </w:r>
      <w:r w:rsidR="00B263F0" w:rsidRPr="00B63455">
        <w:t xml:space="preserve"> </w:t>
      </w:r>
      <w:r w:rsidR="000B5FAE" w:rsidRPr="00B63455">
        <w:t xml:space="preserve">por </w:t>
      </w:r>
      <w:r w:rsidR="00843B7A" w:rsidRPr="00B63455">
        <w:t>el presunto accidente de tránsito</w:t>
      </w:r>
      <w:r w:rsidR="000B5FAE" w:rsidRPr="00B63455">
        <w:t xml:space="preserve"> ocurrido el día 23 de septiembre de 2014 </w:t>
      </w:r>
      <w:r w:rsidR="00843B7A" w:rsidRPr="00B63455">
        <w:t xml:space="preserve">en el que aparentemente resultó lesionado el señor </w:t>
      </w:r>
      <w:r w:rsidR="00B263F0" w:rsidRPr="00B63455">
        <w:t>Rubén</w:t>
      </w:r>
      <w:r w:rsidR="000B5FAE" w:rsidRPr="00B63455">
        <w:t xml:space="preserve"> </w:t>
      </w:r>
      <w:r w:rsidR="00B263F0" w:rsidRPr="00B63455">
        <w:t>Darío</w:t>
      </w:r>
      <w:r w:rsidR="000B5FAE" w:rsidRPr="00B63455">
        <w:t xml:space="preserve"> Acevedo Toro</w:t>
      </w:r>
      <w:r w:rsidR="00DA070E" w:rsidRPr="00B63455">
        <w:t>,</w:t>
      </w:r>
      <w:r w:rsidR="000B5FAE" w:rsidRPr="00B63455">
        <w:t xml:space="preserve"> </w:t>
      </w:r>
      <w:r w:rsidR="00843B7A" w:rsidRPr="00B63455">
        <w:t xml:space="preserve">razón por la cual se solicitaron perjuicios </w:t>
      </w:r>
      <w:r w:rsidR="00F11FB9" w:rsidRPr="00B63455">
        <w:t xml:space="preserve">materiales e inmateriales. </w:t>
      </w:r>
    </w:p>
    <w:p w14:paraId="5846AD7E" w14:textId="77777777" w:rsidR="00883549" w:rsidRPr="00B63455" w:rsidRDefault="00883549" w:rsidP="00B63455">
      <w:pPr>
        <w:tabs>
          <w:tab w:val="left" w:pos="5626"/>
        </w:tabs>
        <w:spacing w:after="0" w:line="312" w:lineRule="auto"/>
        <w:rPr>
          <w:b/>
          <w:bCs/>
        </w:rPr>
      </w:pPr>
    </w:p>
    <w:p w14:paraId="2E9720C6" w14:textId="3659345B" w:rsidR="005711B0" w:rsidRPr="00B63455" w:rsidRDefault="00F11FB9" w:rsidP="00B63455">
      <w:pPr>
        <w:tabs>
          <w:tab w:val="left" w:pos="5626"/>
        </w:tabs>
        <w:spacing w:after="0" w:line="312" w:lineRule="auto"/>
      </w:pPr>
      <w:r w:rsidRPr="00B63455">
        <w:rPr>
          <w:b/>
          <w:bCs/>
        </w:rPr>
        <w:t xml:space="preserve">SEGUNDO: </w:t>
      </w:r>
      <w:r w:rsidR="00A32B66" w:rsidRPr="00B63455">
        <w:t>En la oportunidad procesal</w:t>
      </w:r>
      <w:r w:rsidR="00DA070E" w:rsidRPr="00B63455">
        <w:t>,</w:t>
      </w:r>
      <w:r w:rsidR="00DA070E" w:rsidRPr="00B63455">
        <w:rPr>
          <w:b/>
          <w:bCs/>
        </w:rPr>
        <w:t xml:space="preserve"> </w:t>
      </w:r>
      <w:r w:rsidR="00DA070E" w:rsidRPr="00B63455">
        <w:t xml:space="preserve">las </w:t>
      </w:r>
      <w:r w:rsidR="005711B0" w:rsidRPr="00B63455">
        <w:t>Empresas Municipales de Cali -EMCALI EICE ESP realiz</w:t>
      </w:r>
      <w:r w:rsidR="00DA070E" w:rsidRPr="00B63455">
        <w:t>aron</w:t>
      </w:r>
      <w:r w:rsidR="005711B0" w:rsidRPr="00B63455">
        <w:t xml:space="preserve"> solicitud de llamamiento en garantía a la ASEGURADORA SOLIDARIA DE COLOMBIA E.C. en virtud de los contratos de seguro materializados en (i) la </w:t>
      </w:r>
      <w:r w:rsidR="00863F23" w:rsidRPr="00B63455">
        <w:t>Póliza de Cumplimiento del Contrato de Arrendamiento – Soliarriendo No. 875-71-994000000453 y (</w:t>
      </w:r>
      <w:proofErr w:type="spellStart"/>
      <w:r w:rsidR="00863F23" w:rsidRPr="00B63455">
        <w:t>ii</w:t>
      </w:r>
      <w:proofErr w:type="spellEnd"/>
      <w:r w:rsidR="00863F23" w:rsidRPr="00B63455">
        <w:t>)</w:t>
      </w:r>
      <w:r w:rsidR="00D01741" w:rsidRPr="00B63455">
        <w:t xml:space="preserve"> Póliza de </w:t>
      </w:r>
      <w:r w:rsidR="00927B7C" w:rsidRPr="00B63455">
        <w:t>R</w:t>
      </w:r>
      <w:r w:rsidR="00D01741" w:rsidRPr="00B63455">
        <w:t>esponsabilidad Civil Extracontractual No. 875-74-994000002415</w:t>
      </w:r>
      <w:r w:rsidR="00F47C2B" w:rsidRPr="00B63455">
        <w:t>.</w:t>
      </w:r>
    </w:p>
    <w:p w14:paraId="4ED9BCCD" w14:textId="77777777" w:rsidR="005711B0" w:rsidRPr="00B63455" w:rsidRDefault="005711B0" w:rsidP="00B63455">
      <w:pPr>
        <w:tabs>
          <w:tab w:val="left" w:pos="5626"/>
        </w:tabs>
        <w:spacing w:after="0" w:line="312" w:lineRule="auto"/>
      </w:pPr>
    </w:p>
    <w:p w14:paraId="32E7E850" w14:textId="3BC1BBDC" w:rsidR="00F11FB9" w:rsidRPr="00B63455" w:rsidRDefault="00E06133" w:rsidP="00B63455">
      <w:pPr>
        <w:tabs>
          <w:tab w:val="left" w:pos="5626"/>
        </w:tabs>
        <w:spacing w:after="0" w:line="312" w:lineRule="auto"/>
        <w:ind w:left="0" w:firstLine="0"/>
      </w:pPr>
      <w:r w:rsidRPr="00B63455">
        <w:t>Por su lado,</w:t>
      </w:r>
      <w:r w:rsidR="005711B0" w:rsidRPr="00B63455">
        <w:t xml:space="preserve"> TELMEX COLOMBIA S.A.</w:t>
      </w:r>
      <w:r w:rsidRPr="00B63455">
        <w:t xml:space="preserve"> </w:t>
      </w:r>
      <w:r w:rsidR="006561F1" w:rsidRPr="00B63455">
        <w:t>no llamó</w:t>
      </w:r>
      <w:r w:rsidR="000209F5" w:rsidRPr="00B63455">
        <w:t xml:space="preserve"> en garantía</w:t>
      </w:r>
      <w:r w:rsidR="00DA070E" w:rsidRPr="00B63455">
        <w:t>,</w:t>
      </w:r>
      <w:r w:rsidR="000209F5" w:rsidRPr="00B63455">
        <w:t xml:space="preserve"> ni</w:t>
      </w:r>
      <w:r w:rsidR="006E40E9" w:rsidRPr="00B63455">
        <w:t xml:space="preserve"> solicitó </w:t>
      </w:r>
      <w:r w:rsidR="000209F5" w:rsidRPr="00B63455">
        <w:t>la vinculación de la ASEGURADORA SOLIDARIA DE COLOMBIA E.C.</w:t>
      </w:r>
    </w:p>
    <w:p w14:paraId="76F9A86D" w14:textId="77777777" w:rsidR="006E40E9" w:rsidRPr="00B63455" w:rsidRDefault="006E40E9" w:rsidP="00B63455">
      <w:pPr>
        <w:tabs>
          <w:tab w:val="left" w:pos="5626"/>
        </w:tabs>
        <w:spacing w:after="0" w:line="312" w:lineRule="auto"/>
        <w:ind w:left="0" w:firstLine="0"/>
      </w:pPr>
    </w:p>
    <w:p w14:paraId="5E8A80BE" w14:textId="1B44852B" w:rsidR="006E40E9" w:rsidRPr="00B63455" w:rsidRDefault="006E40E9" w:rsidP="00B63455">
      <w:pPr>
        <w:tabs>
          <w:tab w:val="left" w:pos="5626"/>
        </w:tabs>
        <w:spacing w:after="0" w:line="312" w:lineRule="auto"/>
        <w:ind w:left="0" w:firstLine="0"/>
      </w:pPr>
      <w:r w:rsidRPr="00B63455">
        <w:rPr>
          <w:b/>
          <w:bCs/>
        </w:rPr>
        <w:t xml:space="preserve">TERCERO: </w:t>
      </w:r>
      <w:r w:rsidRPr="00B63455">
        <w:t xml:space="preserve">Por lo anterior, en la oportunidad </w:t>
      </w:r>
      <w:r w:rsidR="007D77AE" w:rsidRPr="00B63455">
        <w:t xml:space="preserve">procesal el suscrito en representación de la ASEGURADORA SOLIDARIA DE COLOMBIA E.C. </w:t>
      </w:r>
      <w:r w:rsidR="00BF0890" w:rsidRPr="00B63455">
        <w:t>presentó</w:t>
      </w:r>
      <w:r w:rsidR="00F47C2B" w:rsidRPr="00B63455">
        <w:t xml:space="preserve"> entre otras</w:t>
      </w:r>
      <w:r w:rsidR="00BF0890" w:rsidRPr="00B63455">
        <w:t xml:space="preserve"> las siguientes </w:t>
      </w:r>
      <w:r w:rsidR="008C0973" w:rsidRPr="00B63455">
        <w:t>excepciones</w:t>
      </w:r>
      <w:r w:rsidR="00BF0890" w:rsidRPr="00B63455">
        <w:t>:</w:t>
      </w:r>
    </w:p>
    <w:p w14:paraId="36A0AFE5" w14:textId="383A0AE2" w:rsidR="008C0973" w:rsidRPr="00B63455" w:rsidRDefault="008C0973" w:rsidP="00B63455">
      <w:pPr>
        <w:tabs>
          <w:tab w:val="left" w:pos="5626"/>
        </w:tabs>
        <w:spacing w:after="0" w:line="312" w:lineRule="auto"/>
        <w:ind w:left="0" w:firstLine="0"/>
      </w:pPr>
      <w:r w:rsidRPr="00B63455">
        <w:rPr>
          <w:noProof/>
        </w:rPr>
        <w:drawing>
          <wp:inline distT="0" distB="0" distL="0" distR="0" wp14:anchorId="25C05B11" wp14:editId="234820DE">
            <wp:extent cx="6116320" cy="718185"/>
            <wp:effectExtent l="0" t="0" r="0" b="5715"/>
            <wp:docPr id="1325556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556106" name=""/>
                    <pic:cNvPicPr/>
                  </pic:nvPicPr>
                  <pic:blipFill>
                    <a:blip r:embed="rId9"/>
                    <a:stretch>
                      <a:fillRect/>
                    </a:stretch>
                  </pic:blipFill>
                  <pic:spPr>
                    <a:xfrm>
                      <a:off x="0" y="0"/>
                      <a:ext cx="6116320" cy="718185"/>
                    </a:xfrm>
                    <a:prstGeom prst="rect">
                      <a:avLst/>
                    </a:prstGeom>
                  </pic:spPr>
                </pic:pic>
              </a:graphicData>
            </a:graphic>
          </wp:inline>
        </w:drawing>
      </w:r>
    </w:p>
    <w:p w14:paraId="7FC44285" w14:textId="4CABFABB" w:rsidR="00BF0890" w:rsidRPr="00B63455" w:rsidRDefault="008C0973" w:rsidP="00B63455">
      <w:pPr>
        <w:tabs>
          <w:tab w:val="left" w:pos="5626"/>
        </w:tabs>
        <w:spacing w:after="0" w:line="312" w:lineRule="auto"/>
        <w:ind w:left="0" w:firstLine="0"/>
      </w:pPr>
      <w:r w:rsidRPr="00B63455">
        <w:rPr>
          <w:noProof/>
        </w:rPr>
        <w:lastRenderedPageBreak/>
        <w:drawing>
          <wp:inline distT="0" distB="0" distL="0" distR="0" wp14:anchorId="7CBEB0B8" wp14:editId="339EC26C">
            <wp:extent cx="6116320" cy="1229995"/>
            <wp:effectExtent l="0" t="0" r="0" b="8255"/>
            <wp:docPr id="69738950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389506" name="Imagen 1" descr="Texto&#10;&#10;Descripción generada automáticamente"/>
                    <pic:cNvPicPr/>
                  </pic:nvPicPr>
                  <pic:blipFill>
                    <a:blip r:embed="rId10"/>
                    <a:stretch>
                      <a:fillRect/>
                    </a:stretch>
                  </pic:blipFill>
                  <pic:spPr>
                    <a:xfrm>
                      <a:off x="0" y="0"/>
                      <a:ext cx="6116320" cy="1229995"/>
                    </a:xfrm>
                    <a:prstGeom prst="rect">
                      <a:avLst/>
                    </a:prstGeom>
                  </pic:spPr>
                </pic:pic>
              </a:graphicData>
            </a:graphic>
          </wp:inline>
        </w:drawing>
      </w:r>
    </w:p>
    <w:p w14:paraId="4C5FB219" w14:textId="16EEBBDE" w:rsidR="00BF0890" w:rsidRPr="00B63455" w:rsidRDefault="00BF0890" w:rsidP="00B63455">
      <w:pPr>
        <w:tabs>
          <w:tab w:val="left" w:pos="5626"/>
        </w:tabs>
        <w:spacing w:after="0" w:line="312" w:lineRule="auto"/>
        <w:ind w:left="0" w:firstLine="0"/>
      </w:pPr>
      <w:r w:rsidRPr="00B63455">
        <w:rPr>
          <w:noProof/>
        </w:rPr>
        <w:drawing>
          <wp:inline distT="0" distB="0" distL="0" distR="0" wp14:anchorId="5FA9FA28" wp14:editId="4098CFDE">
            <wp:extent cx="6116320" cy="1229995"/>
            <wp:effectExtent l="0" t="0" r="0" b="8255"/>
            <wp:docPr id="16649154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15427" name=""/>
                    <pic:cNvPicPr/>
                  </pic:nvPicPr>
                  <pic:blipFill>
                    <a:blip r:embed="rId10"/>
                    <a:stretch>
                      <a:fillRect/>
                    </a:stretch>
                  </pic:blipFill>
                  <pic:spPr>
                    <a:xfrm>
                      <a:off x="0" y="0"/>
                      <a:ext cx="6116320" cy="1229995"/>
                    </a:xfrm>
                    <a:prstGeom prst="rect">
                      <a:avLst/>
                    </a:prstGeom>
                  </pic:spPr>
                </pic:pic>
              </a:graphicData>
            </a:graphic>
          </wp:inline>
        </w:drawing>
      </w:r>
    </w:p>
    <w:p w14:paraId="33347C69" w14:textId="77777777" w:rsidR="007B1847" w:rsidRPr="00B63455" w:rsidRDefault="00927B7C" w:rsidP="00B63455">
      <w:pPr>
        <w:tabs>
          <w:tab w:val="left" w:pos="5626"/>
        </w:tabs>
        <w:spacing w:after="0" w:line="312" w:lineRule="auto"/>
      </w:pPr>
      <w:r w:rsidRPr="00B63455">
        <w:t xml:space="preserve">Lo anterior, teniendo en cuenta que tal y como lo señaló el H. Tribunal en su sentencia </w:t>
      </w:r>
      <w:r w:rsidR="007B1847" w:rsidRPr="00B63455">
        <w:t xml:space="preserve">de segunda instancia: </w:t>
      </w:r>
    </w:p>
    <w:p w14:paraId="28072E28" w14:textId="77777777" w:rsidR="007B1847" w:rsidRPr="00B63455" w:rsidRDefault="007B1847" w:rsidP="00B63455">
      <w:pPr>
        <w:tabs>
          <w:tab w:val="left" w:pos="5626"/>
        </w:tabs>
        <w:spacing w:after="0" w:line="312" w:lineRule="auto"/>
        <w:rPr>
          <w:i/>
          <w:iCs/>
        </w:rPr>
      </w:pPr>
    </w:p>
    <w:p w14:paraId="70ADC69A" w14:textId="36826F80" w:rsidR="007B1847" w:rsidRPr="00B63455" w:rsidRDefault="007B1847" w:rsidP="00B63455">
      <w:pPr>
        <w:tabs>
          <w:tab w:val="left" w:pos="5626"/>
        </w:tabs>
        <w:spacing w:after="0" w:line="240" w:lineRule="auto"/>
        <w:ind w:left="851" w:right="843"/>
        <w:rPr>
          <w:sz w:val="20"/>
          <w:szCs w:val="20"/>
        </w:rPr>
      </w:pPr>
      <w:r w:rsidRPr="00B63455">
        <w:rPr>
          <w:sz w:val="20"/>
          <w:szCs w:val="20"/>
        </w:rPr>
        <w:t xml:space="preserve">“De lo anterior, se observa que los amparos garantizados en la primera póliza 875-71-994000000453, no tienen relación con los hechos objeto del presente litigio. </w:t>
      </w:r>
    </w:p>
    <w:p w14:paraId="3BBEDBF3" w14:textId="77777777" w:rsidR="00DA070E" w:rsidRPr="00B63455" w:rsidRDefault="00DA070E" w:rsidP="00B63455">
      <w:pPr>
        <w:tabs>
          <w:tab w:val="left" w:pos="5626"/>
        </w:tabs>
        <w:spacing w:after="0" w:line="240" w:lineRule="auto"/>
        <w:ind w:left="851" w:right="843"/>
        <w:rPr>
          <w:sz w:val="20"/>
          <w:szCs w:val="20"/>
        </w:rPr>
      </w:pPr>
    </w:p>
    <w:p w14:paraId="1AAC7D2F" w14:textId="6D47C65B" w:rsidR="007B1847" w:rsidRPr="00B63455" w:rsidRDefault="007B1847" w:rsidP="00B63455">
      <w:pPr>
        <w:tabs>
          <w:tab w:val="left" w:pos="5626"/>
        </w:tabs>
        <w:spacing w:after="0" w:line="240" w:lineRule="auto"/>
        <w:ind w:left="851" w:right="843"/>
        <w:rPr>
          <w:sz w:val="20"/>
          <w:szCs w:val="20"/>
        </w:rPr>
      </w:pPr>
      <w:r w:rsidRPr="00B63455">
        <w:rPr>
          <w:sz w:val="20"/>
          <w:szCs w:val="20"/>
        </w:rPr>
        <w:t xml:space="preserve">Respecto a la póliza 875-74-994000002415, se identificó que, </w:t>
      </w:r>
      <w:r w:rsidRPr="00B63455">
        <w:rPr>
          <w:b/>
          <w:bCs/>
          <w:sz w:val="20"/>
          <w:szCs w:val="20"/>
          <w:u w:val="single"/>
        </w:rPr>
        <w:t>al no figurar EMCALI como entidad asegurada</w:t>
      </w:r>
      <w:r w:rsidRPr="00B63455">
        <w:rPr>
          <w:sz w:val="20"/>
          <w:szCs w:val="20"/>
        </w:rPr>
        <w:t>, esta póliza no podrá indemnizar los daños y perjuicios derivados de la responsabilidad civil extracontractual por la que esta entidad sea condenada</w:t>
      </w:r>
      <w:r w:rsidR="00DA070E" w:rsidRPr="00B63455">
        <w:rPr>
          <w:sz w:val="20"/>
          <w:szCs w:val="20"/>
        </w:rPr>
        <w:t xml:space="preserve"> </w:t>
      </w:r>
      <w:r w:rsidRPr="00B63455">
        <w:rPr>
          <w:sz w:val="20"/>
          <w:szCs w:val="20"/>
        </w:rPr>
        <w:t>(…).”</w:t>
      </w:r>
    </w:p>
    <w:p w14:paraId="2EBE100E" w14:textId="77777777" w:rsidR="00883549" w:rsidRPr="00B63455" w:rsidRDefault="00883549" w:rsidP="00B63455">
      <w:pPr>
        <w:tabs>
          <w:tab w:val="left" w:pos="5626"/>
        </w:tabs>
        <w:spacing w:after="0" w:line="312" w:lineRule="auto"/>
        <w:rPr>
          <w:b/>
          <w:bCs/>
        </w:rPr>
      </w:pPr>
    </w:p>
    <w:p w14:paraId="41BCE2DF" w14:textId="534CCAAA" w:rsidR="006206AA" w:rsidRDefault="006206AA" w:rsidP="00B63455">
      <w:pPr>
        <w:tabs>
          <w:tab w:val="left" w:pos="5626"/>
        </w:tabs>
        <w:spacing w:after="0" w:line="312" w:lineRule="auto"/>
        <w:rPr>
          <w:b/>
          <w:bCs/>
        </w:rPr>
      </w:pPr>
      <w:r>
        <w:t xml:space="preserve">Es decir que EMCALI no se encontraba legitimado en la causa por activa para llamar en garantía a mi prohijada, por cuanto no figuraba como tomar y/o asegurado en la </w:t>
      </w:r>
      <w:r w:rsidRPr="00B63455">
        <w:t>Póliza de Responsabilidad Civil Extracontractual No. 875-74-994000002415</w:t>
      </w:r>
      <w:r>
        <w:t>.</w:t>
      </w:r>
    </w:p>
    <w:p w14:paraId="096949C8" w14:textId="77777777" w:rsidR="006206AA" w:rsidRDefault="006206AA" w:rsidP="00B63455">
      <w:pPr>
        <w:tabs>
          <w:tab w:val="left" w:pos="5626"/>
        </w:tabs>
        <w:spacing w:after="0" w:line="312" w:lineRule="auto"/>
        <w:rPr>
          <w:b/>
          <w:bCs/>
        </w:rPr>
      </w:pPr>
    </w:p>
    <w:p w14:paraId="4B13DF60" w14:textId="06586D64" w:rsidR="001132DE" w:rsidRPr="00B63455" w:rsidRDefault="007B1847" w:rsidP="00B63455">
      <w:pPr>
        <w:tabs>
          <w:tab w:val="left" w:pos="5626"/>
        </w:tabs>
        <w:spacing w:after="0" w:line="312" w:lineRule="auto"/>
      </w:pPr>
      <w:r w:rsidRPr="00B63455">
        <w:rPr>
          <w:b/>
          <w:bCs/>
        </w:rPr>
        <w:t>CUARTO</w:t>
      </w:r>
      <w:r w:rsidRPr="00B63455">
        <w:t xml:space="preserve">: </w:t>
      </w:r>
      <w:r w:rsidR="00CB5D8A" w:rsidRPr="00B63455">
        <w:t>Sin embargo, pese a</w:t>
      </w:r>
      <w:r w:rsidR="00DA070E" w:rsidRPr="00B63455">
        <w:t xml:space="preserve"> que el</w:t>
      </w:r>
      <w:r w:rsidR="00CB5D8A" w:rsidRPr="00B63455">
        <w:t xml:space="preserve"> H. Tribunal señal</w:t>
      </w:r>
      <w:r w:rsidR="00DA070E" w:rsidRPr="00B63455">
        <w:t xml:space="preserve">ó </w:t>
      </w:r>
      <w:r w:rsidR="00CB5D8A" w:rsidRPr="00B63455">
        <w:t>lo anteriormente transcrito,</w:t>
      </w:r>
      <w:r w:rsidR="00DA070E" w:rsidRPr="00B63455">
        <w:t xml:space="preserve"> esto es, que EMCALI no figura</w:t>
      </w:r>
      <w:r w:rsidR="00CD43C9" w:rsidRPr="00B63455">
        <w:t>b</w:t>
      </w:r>
      <w:r w:rsidR="00DA070E" w:rsidRPr="00B63455">
        <w:t xml:space="preserve">a como entidad asegurada en la póliza </w:t>
      </w:r>
      <w:r w:rsidR="00CD43C9" w:rsidRPr="00B63455">
        <w:t>No. 875-74-994000002415;</w:t>
      </w:r>
      <w:r w:rsidR="00CB5D8A" w:rsidRPr="00B63455">
        <w:t xml:space="preserve"> </w:t>
      </w:r>
      <w:r w:rsidR="00CD43C9" w:rsidRPr="00B63455">
        <w:t>omitió</w:t>
      </w:r>
      <w:r w:rsidR="00CB5D8A" w:rsidRPr="00B63455">
        <w:t xml:space="preserve"> pronunci</w:t>
      </w:r>
      <w:r w:rsidR="00CD43C9" w:rsidRPr="00B63455">
        <w:t>arse</w:t>
      </w:r>
      <w:r w:rsidR="00CB5D8A" w:rsidRPr="00B63455">
        <w:t xml:space="preserve"> frente a</w:t>
      </w:r>
      <w:r w:rsidR="00CD43C9" w:rsidRPr="00B63455">
        <w:t>l argumento presentado tanto en la contestación de la demanda, como en los alegatos de conclusión, consistente en</w:t>
      </w:r>
      <w:r w:rsidR="00CB5D8A" w:rsidRPr="00B63455">
        <w:t xml:space="preserve"> la </w:t>
      </w:r>
      <w:r w:rsidR="00CB5D8A" w:rsidRPr="00B63455">
        <w:rPr>
          <w:b/>
          <w:bCs/>
          <w:u w:val="single"/>
        </w:rPr>
        <w:t>falta de legitimación en la causa por activa de EMCALI</w:t>
      </w:r>
      <w:r w:rsidR="00CB5D8A" w:rsidRPr="00B63455">
        <w:t xml:space="preserve"> al vincular a mi prohijada sin ser la </w:t>
      </w:r>
      <w:r w:rsidR="00CE7983" w:rsidRPr="00B63455">
        <w:t xml:space="preserve">entidad </w:t>
      </w:r>
      <w:r w:rsidR="00CF3207" w:rsidRPr="00B63455">
        <w:rPr>
          <w:u w:val="single"/>
        </w:rPr>
        <w:t>asegurada</w:t>
      </w:r>
      <w:r w:rsidR="00CB5D8A" w:rsidRPr="00B63455">
        <w:t xml:space="preserve"> de la Póliza de Responsabilidad Civil Extracontractual No. 875-74-994000002415</w:t>
      </w:r>
      <w:r w:rsidR="00CE7983" w:rsidRPr="00B63455">
        <w:t>, pues quien figuraba con esa titularidad era Telmex Colombia hoy CLARO</w:t>
      </w:r>
      <w:r w:rsidR="00CD43C9" w:rsidRPr="00B63455">
        <w:t>,</w:t>
      </w:r>
      <w:r w:rsidR="00CE7983" w:rsidRPr="00B63455">
        <w:t xml:space="preserve"> </w:t>
      </w:r>
      <w:r w:rsidR="008F5A52" w:rsidRPr="00B63455">
        <w:t xml:space="preserve">pero esta </w:t>
      </w:r>
      <w:r w:rsidR="00B2122D" w:rsidRPr="00B63455">
        <w:t>última</w:t>
      </w:r>
      <w:r w:rsidR="008F5A52" w:rsidRPr="00B63455">
        <w:t xml:space="preserve"> </w:t>
      </w:r>
      <w:r w:rsidR="00A01BF3" w:rsidRPr="00B63455">
        <w:t>no solicitó ni llamó en garantía a mi prohijada</w:t>
      </w:r>
      <w:r w:rsidR="00CD43C9" w:rsidRPr="00B63455">
        <w:t>,</w:t>
      </w:r>
      <w:r w:rsidR="00A01BF3" w:rsidRPr="00B63455">
        <w:t xml:space="preserve"> </w:t>
      </w:r>
      <w:r w:rsidR="00CD43C9" w:rsidRPr="00B63455">
        <w:t>de manera que resultaba</w:t>
      </w:r>
      <w:r w:rsidR="008F5A52" w:rsidRPr="00B63455">
        <w:t xml:space="preserve"> totalmente improcedente </w:t>
      </w:r>
      <w:r w:rsidR="00CD43C9" w:rsidRPr="00B63455">
        <w:t xml:space="preserve">analizar la póliza anteriormente descrita. </w:t>
      </w:r>
      <w:r w:rsidR="008F5A52" w:rsidRPr="00B63455">
        <w:t xml:space="preserve"> </w:t>
      </w:r>
    </w:p>
    <w:p w14:paraId="7D940843" w14:textId="77777777" w:rsidR="001132DE" w:rsidRPr="00B63455" w:rsidRDefault="001132DE" w:rsidP="00B63455">
      <w:pPr>
        <w:tabs>
          <w:tab w:val="left" w:pos="5626"/>
        </w:tabs>
        <w:spacing w:after="0" w:line="312" w:lineRule="auto"/>
      </w:pPr>
    </w:p>
    <w:p w14:paraId="1B24E053" w14:textId="6AAED035" w:rsidR="00883549" w:rsidRPr="00B63455" w:rsidRDefault="001132DE" w:rsidP="00B63455">
      <w:pPr>
        <w:tabs>
          <w:tab w:val="left" w:pos="5626"/>
        </w:tabs>
        <w:spacing w:after="0" w:line="312" w:lineRule="auto"/>
      </w:pPr>
      <w:r w:rsidRPr="00B63455">
        <w:t xml:space="preserve">Lo anterior, por cuanto </w:t>
      </w:r>
      <w:r w:rsidR="0045457F" w:rsidRPr="00B63455">
        <w:t xml:space="preserve">si la </w:t>
      </w:r>
      <w:r w:rsidR="005B7694" w:rsidRPr="00B63455">
        <w:t xml:space="preserve">Póliza de Cumplimiento del Contrato de Arrendamiento – </w:t>
      </w:r>
      <w:proofErr w:type="spellStart"/>
      <w:r w:rsidR="005B7694" w:rsidRPr="00B63455">
        <w:t>Soliarriendo</w:t>
      </w:r>
      <w:proofErr w:type="spellEnd"/>
      <w:r w:rsidR="005B7694" w:rsidRPr="00B63455">
        <w:t xml:space="preserve"> No. 875-71-994000000453 </w:t>
      </w:r>
      <w:r w:rsidR="005B7694" w:rsidRPr="00B63455">
        <w:t xml:space="preserve">ni la </w:t>
      </w:r>
      <w:r w:rsidR="007C02EA" w:rsidRPr="00B63455">
        <w:t>P</w:t>
      </w:r>
      <w:r w:rsidR="0045457F" w:rsidRPr="00B63455">
        <w:t xml:space="preserve">óliza </w:t>
      </w:r>
      <w:r w:rsidR="007C02EA" w:rsidRPr="00B63455">
        <w:t>de Responsabilidad Civil Extracontractual No. 875-74-994000002415</w:t>
      </w:r>
      <w:r w:rsidR="005B7694" w:rsidRPr="00B63455">
        <w:t xml:space="preserve"> </w:t>
      </w:r>
      <w:r w:rsidR="0045457F" w:rsidRPr="00B63455">
        <w:t>vinculada</w:t>
      </w:r>
      <w:r w:rsidR="005B7694" w:rsidRPr="00B63455">
        <w:t>s</w:t>
      </w:r>
      <w:r w:rsidR="0045457F" w:rsidRPr="00B63455">
        <w:t xml:space="preserve"> por EMCALI no </w:t>
      </w:r>
      <w:r w:rsidRPr="00B63455">
        <w:t>ofrecía</w:t>
      </w:r>
      <w:r w:rsidR="005B7694" w:rsidRPr="00B63455">
        <w:t>n</w:t>
      </w:r>
      <w:r w:rsidR="0045457F" w:rsidRPr="00B63455">
        <w:t xml:space="preserve"> cobertura material </w:t>
      </w:r>
      <w:r w:rsidRPr="00B63455">
        <w:t>para esta única entidad</w:t>
      </w:r>
      <w:r w:rsidR="00C809FA" w:rsidRPr="00B63455">
        <w:t>,</w:t>
      </w:r>
      <w:r w:rsidRPr="00B63455">
        <w:t xml:space="preserve"> </w:t>
      </w:r>
      <w:r w:rsidR="0045457F" w:rsidRPr="00B63455">
        <w:t xml:space="preserve">debió </w:t>
      </w:r>
      <w:r w:rsidR="00B702D3" w:rsidRPr="00B63455">
        <w:t>declararse la</w:t>
      </w:r>
      <w:r w:rsidR="00B702D3" w:rsidRPr="00B63455">
        <w:t xml:space="preserve"> falta de legitimación en la causa por activa de EMCALI</w:t>
      </w:r>
      <w:r w:rsidR="009818CE" w:rsidRPr="00B63455">
        <w:t>, y en consecuencia, desvincularse a mi prohijada – SOLIDARIA -</w:t>
      </w:r>
      <w:r w:rsidRPr="00B63455">
        <w:t xml:space="preserve">porque no fue llamada </w:t>
      </w:r>
      <w:r w:rsidR="000202D8" w:rsidRPr="00B63455">
        <w:t xml:space="preserve">en garantía por ninguna otra entidad </w:t>
      </w:r>
      <w:r w:rsidR="00CD48D8" w:rsidRPr="00B63455">
        <w:t>pa</w:t>
      </w:r>
      <w:r w:rsidRPr="00B63455">
        <w:t xml:space="preserve">ra amparar </w:t>
      </w:r>
      <w:r w:rsidR="00CD48D8" w:rsidRPr="00B63455">
        <w:t>una eventual condena</w:t>
      </w:r>
      <w:r w:rsidR="001B482C" w:rsidRPr="00B63455">
        <w:t xml:space="preserve">, </w:t>
      </w:r>
      <w:r w:rsidR="00743ACE" w:rsidRPr="00B63455">
        <w:t>máxime</w:t>
      </w:r>
      <w:r w:rsidR="001B482C" w:rsidRPr="00B63455">
        <w:t xml:space="preserve"> cuando se reitera EMCALI </w:t>
      </w:r>
      <w:r w:rsidR="00743ACE" w:rsidRPr="00B63455">
        <w:t>no figuraba como tomador y/o asegurado de la póliza de responsabilidad civil.</w:t>
      </w:r>
      <w:r w:rsidR="00CC4AB2" w:rsidRPr="00B63455">
        <w:t xml:space="preserve"> </w:t>
      </w:r>
    </w:p>
    <w:p w14:paraId="7AFAF934" w14:textId="77777777" w:rsidR="001132DE" w:rsidRPr="00B63455" w:rsidRDefault="001132DE" w:rsidP="00B63455">
      <w:pPr>
        <w:tabs>
          <w:tab w:val="left" w:pos="5626"/>
        </w:tabs>
        <w:spacing w:after="0" w:line="312" w:lineRule="auto"/>
      </w:pPr>
    </w:p>
    <w:p w14:paraId="5DFB1224" w14:textId="2CF84EE8" w:rsidR="00FF3B35" w:rsidRPr="00B63455" w:rsidRDefault="001132DE" w:rsidP="00B63455">
      <w:pPr>
        <w:tabs>
          <w:tab w:val="left" w:pos="5626"/>
        </w:tabs>
        <w:spacing w:after="0" w:line="312" w:lineRule="auto"/>
      </w:pPr>
      <w:r w:rsidRPr="00B63455">
        <w:rPr>
          <w:b/>
          <w:bCs/>
        </w:rPr>
        <w:t>QUINTO:</w:t>
      </w:r>
      <w:r w:rsidR="00CC4AB2" w:rsidRPr="00B63455">
        <w:rPr>
          <w:b/>
          <w:bCs/>
        </w:rPr>
        <w:t xml:space="preserve"> </w:t>
      </w:r>
      <w:r w:rsidR="00A65F8B" w:rsidRPr="00B63455">
        <w:t xml:space="preserve">Lo anterior, guarda total relación con el principio de congruencia </w:t>
      </w:r>
      <w:r w:rsidR="00FF3B35" w:rsidRPr="00B63455">
        <w:t>de la sentencia consagrado en e</w:t>
      </w:r>
      <w:r w:rsidR="00FF3B35" w:rsidRPr="00B63455">
        <w:rPr>
          <w:iCs/>
        </w:rPr>
        <w:t>l artículo 281 del Código General del Proceso, el cual contempla los preceptos que debe seguir el Juez en sus sentencias de la siguiente forma:</w:t>
      </w:r>
    </w:p>
    <w:p w14:paraId="03F3CBEB" w14:textId="77777777" w:rsidR="00FF3B35" w:rsidRPr="00B63455" w:rsidRDefault="00FF3B35" w:rsidP="00B63455">
      <w:pPr>
        <w:spacing w:after="0" w:line="312" w:lineRule="auto"/>
        <w:rPr>
          <w:iCs/>
        </w:rPr>
      </w:pPr>
    </w:p>
    <w:p w14:paraId="3AE2ABDF" w14:textId="77777777" w:rsidR="00FF3B35" w:rsidRPr="00B63455" w:rsidRDefault="00FF3B35" w:rsidP="00B63455">
      <w:pPr>
        <w:overflowPunct w:val="0"/>
        <w:autoSpaceDE w:val="0"/>
        <w:autoSpaceDN w:val="0"/>
        <w:adjustRightInd w:val="0"/>
        <w:spacing w:after="0" w:line="240" w:lineRule="auto"/>
        <w:ind w:left="851" w:right="901"/>
        <w:textAlignment w:val="baseline"/>
        <w:rPr>
          <w:sz w:val="20"/>
          <w:szCs w:val="20"/>
        </w:rPr>
      </w:pPr>
      <w:r w:rsidRPr="00B63455">
        <w:rPr>
          <w:b/>
          <w:bCs/>
          <w:sz w:val="20"/>
          <w:szCs w:val="20"/>
        </w:rPr>
        <w:lastRenderedPageBreak/>
        <w:t>“ARTÍCULO 281. CONGRUENCIA. </w:t>
      </w:r>
      <w:r w:rsidRPr="00B63455">
        <w:rPr>
          <w:sz w:val="20"/>
          <w:szCs w:val="20"/>
        </w:rPr>
        <w:t>La sentencia deberá estar en consonancia con los hechos y las pretensiones aducidos en la demanda y en las demás oportunidades que este código contempla y con las excepciones que aparezcan probadas y hubieren sido alegadas si así lo exige la ley.</w:t>
      </w:r>
    </w:p>
    <w:p w14:paraId="24E85804" w14:textId="77777777" w:rsidR="00FF3B35" w:rsidRPr="00B63455" w:rsidRDefault="00FF3B35" w:rsidP="00B63455">
      <w:pPr>
        <w:overflowPunct w:val="0"/>
        <w:autoSpaceDE w:val="0"/>
        <w:autoSpaceDN w:val="0"/>
        <w:adjustRightInd w:val="0"/>
        <w:spacing w:after="0" w:line="240" w:lineRule="auto"/>
        <w:ind w:left="851" w:right="901"/>
        <w:textAlignment w:val="baseline"/>
        <w:rPr>
          <w:sz w:val="20"/>
          <w:szCs w:val="20"/>
        </w:rPr>
      </w:pPr>
    </w:p>
    <w:p w14:paraId="0085484E" w14:textId="77777777" w:rsidR="00FF3B35" w:rsidRPr="00B63455" w:rsidRDefault="00FF3B35" w:rsidP="00B63455">
      <w:pPr>
        <w:overflowPunct w:val="0"/>
        <w:autoSpaceDE w:val="0"/>
        <w:autoSpaceDN w:val="0"/>
        <w:adjustRightInd w:val="0"/>
        <w:spacing w:after="0" w:line="240" w:lineRule="auto"/>
        <w:ind w:left="851" w:right="901"/>
        <w:textAlignment w:val="baseline"/>
        <w:rPr>
          <w:sz w:val="20"/>
          <w:szCs w:val="20"/>
        </w:rPr>
      </w:pPr>
      <w:r w:rsidRPr="00B63455">
        <w:rPr>
          <w:sz w:val="20"/>
          <w:szCs w:val="20"/>
        </w:rPr>
        <w:t>No podrá condenarse al demandado por cantidad superior o por objeto distinto del pretendido en la demanda ni por causa diferente a la invocada en esta.</w:t>
      </w:r>
    </w:p>
    <w:p w14:paraId="14338A51" w14:textId="77777777" w:rsidR="00FF3B35" w:rsidRPr="00B63455" w:rsidRDefault="00FF3B35" w:rsidP="00B63455">
      <w:pPr>
        <w:overflowPunct w:val="0"/>
        <w:autoSpaceDE w:val="0"/>
        <w:autoSpaceDN w:val="0"/>
        <w:adjustRightInd w:val="0"/>
        <w:spacing w:after="0" w:line="240" w:lineRule="auto"/>
        <w:ind w:left="851" w:right="901"/>
        <w:textAlignment w:val="baseline"/>
        <w:rPr>
          <w:sz w:val="20"/>
          <w:szCs w:val="20"/>
        </w:rPr>
      </w:pPr>
    </w:p>
    <w:p w14:paraId="184DFED3" w14:textId="77777777" w:rsidR="00FF3B35" w:rsidRPr="00B63455" w:rsidRDefault="00FF3B35" w:rsidP="00B63455">
      <w:pPr>
        <w:overflowPunct w:val="0"/>
        <w:autoSpaceDE w:val="0"/>
        <w:autoSpaceDN w:val="0"/>
        <w:adjustRightInd w:val="0"/>
        <w:spacing w:after="0" w:line="240" w:lineRule="auto"/>
        <w:ind w:left="851" w:right="901"/>
        <w:textAlignment w:val="baseline"/>
        <w:rPr>
          <w:sz w:val="20"/>
          <w:szCs w:val="20"/>
        </w:rPr>
      </w:pPr>
      <w:r w:rsidRPr="00B63455">
        <w:rPr>
          <w:sz w:val="20"/>
          <w:szCs w:val="20"/>
        </w:rPr>
        <w:t>Si lo pedido por la demandante excede de lo probado se le reconocerá solamente lo último.</w:t>
      </w:r>
    </w:p>
    <w:p w14:paraId="0335A8E1" w14:textId="77777777" w:rsidR="00FF3B35" w:rsidRPr="00B63455" w:rsidRDefault="00FF3B35" w:rsidP="00B63455">
      <w:pPr>
        <w:overflowPunct w:val="0"/>
        <w:autoSpaceDE w:val="0"/>
        <w:autoSpaceDN w:val="0"/>
        <w:adjustRightInd w:val="0"/>
        <w:spacing w:after="0" w:line="240" w:lineRule="auto"/>
        <w:ind w:left="851" w:right="901"/>
        <w:textAlignment w:val="baseline"/>
        <w:rPr>
          <w:sz w:val="20"/>
          <w:szCs w:val="20"/>
        </w:rPr>
      </w:pPr>
    </w:p>
    <w:p w14:paraId="3C9C6EC2" w14:textId="77777777" w:rsidR="00FF3B35" w:rsidRPr="00B63455" w:rsidRDefault="00FF3B35" w:rsidP="00B63455">
      <w:pPr>
        <w:overflowPunct w:val="0"/>
        <w:autoSpaceDE w:val="0"/>
        <w:autoSpaceDN w:val="0"/>
        <w:adjustRightInd w:val="0"/>
        <w:spacing w:after="0" w:line="240" w:lineRule="auto"/>
        <w:ind w:left="851" w:right="901"/>
        <w:textAlignment w:val="baseline"/>
        <w:rPr>
          <w:sz w:val="20"/>
          <w:szCs w:val="20"/>
        </w:rPr>
      </w:pPr>
      <w:r w:rsidRPr="00B63455">
        <w:rPr>
          <w:sz w:val="20"/>
          <w:szCs w:val="20"/>
        </w:rP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o que la ley permita considerarlo de oficio.</w:t>
      </w:r>
    </w:p>
    <w:p w14:paraId="5851CE59" w14:textId="77777777" w:rsidR="00FF3B35" w:rsidRPr="00B63455" w:rsidRDefault="00FF3B35" w:rsidP="00B63455">
      <w:pPr>
        <w:overflowPunct w:val="0"/>
        <w:autoSpaceDE w:val="0"/>
        <w:autoSpaceDN w:val="0"/>
        <w:adjustRightInd w:val="0"/>
        <w:spacing w:after="0" w:line="240" w:lineRule="auto"/>
        <w:ind w:left="851" w:right="901"/>
        <w:textAlignment w:val="baseline"/>
        <w:rPr>
          <w:sz w:val="20"/>
          <w:szCs w:val="20"/>
        </w:rPr>
      </w:pPr>
    </w:p>
    <w:p w14:paraId="77854862" w14:textId="5F8D3BAB" w:rsidR="00FF3B35" w:rsidRPr="00B63455" w:rsidRDefault="00EC74A7" w:rsidP="00B63455">
      <w:pPr>
        <w:overflowPunct w:val="0"/>
        <w:autoSpaceDE w:val="0"/>
        <w:autoSpaceDN w:val="0"/>
        <w:adjustRightInd w:val="0"/>
        <w:spacing w:after="0" w:line="240" w:lineRule="auto"/>
        <w:ind w:left="851" w:right="901"/>
        <w:textAlignment w:val="baseline"/>
        <w:rPr>
          <w:sz w:val="20"/>
          <w:szCs w:val="20"/>
        </w:rPr>
      </w:pPr>
      <w:r w:rsidRPr="00B63455">
        <w:rPr>
          <w:sz w:val="20"/>
          <w:szCs w:val="20"/>
        </w:rPr>
        <w:t>(…)</w:t>
      </w:r>
      <w:r w:rsidR="00FF3B35" w:rsidRPr="00B63455">
        <w:rPr>
          <w:sz w:val="20"/>
          <w:szCs w:val="20"/>
        </w:rPr>
        <w:t>”.</w:t>
      </w:r>
    </w:p>
    <w:p w14:paraId="4F36C12D" w14:textId="77777777" w:rsidR="00FF3B35" w:rsidRPr="00B63455" w:rsidRDefault="00FF3B35" w:rsidP="00B63455">
      <w:pPr>
        <w:spacing w:after="0" w:line="312" w:lineRule="auto"/>
      </w:pPr>
    </w:p>
    <w:p w14:paraId="440E6731" w14:textId="25607D5B" w:rsidR="005B518C" w:rsidRPr="00B63455" w:rsidRDefault="00FF3B35" w:rsidP="00B63455">
      <w:pPr>
        <w:tabs>
          <w:tab w:val="left" w:pos="5626"/>
        </w:tabs>
        <w:spacing w:after="0" w:line="312" w:lineRule="auto"/>
        <w:rPr>
          <w:iCs/>
        </w:rPr>
      </w:pPr>
      <w:r w:rsidRPr="00B63455">
        <w:rPr>
          <w:iCs/>
        </w:rPr>
        <w:t xml:space="preserve">En virtud de lo anterior, </w:t>
      </w:r>
      <w:r w:rsidR="005B518C" w:rsidRPr="00B63455">
        <w:rPr>
          <w:iCs/>
        </w:rPr>
        <w:t>el despacho omitió pronunciarse frente a la falta de legitimación en la causa por activa de EMCALI formulada en su oportunidad procesal pertinente por mi prohijada.</w:t>
      </w:r>
    </w:p>
    <w:p w14:paraId="5D48B829" w14:textId="77777777" w:rsidR="005B518C" w:rsidRPr="00B63455" w:rsidRDefault="005B518C" w:rsidP="00B63455">
      <w:pPr>
        <w:tabs>
          <w:tab w:val="left" w:pos="5626"/>
        </w:tabs>
        <w:spacing w:after="0" w:line="312" w:lineRule="auto"/>
        <w:rPr>
          <w:iCs/>
        </w:rPr>
      </w:pPr>
    </w:p>
    <w:p w14:paraId="2521A73B" w14:textId="31BFE5EE" w:rsidR="001132DE" w:rsidRPr="00B63455" w:rsidRDefault="007A0D81" w:rsidP="00B63455">
      <w:pPr>
        <w:tabs>
          <w:tab w:val="left" w:pos="5626"/>
        </w:tabs>
        <w:spacing w:after="0" w:line="312" w:lineRule="auto"/>
      </w:pPr>
      <w:r w:rsidRPr="00B63455">
        <w:rPr>
          <w:b/>
          <w:bCs/>
        </w:rPr>
        <w:t xml:space="preserve">SEXTO: </w:t>
      </w:r>
      <w:r w:rsidR="00827555" w:rsidRPr="00B63455">
        <w:t xml:space="preserve">Siendo </w:t>
      </w:r>
      <w:r w:rsidR="00F11701" w:rsidRPr="00B63455">
        <w:t>así</w:t>
      </w:r>
      <w:r w:rsidR="00827555" w:rsidRPr="00B63455">
        <w:t xml:space="preserve">, es necesario que el despacho </w:t>
      </w:r>
      <w:r w:rsidR="00827555" w:rsidRPr="00B63455">
        <w:rPr>
          <w:b/>
          <w:bCs/>
        </w:rPr>
        <w:t>ADICIONE</w:t>
      </w:r>
      <w:r w:rsidR="00827555" w:rsidRPr="00B63455">
        <w:t xml:space="preserve"> la sentencia No. </w:t>
      </w:r>
      <w:r w:rsidR="00F11701" w:rsidRPr="00B63455">
        <w:t xml:space="preserve">428 del 16 de diciembre de 2024 en el sentido de </w:t>
      </w:r>
      <w:r w:rsidR="000E63FC" w:rsidRPr="00B63455">
        <w:t>pronunciarse sobre l</w:t>
      </w:r>
      <w:r w:rsidR="000E63FC" w:rsidRPr="00B63455">
        <w:rPr>
          <w:u w:val="single"/>
        </w:rPr>
        <w:t xml:space="preserve">a falta de legitimación en la causa por activa de EMCALI </w:t>
      </w:r>
      <w:r w:rsidR="00DF52D0" w:rsidRPr="00B63455">
        <w:rPr>
          <w:u w:val="single"/>
        </w:rPr>
        <w:t xml:space="preserve">de llamar en garantía a la </w:t>
      </w:r>
      <w:r w:rsidR="00DF52D0" w:rsidRPr="00B63455">
        <w:rPr>
          <w:u w:val="single"/>
        </w:rPr>
        <w:t>ASEGURADORA SOLIDARIA DE COLOMBIA E.C.</w:t>
      </w:r>
      <w:r w:rsidR="00DF52D0" w:rsidRPr="00B63455">
        <w:t xml:space="preserve"> </w:t>
      </w:r>
      <w:r w:rsidR="000E63FC" w:rsidRPr="00B63455">
        <w:t xml:space="preserve">que fue formulada por mi prohijada desde la contestación de la demanda y llamamiento en garantía y reiterado en los alegatos de conclusión </w:t>
      </w:r>
      <w:r w:rsidR="0010259C" w:rsidRPr="00B63455">
        <w:t>presentados en primera instancia, a</w:t>
      </w:r>
      <w:r w:rsidR="00F11701" w:rsidRPr="00B63455">
        <w:t>l no prestar cobertura los contratos de seguros vinculados</w:t>
      </w:r>
      <w:r w:rsidR="00557F63" w:rsidRPr="00B63455">
        <w:t xml:space="preserve"> </w:t>
      </w:r>
      <w:r w:rsidR="0010259C" w:rsidRPr="00B63455">
        <w:t>por EMCALI</w:t>
      </w:r>
      <w:r w:rsidR="00557F63" w:rsidRPr="00B63455">
        <w:t xml:space="preserve">. </w:t>
      </w:r>
    </w:p>
    <w:p w14:paraId="1D154D74" w14:textId="77777777" w:rsidR="00BF4739" w:rsidRPr="00B63455" w:rsidRDefault="00BF4739" w:rsidP="00B63455">
      <w:pPr>
        <w:tabs>
          <w:tab w:val="left" w:pos="5626"/>
        </w:tabs>
        <w:spacing w:after="0" w:line="312" w:lineRule="auto"/>
      </w:pPr>
    </w:p>
    <w:p w14:paraId="2AC6AF75" w14:textId="2EFB1419" w:rsidR="00BA45A0" w:rsidRPr="00B63455" w:rsidRDefault="00BF4739" w:rsidP="00B63455">
      <w:pPr>
        <w:tabs>
          <w:tab w:val="left" w:pos="5626"/>
        </w:tabs>
        <w:spacing w:after="0" w:line="312" w:lineRule="auto"/>
      </w:pPr>
      <w:r w:rsidRPr="00B63455">
        <w:rPr>
          <w:b/>
          <w:bCs/>
        </w:rPr>
        <w:t>SEPTIMO:</w:t>
      </w:r>
      <w:r w:rsidR="00062414" w:rsidRPr="00B63455">
        <w:rPr>
          <w:b/>
          <w:bCs/>
        </w:rPr>
        <w:t xml:space="preserve"> </w:t>
      </w:r>
      <w:r w:rsidR="00062414" w:rsidRPr="00B63455">
        <w:t xml:space="preserve">Por otro lado, </w:t>
      </w:r>
      <w:r w:rsidR="00017BBD" w:rsidRPr="00B63455">
        <w:t xml:space="preserve">el despacho </w:t>
      </w:r>
      <w:r w:rsidR="00BA45A0" w:rsidRPr="00B63455">
        <w:t xml:space="preserve">en la sentencia </w:t>
      </w:r>
      <w:r w:rsidR="00A31922" w:rsidRPr="00B63455">
        <w:t xml:space="preserve">No. 428 del 16 de diciembre de 2024 reconoció </w:t>
      </w:r>
      <w:r w:rsidR="00F00366" w:rsidRPr="00B63455">
        <w:t xml:space="preserve">que existía </w:t>
      </w:r>
      <w:r w:rsidR="004821C5" w:rsidRPr="00B63455">
        <w:t xml:space="preserve">la cláusula de indemnidad pactada en la cláusula 29 del </w:t>
      </w:r>
      <w:r w:rsidR="00A31922" w:rsidRPr="00B63455">
        <w:t>contrato No. DO-0129-2011 suscrito el 1 de abril de 2011 entre Telmex Colombia S.A. y DICO Telecomunicaciones S.A.</w:t>
      </w:r>
      <w:r w:rsidR="004821C5" w:rsidRPr="00B63455">
        <w:t xml:space="preserve"> y al respecto el H. Tribunal dijo:</w:t>
      </w:r>
    </w:p>
    <w:p w14:paraId="4A8F28EC" w14:textId="77777777" w:rsidR="00BA45A0" w:rsidRPr="00B63455" w:rsidRDefault="00BA45A0" w:rsidP="00B63455">
      <w:pPr>
        <w:tabs>
          <w:tab w:val="left" w:pos="5626"/>
        </w:tabs>
        <w:spacing w:after="0" w:line="312" w:lineRule="auto"/>
      </w:pPr>
    </w:p>
    <w:p w14:paraId="6FAE4A77" w14:textId="23976FF5" w:rsidR="00BF4739" w:rsidRPr="00B63455" w:rsidRDefault="00BA45A0" w:rsidP="00B63455">
      <w:pPr>
        <w:tabs>
          <w:tab w:val="left" w:pos="5626"/>
        </w:tabs>
        <w:spacing w:after="0" w:line="312" w:lineRule="auto"/>
        <w:jc w:val="center"/>
      </w:pPr>
      <w:r w:rsidRPr="00B63455">
        <w:drawing>
          <wp:inline distT="0" distB="0" distL="0" distR="0" wp14:anchorId="262F9455" wp14:editId="269BAC83">
            <wp:extent cx="4810125" cy="1535145"/>
            <wp:effectExtent l="0" t="0" r="0" b="8255"/>
            <wp:docPr id="21403181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18101" name=""/>
                    <pic:cNvPicPr/>
                  </pic:nvPicPr>
                  <pic:blipFill>
                    <a:blip r:embed="rId11"/>
                    <a:stretch>
                      <a:fillRect/>
                    </a:stretch>
                  </pic:blipFill>
                  <pic:spPr>
                    <a:xfrm>
                      <a:off x="0" y="0"/>
                      <a:ext cx="4822019" cy="1538941"/>
                    </a:xfrm>
                    <a:prstGeom prst="rect">
                      <a:avLst/>
                    </a:prstGeom>
                  </pic:spPr>
                </pic:pic>
              </a:graphicData>
            </a:graphic>
          </wp:inline>
        </w:drawing>
      </w:r>
    </w:p>
    <w:p w14:paraId="3B290203" w14:textId="77777777" w:rsidR="001C6AE4" w:rsidRPr="00B63455" w:rsidRDefault="001C6AE4" w:rsidP="00B63455">
      <w:pPr>
        <w:tabs>
          <w:tab w:val="left" w:pos="5626"/>
        </w:tabs>
        <w:spacing w:after="0" w:line="312" w:lineRule="auto"/>
      </w:pPr>
    </w:p>
    <w:p w14:paraId="21E53405" w14:textId="667EBD60" w:rsidR="001C6AE4" w:rsidRPr="00B63455" w:rsidRDefault="004821C5" w:rsidP="00B63455">
      <w:pPr>
        <w:tabs>
          <w:tab w:val="left" w:pos="5626"/>
        </w:tabs>
        <w:spacing w:after="0" w:line="312" w:lineRule="auto"/>
      </w:pPr>
      <w:r w:rsidRPr="00B63455">
        <w:t xml:space="preserve">Por lo anterior, no existe claridad frente a la responsabilidad de </w:t>
      </w:r>
      <w:r w:rsidRPr="00B63455">
        <w:t>Telmex Colombia S.A.</w:t>
      </w:r>
      <w:r w:rsidRPr="00B63455">
        <w:t xml:space="preserve">, teniendo en cuenta que finalmente se reconoció </w:t>
      </w:r>
      <w:r w:rsidR="006B057E" w:rsidRPr="00B63455">
        <w:t>que existía una</w:t>
      </w:r>
      <w:r w:rsidRPr="00B63455">
        <w:t xml:space="preserve"> </w:t>
      </w:r>
      <w:r w:rsidRPr="00B63455">
        <w:rPr>
          <w:u w:val="single"/>
        </w:rPr>
        <w:t>cl</w:t>
      </w:r>
      <w:r w:rsidR="000C4BC4" w:rsidRPr="00B63455">
        <w:rPr>
          <w:u w:val="single"/>
        </w:rPr>
        <w:t>á</w:t>
      </w:r>
      <w:r w:rsidRPr="00B63455">
        <w:rPr>
          <w:u w:val="single"/>
        </w:rPr>
        <w:t>usula de indemni</w:t>
      </w:r>
      <w:r w:rsidR="000C4BC4" w:rsidRPr="00B63455">
        <w:rPr>
          <w:u w:val="single"/>
        </w:rPr>
        <w:t>dad</w:t>
      </w:r>
      <w:r w:rsidR="000C4BC4" w:rsidRPr="00B63455">
        <w:t xml:space="preserve"> a su favor y </w:t>
      </w:r>
      <w:r w:rsidR="006B057E" w:rsidRPr="00B63455">
        <w:t xml:space="preserve">que en esta medida </w:t>
      </w:r>
      <w:r w:rsidR="000C4BC4" w:rsidRPr="00B63455">
        <w:t>DICO Telecomunicaciones S.A.</w:t>
      </w:r>
      <w:r w:rsidR="000C4BC4" w:rsidRPr="00B63455">
        <w:t xml:space="preserve"> </w:t>
      </w:r>
      <w:r w:rsidR="00D64A0A" w:rsidRPr="00B63455">
        <w:t>ser</w:t>
      </w:r>
      <w:r w:rsidR="002400F2" w:rsidRPr="00B63455">
        <w:t>í</w:t>
      </w:r>
      <w:r w:rsidR="00D64A0A" w:rsidRPr="00B63455">
        <w:t xml:space="preserve">a </w:t>
      </w:r>
      <w:r w:rsidR="000C4BC4" w:rsidRPr="00B63455">
        <w:t>el responsable por los daños y perjuicios causados a terceros</w:t>
      </w:r>
      <w:r w:rsidR="00D64A0A" w:rsidRPr="00B63455">
        <w:t xml:space="preserve"> derivados de la ejecución del contrato suscrito con Telmex. </w:t>
      </w:r>
    </w:p>
    <w:p w14:paraId="229CAA8D" w14:textId="77777777" w:rsidR="00D64A0A" w:rsidRPr="00B63455" w:rsidRDefault="00D64A0A" w:rsidP="00B63455">
      <w:pPr>
        <w:tabs>
          <w:tab w:val="left" w:pos="5626"/>
        </w:tabs>
        <w:spacing w:after="0" w:line="312" w:lineRule="auto"/>
        <w:ind w:left="0" w:firstLine="0"/>
      </w:pPr>
    </w:p>
    <w:p w14:paraId="016042F4" w14:textId="082E1E20" w:rsidR="00557F63" w:rsidRPr="00B63455" w:rsidRDefault="00557F63" w:rsidP="00B63455">
      <w:pPr>
        <w:tabs>
          <w:tab w:val="left" w:pos="5626"/>
        </w:tabs>
        <w:spacing w:after="0" w:line="312" w:lineRule="auto"/>
      </w:pPr>
      <w:r w:rsidRPr="00B63455">
        <w:rPr>
          <w:b/>
          <w:bCs/>
        </w:rPr>
        <w:t>SE</w:t>
      </w:r>
      <w:r w:rsidR="00FD6421" w:rsidRPr="00B63455">
        <w:rPr>
          <w:b/>
          <w:bCs/>
        </w:rPr>
        <w:t>PTIMO</w:t>
      </w:r>
      <w:r w:rsidRPr="00B63455">
        <w:rPr>
          <w:b/>
          <w:bCs/>
        </w:rPr>
        <w:t xml:space="preserve">: </w:t>
      </w:r>
      <w:r w:rsidR="00916628" w:rsidRPr="00B63455">
        <w:t>Así mismo</w:t>
      </w:r>
      <w:r w:rsidR="00FB3661" w:rsidRPr="00B63455">
        <w:t xml:space="preserve"> </w:t>
      </w:r>
      <w:r w:rsidR="00916628" w:rsidRPr="00B63455">
        <w:t xml:space="preserve">en </w:t>
      </w:r>
      <w:r w:rsidR="00FB3661" w:rsidRPr="00B63455">
        <w:t xml:space="preserve">la parte resolutiva de la sentencia el despacho condenó a SOLIDARIA y a DICO a reembolsar a TELMEX lo que esta pague de la condena, sin </w:t>
      </w:r>
      <w:r w:rsidR="009F55F1" w:rsidRPr="00B63455">
        <w:t>embargo,</w:t>
      </w:r>
      <w:r w:rsidR="00FB3661" w:rsidRPr="00B63455">
        <w:t xml:space="preserve"> </w:t>
      </w:r>
      <w:r w:rsidR="00916628" w:rsidRPr="00B63455">
        <w:t xml:space="preserve">no </w:t>
      </w:r>
      <w:r w:rsidR="00FB3661" w:rsidRPr="00B63455">
        <w:t xml:space="preserve">existe </w:t>
      </w:r>
      <w:r w:rsidR="00916628" w:rsidRPr="00B63455">
        <w:t>claridad</w:t>
      </w:r>
      <w:r w:rsidR="00921D50" w:rsidRPr="00B63455">
        <w:t xml:space="preserve"> frente al porcentaje que debe asumir cada una, entiendo que las aseguradoras no son solidarias frente a su asegurado, por lo que es necesario que el despacho ACLARE </w:t>
      </w:r>
      <w:r w:rsidR="00FB3661" w:rsidRPr="00B63455">
        <w:t xml:space="preserve">la prelación </w:t>
      </w:r>
      <w:r w:rsidR="0057799E" w:rsidRPr="00B63455">
        <w:t>y/</w:t>
      </w:r>
      <w:proofErr w:type="spellStart"/>
      <w:r w:rsidR="0057799E" w:rsidRPr="00B63455">
        <w:t>o</w:t>
      </w:r>
      <w:proofErr w:type="spellEnd"/>
      <w:r w:rsidR="0057799E" w:rsidRPr="00B63455">
        <w:t xml:space="preserve"> orden de </w:t>
      </w:r>
      <w:r w:rsidR="0057799E" w:rsidRPr="00B63455">
        <w:lastRenderedPageBreak/>
        <w:t xml:space="preserve">los reembolsos o la cuantía o porcentaje que debería asumir cada una de </w:t>
      </w:r>
      <w:r w:rsidR="009F55F1" w:rsidRPr="00B63455">
        <w:t xml:space="preserve">estas dos llamadas en garantía. </w:t>
      </w:r>
    </w:p>
    <w:p w14:paraId="6A0DA3A2" w14:textId="77777777" w:rsidR="002240A1" w:rsidRPr="00B63455" w:rsidRDefault="002240A1" w:rsidP="00B63455">
      <w:pPr>
        <w:tabs>
          <w:tab w:val="left" w:pos="5626"/>
        </w:tabs>
        <w:spacing w:after="0" w:line="312" w:lineRule="auto"/>
      </w:pPr>
    </w:p>
    <w:p w14:paraId="4F4C5450" w14:textId="73BAFD67" w:rsidR="00532A05" w:rsidRPr="00B63455" w:rsidRDefault="00532A05" w:rsidP="00B63455">
      <w:pPr>
        <w:pStyle w:val="Prrafodelista"/>
        <w:numPr>
          <w:ilvl w:val="0"/>
          <w:numId w:val="5"/>
        </w:numPr>
        <w:tabs>
          <w:tab w:val="left" w:pos="5626"/>
        </w:tabs>
        <w:spacing w:after="0" w:line="312" w:lineRule="auto"/>
        <w:ind w:left="284" w:hanging="283"/>
        <w:jc w:val="center"/>
        <w:rPr>
          <w:b/>
          <w:bCs/>
          <w:u w:val="single"/>
        </w:rPr>
      </w:pPr>
      <w:r w:rsidRPr="00B63455">
        <w:rPr>
          <w:b/>
          <w:bCs/>
          <w:u w:val="single"/>
        </w:rPr>
        <w:t>PETICIÓN</w:t>
      </w:r>
    </w:p>
    <w:p w14:paraId="3E4B6A30" w14:textId="77777777" w:rsidR="00532A05" w:rsidRPr="00B63455" w:rsidRDefault="00532A05" w:rsidP="00B63455">
      <w:pPr>
        <w:tabs>
          <w:tab w:val="left" w:pos="5626"/>
        </w:tabs>
        <w:spacing w:after="0" w:line="312" w:lineRule="auto"/>
      </w:pPr>
    </w:p>
    <w:p w14:paraId="6E358734" w14:textId="0CEFEE1D" w:rsidR="00532A05" w:rsidRPr="00B63455" w:rsidRDefault="00532A05" w:rsidP="00B63455">
      <w:pPr>
        <w:tabs>
          <w:tab w:val="left" w:pos="5626"/>
        </w:tabs>
        <w:spacing w:after="0" w:line="312" w:lineRule="auto"/>
      </w:pPr>
      <w:r w:rsidRPr="00B63455">
        <w:t xml:space="preserve">Respetuosamente solicito al </w:t>
      </w:r>
      <w:r w:rsidR="003C6ECB" w:rsidRPr="00B63455">
        <w:t>H. Tribunal Administrativo del Valle del Cauca</w:t>
      </w:r>
      <w:r w:rsidRPr="00B63455">
        <w:t xml:space="preserve"> lo siguiente:</w:t>
      </w:r>
    </w:p>
    <w:p w14:paraId="1690D8F1" w14:textId="77777777" w:rsidR="00532A05" w:rsidRPr="00B63455" w:rsidRDefault="00532A05" w:rsidP="00B63455">
      <w:pPr>
        <w:tabs>
          <w:tab w:val="left" w:pos="5626"/>
        </w:tabs>
        <w:spacing w:after="0" w:line="312" w:lineRule="auto"/>
      </w:pPr>
    </w:p>
    <w:p w14:paraId="31697C16" w14:textId="274FEF3F" w:rsidR="000E517C" w:rsidRPr="00B63455" w:rsidRDefault="00532A05" w:rsidP="00B63455">
      <w:pPr>
        <w:tabs>
          <w:tab w:val="left" w:pos="5626"/>
        </w:tabs>
        <w:spacing w:after="0" w:line="312" w:lineRule="auto"/>
      </w:pPr>
      <w:r w:rsidRPr="00B63455">
        <w:rPr>
          <w:b/>
          <w:bCs/>
        </w:rPr>
        <w:t>PRIMERO:</w:t>
      </w:r>
      <w:r w:rsidRPr="00B63455">
        <w:t xml:space="preserve"> Qu</w:t>
      </w:r>
      <w:r w:rsidR="00E141F9" w:rsidRPr="00B63455">
        <w:t>é</w:t>
      </w:r>
      <w:r w:rsidRPr="00B63455">
        <w:t xml:space="preserve"> se </w:t>
      </w:r>
      <w:r w:rsidR="00BB1D5A" w:rsidRPr="00B63455">
        <w:rPr>
          <w:b/>
          <w:bCs/>
        </w:rPr>
        <w:t>ADICIONE</w:t>
      </w:r>
      <w:r w:rsidR="00BB1D5A" w:rsidRPr="00B63455">
        <w:t xml:space="preserve"> la sentencia No. 428 del 16 de diciembre de 2024 en el sentido de pronunciarse sobre l</w:t>
      </w:r>
      <w:r w:rsidR="00BB1D5A" w:rsidRPr="00B63455">
        <w:rPr>
          <w:u w:val="single"/>
        </w:rPr>
        <w:t>a falta de legitimación en la causa por activa de EMCALI de llamar en garantía a la ASEGURADORA SOLIDARIA DE COLOMBIA E.C.</w:t>
      </w:r>
      <w:r w:rsidR="00BB1D5A" w:rsidRPr="00B63455">
        <w:t xml:space="preserve"> que fue formulada por mi prohijada desde la contestación de la demanda y llamamiento en garantía y reiterado en los alegatos de conclusión presentados en primera instancia, al no prestar cobertura los contratos de seguros vinculados por EMCALI. </w:t>
      </w:r>
    </w:p>
    <w:p w14:paraId="348F207D" w14:textId="77777777" w:rsidR="00E141F9" w:rsidRPr="00B63455" w:rsidRDefault="00E141F9" w:rsidP="00B63455">
      <w:pPr>
        <w:tabs>
          <w:tab w:val="left" w:pos="5626"/>
        </w:tabs>
        <w:spacing w:after="0" w:line="312" w:lineRule="auto"/>
      </w:pPr>
    </w:p>
    <w:p w14:paraId="6D59C92E" w14:textId="325BDBBB" w:rsidR="000E517C" w:rsidRPr="00B63455" w:rsidRDefault="008136D4" w:rsidP="00B63455">
      <w:pPr>
        <w:tabs>
          <w:tab w:val="left" w:pos="5626"/>
        </w:tabs>
        <w:spacing w:after="0" w:line="312" w:lineRule="auto"/>
        <w:rPr>
          <w:b/>
          <w:bCs/>
        </w:rPr>
      </w:pPr>
      <w:r w:rsidRPr="00B63455">
        <w:rPr>
          <w:b/>
          <w:bCs/>
        </w:rPr>
        <w:t xml:space="preserve">SEGUNDO: </w:t>
      </w:r>
      <w:r w:rsidR="00E141F9" w:rsidRPr="00B63455">
        <w:t xml:space="preserve">Qué se </w:t>
      </w:r>
      <w:r w:rsidR="00E141F9" w:rsidRPr="00B63455">
        <w:rPr>
          <w:b/>
          <w:bCs/>
        </w:rPr>
        <w:t xml:space="preserve">ACLARE </w:t>
      </w:r>
      <w:r w:rsidR="00E141F9" w:rsidRPr="00B63455">
        <w:t xml:space="preserve">la </w:t>
      </w:r>
      <w:r w:rsidR="00E141F9" w:rsidRPr="00B63455">
        <w:t>sentencia No. 428 del 16 de diciembre de 202</w:t>
      </w:r>
      <w:r w:rsidR="00E141F9" w:rsidRPr="00B63455">
        <w:t>4, en el sentido de</w:t>
      </w:r>
      <w:r w:rsidR="00356018" w:rsidRPr="00B63455">
        <w:t xml:space="preserve"> indicar si TELMEX COLOMBIA S.A. es responsable o no, ya que se reconoció </w:t>
      </w:r>
      <w:r w:rsidR="00356018" w:rsidRPr="00B63455">
        <w:t xml:space="preserve">que existía una </w:t>
      </w:r>
      <w:r w:rsidR="00356018" w:rsidRPr="00B63455">
        <w:rPr>
          <w:u w:val="single"/>
        </w:rPr>
        <w:t>cláusula de indemnidad</w:t>
      </w:r>
      <w:r w:rsidR="00356018" w:rsidRPr="00B63455">
        <w:t xml:space="preserve"> a su favor y que en esta medida DICO Telecomunicaciones S.A.</w:t>
      </w:r>
      <w:r w:rsidR="002400F2" w:rsidRPr="00B63455">
        <w:t xml:space="preserve"> </w:t>
      </w:r>
      <w:r w:rsidR="002400F2" w:rsidRPr="00B63455">
        <w:t>ser</w:t>
      </w:r>
      <w:r w:rsidR="003C01B0" w:rsidRPr="00B63455">
        <w:t>í</w:t>
      </w:r>
      <w:r w:rsidR="002400F2" w:rsidRPr="00B63455">
        <w:t>a el responsable por los daños y perjuicios causados a terceros derivados de la ejecución del contrato suscrito con Telmex</w:t>
      </w:r>
      <w:r w:rsidR="00E836C0" w:rsidRPr="00B63455">
        <w:t>.</w:t>
      </w:r>
    </w:p>
    <w:p w14:paraId="017BC3E1" w14:textId="77777777" w:rsidR="000E517C" w:rsidRPr="00B63455" w:rsidRDefault="000E517C" w:rsidP="00B63455">
      <w:pPr>
        <w:tabs>
          <w:tab w:val="left" w:pos="5626"/>
        </w:tabs>
        <w:spacing w:after="0" w:line="312" w:lineRule="auto"/>
        <w:rPr>
          <w:b/>
          <w:bCs/>
        </w:rPr>
      </w:pPr>
    </w:p>
    <w:p w14:paraId="6EAAC36A" w14:textId="64D4807C" w:rsidR="008136D4" w:rsidRDefault="000E517C" w:rsidP="00B63455">
      <w:pPr>
        <w:tabs>
          <w:tab w:val="left" w:pos="5626"/>
        </w:tabs>
        <w:spacing w:after="0" w:line="312" w:lineRule="auto"/>
      </w:pPr>
      <w:r w:rsidRPr="00B63455">
        <w:rPr>
          <w:b/>
          <w:bCs/>
        </w:rPr>
        <w:t>TERCERO</w:t>
      </w:r>
      <w:r w:rsidRPr="00B63455">
        <w:t>: Que</w:t>
      </w:r>
      <w:r w:rsidR="00F608B9" w:rsidRPr="00B63455">
        <w:t xml:space="preserve"> se </w:t>
      </w:r>
      <w:r w:rsidR="00F608B9" w:rsidRPr="00B63455">
        <w:rPr>
          <w:b/>
          <w:bCs/>
        </w:rPr>
        <w:t>ACLARE Y/O ADICIONE</w:t>
      </w:r>
      <w:r w:rsidR="00F608B9" w:rsidRPr="00B63455">
        <w:t xml:space="preserve"> la sentencia No. 428 del 16 de diciembre de 2024 en el sentido de indicar </w:t>
      </w:r>
      <w:r w:rsidR="00636309" w:rsidRPr="00B63455">
        <w:t>l</w:t>
      </w:r>
      <w:r w:rsidR="00F608B9" w:rsidRPr="00B63455">
        <w:t>a prelación u orden en el que la</w:t>
      </w:r>
      <w:r w:rsidR="00B63455" w:rsidRPr="00B63455">
        <w:t>s llamadas en garantía,</w:t>
      </w:r>
      <w:r w:rsidR="00F608B9" w:rsidRPr="00B63455">
        <w:t xml:space="preserve"> ASEGURADORA SOLIDARIA DE COLOMBIA E.C. y </w:t>
      </w:r>
      <w:r w:rsidR="00636309" w:rsidRPr="00B63455">
        <w:t xml:space="preserve">DICO TELECOMUNICACIONES S.A. deben realizar el reembolso a TELMEX COLOMBIA S.A. o el porcentaje </w:t>
      </w:r>
      <w:r w:rsidR="00B63455" w:rsidRPr="00B63455">
        <w:t xml:space="preserve">o cuantía </w:t>
      </w:r>
      <w:r w:rsidR="00636309" w:rsidRPr="00B63455">
        <w:t>que deberá asumir cada una</w:t>
      </w:r>
      <w:r w:rsidR="001D5FAF" w:rsidRPr="00B63455">
        <w:t>, teniendo en cuenta las condiciones generales y particulares del contrato de seguro</w:t>
      </w:r>
      <w:r w:rsidR="00636309" w:rsidRPr="00B63455">
        <w:t xml:space="preserve">. </w:t>
      </w:r>
    </w:p>
    <w:p w14:paraId="0FEA668B" w14:textId="77777777" w:rsidR="0019049F" w:rsidRDefault="0019049F" w:rsidP="00B63455">
      <w:pPr>
        <w:tabs>
          <w:tab w:val="left" w:pos="5626"/>
        </w:tabs>
        <w:spacing w:after="0" w:line="312" w:lineRule="auto"/>
      </w:pPr>
    </w:p>
    <w:p w14:paraId="00CA8F31" w14:textId="46547FD1" w:rsidR="00532A05" w:rsidRPr="00B63455" w:rsidRDefault="00532A05" w:rsidP="00B63455">
      <w:pPr>
        <w:pStyle w:val="Prrafodelista"/>
        <w:numPr>
          <w:ilvl w:val="0"/>
          <w:numId w:val="5"/>
        </w:numPr>
        <w:tabs>
          <w:tab w:val="left" w:pos="5626"/>
        </w:tabs>
        <w:spacing w:after="0" w:line="312" w:lineRule="auto"/>
        <w:ind w:left="284" w:hanging="284"/>
        <w:jc w:val="center"/>
        <w:rPr>
          <w:b/>
          <w:bCs/>
          <w:u w:val="single"/>
        </w:rPr>
      </w:pPr>
      <w:r w:rsidRPr="00B63455">
        <w:rPr>
          <w:b/>
          <w:bCs/>
          <w:u w:val="single"/>
        </w:rPr>
        <w:t>NOTIFICACIONES</w:t>
      </w:r>
    </w:p>
    <w:p w14:paraId="75E3F91A" w14:textId="77777777" w:rsidR="00532A05" w:rsidRPr="00B63455" w:rsidRDefault="00532A05" w:rsidP="00B63455">
      <w:pPr>
        <w:tabs>
          <w:tab w:val="left" w:pos="5626"/>
        </w:tabs>
        <w:spacing w:after="0" w:line="312" w:lineRule="auto"/>
      </w:pPr>
    </w:p>
    <w:p w14:paraId="45D86464" w14:textId="77777777" w:rsidR="00532A05" w:rsidRPr="00B63455" w:rsidRDefault="00532A05" w:rsidP="00B63455">
      <w:pPr>
        <w:tabs>
          <w:tab w:val="left" w:pos="9356"/>
        </w:tabs>
        <w:spacing w:after="0" w:line="312" w:lineRule="auto"/>
        <w:ind w:left="-5" w:right="142"/>
        <w:rPr>
          <w:b/>
          <w:bCs/>
          <w:u w:val="single"/>
        </w:rPr>
      </w:pPr>
      <w:r w:rsidRPr="00B63455">
        <w:t xml:space="preserve">Al suscrito, en la Avenida 6 A Bis No. 35N-100 oficina 212 de la Ciudad de Cali (V), correo electrónico: </w:t>
      </w:r>
      <w:hyperlink r:id="rId12" w:history="1">
        <w:r w:rsidRPr="00B63455">
          <w:rPr>
            <w:rStyle w:val="Hipervnculo"/>
            <w:b/>
            <w:bCs/>
          </w:rPr>
          <w:t>notificaciones@gha.com.co</w:t>
        </w:r>
      </w:hyperlink>
    </w:p>
    <w:p w14:paraId="090E981F" w14:textId="77777777" w:rsidR="00F21B18" w:rsidRPr="00B63455" w:rsidRDefault="00F21B18" w:rsidP="00B63455">
      <w:pPr>
        <w:spacing w:after="0" w:line="312" w:lineRule="auto"/>
      </w:pPr>
      <w:r w:rsidRPr="00B63455">
        <w:rPr>
          <w:noProof/>
        </w:rPr>
        <w:drawing>
          <wp:anchor distT="0" distB="0" distL="114300" distR="114300" simplePos="0" relativeHeight="251659264" behindDoc="1" locked="0" layoutInCell="1" allowOverlap="0" wp14:anchorId="431534D6" wp14:editId="1F98DCEC">
            <wp:simplePos x="0" y="0"/>
            <wp:positionH relativeFrom="column">
              <wp:posOffset>19050</wp:posOffset>
            </wp:positionH>
            <wp:positionV relativeFrom="paragraph">
              <wp:posOffset>144145</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Pr="00B63455">
        <w:t xml:space="preserve"> </w:t>
      </w:r>
    </w:p>
    <w:p w14:paraId="0FEE9D7B" w14:textId="77777777" w:rsidR="00F21B18" w:rsidRPr="00B63455" w:rsidRDefault="00F21B18" w:rsidP="00B63455">
      <w:pPr>
        <w:spacing w:after="0" w:line="312" w:lineRule="auto"/>
      </w:pPr>
      <w:r w:rsidRPr="00B63455">
        <w:t>Cordialmente,</w:t>
      </w:r>
    </w:p>
    <w:p w14:paraId="501C1E59" w14:textId="77777777" w:rsidR="00F21B18" w:rsidRPr="00B63455" w:rsidRDefault="00F21B18" w:rsidP="00B63455">
      <w:pPr>
        <w:spacing w:after="0" w:line="312" w:lineRule="auto"/>
      </w:pPr>
    </w:p>
    <w:p w14:paraId="61C50BAE" w14:textId="77777777" w:rsidR="00F21B18" w:rsidRPr="00B63455" w:rsidRDefault="00F21B18" w:rsidP="00B63455">
      <w:pPr>
        <w:spacing w:after="0" w:line="312" w:lineRule="auto"/>
        <w:rPr>
          <w:b/>
        </w:rPr>
      </w:pPr>
    </w:p>
    <w:p w14:paraId="5F5DF9C3" w14:textId="77777777" w:rsidR="00F21B18" w:rsidRPr="00B63455" w:rsidRDefault="00F21B18" w:rsidP="00B63455">
      <w:pPr>
        <w:spacing w:after="0" w:line="312" w:lineRule="auto"/>
        <w:rPr>
          <w:b/>
        </w:rPr>
      </w:pPr>
    </w:p>
    <w:p w14:paraId="334388BB" w14:textId="77777777" w:rsidR="00F21B18" w:rsidRPr="00B63455" w:rsidRDefault="00F21B18" w:rsidP="00B63455">
      <w:pPr>
        <w:spacing w:after="0" w:line="312" w:lineRule="auto"/>
      </w:pPr>
      <w:r w:rsidRPr="00B63455">
        <w:rPr>
          <w:b/>
        </w:rPr>
        <w:t xml:space="preserve">GUSTAVO ALBERTO HERRERA ÁVILA </w:t>
      </w:r>
    </w:p>
    <w:p w14:paraId="40E12E13" w14:textId="77777777" w:rsidR="00F21B18" w:rsidRPr="00B63455" w:rsidRDefault="00F21B18" w:rsidP="00B63455">
      <w:pPr>
        <w:spacing w:after="0" w:line="312" w:lineRule="auto"/>
      </w:pPr>
      <w:r w:rsidRPr="00B63455">
        <w:t xml:space="preserve">C.C.  No. 19.395.114 de Bogotá </w:t>
      </w:r>
    </w:p>
    <w:p w14:paraId="00580B96" w14:textId="7F9944B2" w:rsidR="00C53004" w:rsidRPr="00B63455" w:rsidRDefault="00F21B18" w:rsidP="00B63455">
      <w:pPr>
        <w:spacing w:after="0" w:line="312" w:lineRule="auto"/>
      </w:pPr>
      <w:r w:rsidRPr="00B63455">
        <w:t>T.P. No. 39.116 del C. S. de la J.</w:t>
      </w:r>
      <w:r w:rsidR="00C53004" w:rsidRPr="00B63455">
        <w:t xml:space="preserve"> </w:t>
      </w:r>
    </w:p>
    <w:p w14:paraId="1E60E359" w14:textId="77777777" w:rsidR="00194DAC" w:rsidRPr="00B63455" w:rsidRDefault="00194DAC" w:rsidP="00B63455">
      <w:pPr>
        <w:tabs>
          <w:tab w:val="left" w:pos="5626"/>
        </w:tabs>
        <w:spacing w:after="0" w:line="312" w:lineRule="auto"/>
      </w:pPr>
    </w:p>
    <w:sectPr w:rsidR="00194DAC" w:rsidRPr="00B63455" w:rsidSect="00B54DCC">
      <w:headerReference w:type="default" r:id="rId14"/>
      <w:footerReference w:type="default" r:id="rId1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B50D8" w14:textId="77777777" w:rsidR="008140E4" w:rsidRDefault="008140E4" w:rsidP="0025591F">
      <w:r>
        <w:separator/>
      </w:r>
    </w:p>
  </w:endnote>
  <w:endnote w:type="continuationSeparator" w:id="0">
    <w:p w14:paraId="6CFD17FC" w14:textId="77777777" w:rsidR="008140E4" w:rsidRDefault="008140E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79C4"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194D8515" wp14:editId="4DF73977">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206464F9" wp14:editId="468256A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426FDD" w14:textId="77777777" w:rsidR="00416F84" w:rsidRPr="00B53272" w:rsidRDefault="00416F84" w:rsidP="00416F84">
                          <w:pPr>
                            <w:spacing w:before="10"/>
                            <w:jc w:val="right"/>
                            <w:rPr>
                              <w:rFonts w:ascii="Raleway" w:hAnsi="Raleway"/>
                              <w:color w:val="11213B"/>
                              <w:w w:val="105"/>
                              <w:sz w:val="14"/>
                              <w:szCs w:val="14"/>
                              <w:lang w:val="it-IT"/>
                            </w:rPr>
                          </w:pPr>
                          <w:r w:rsidRPr="00B53272">
                            <w:rPr>
                              <w:rFonts w:ascii="Raleway" w:hAnsi="Raleway"/>
                              <w:color w:val="11213B"/>
                              <w:w w:val="105"/>
                              <w:sz w:val="14"/>
                              <w:szCs w:val="14"/>
                              <w:lang w:val="it-IT"/>
                            </w:rPr>
                            <w:t>Cali - Av 6A Bis #35N-100, Of. 212, Cali, Valle del Cauca, Centro Empresarial Chipichape</w:t>
                          </w:r>
                          <w:r w:rsidRPr="00B53272">
                            <w:rPr>
                              <w:rFonts w:ascii="Raleway" w:hAnsi="Raleway"/>
                              <w:color w:val="11213B"/>
                              <w:w w:val="105"/>
                              <w:sz w:val="14"/>
                              <w:szCs w:val="14"/>
                              <w:lang w:val="it-IT"/>
                            </w:rPr>
                            <w:br/>
                            <w:t>+57 315 577 6200</w:t>
                          </w:r>
                          <w:r w:rsidR="00E23DED" w:rsidRPr="00B53272">
                            <w:rPr>
                              <w:rFonts w:ascii="Raleway" w:hAnsi="Raleway"/>
                              <w:color w:val="11213B"/>
                              <w:w w:val="105"/>
                              <w:sz w:val="14"/>
                              <w:szCs w:val="14"/>
                              <w:lang w:val="it-IT"/>
                            </w:rPr>
                            <w:t xml:space="preserve"> - 602-6594075</w:t>
                          </w:r>
                        </w:p>
                        <w:p w14:paraId="38E89062" w14:textId="77777777" w:rsidR="00E26B3B" w:rsidRPr="00E26B3B" w:rsidRDefault="00416F84" w:rsidP="00E26B3B">
                          <w:pPr>
                            <w:spacing w:before="10"/>
                            <w:jc w:val="right"/>
                            <w:rPr>
                              <w:rFonts w:ascii="Raleway" w:hAnsi="Raleway"/>
                              <w:color w:val="11213B"/>
                              <w:w w:val="105"/>
                              <w:sz w:val="14"/>
                              <w:szCs w:val="14"/>
                            </w:rPr>
                          </w:pPr>
                          <w:r w:rsidRPr="004A356B">
                            <w:rPr>
                              <w:rFonts w:ascii="Raleway" w:hAnsi="Raleway"/>
                              <w:color w:val="11213B"/>
                              <w:w w:val="105"/>
                              <w:sz w:val="14"/>
                              <w:szCs w:val="14"/>
                            </w:rPr>
                            <w:t>Bogotá -</w:t>
                          </w:r>
                          <w:r w:rsidR="00E26B3B">
                            <w:rPr>
                              <w:rFonts w:ascii="Raleway" w:hAnsi="Raleway"/>
                              <w:color w:val="11213B"/>
                              <w:w w:val="105"/>
                              <w:sz w:val="14"/>
                              <w:szCs w:val="14"/>
                            </w:rPr>
                            <w:t xml:space="preserve"> </w:t>
                          </w:r>
                          <w:proofErr w:type="spellStart"/>
                          <w:r w:rsidR="00E26B3B" w:rsidRPr="00E26B3B">
                            <w:rPr>
                              <w:rFonts w:ascii="Raleway" w:hAnsi="Raleway"/>
                              <w:color w:val="11213B"/>
                              <w:w w:val="105"/>
                              <w:sz w:val="14"/>
                              <w:szCs w:val="14"/>
                            </w:rPr>
                            <w:t>Cra</w:t>
                          </w:r>
                          <w:proofErr w:type="spellEnd"/>
                          <w:r w:rsidR="00E26B3B" w:rsidRPr="00E26B3B">
                            <w:rPr>
                              <w:rFonts w:ascii="Raleway" w:hAnsi="Raleway"/>
                              <w:color w:val="11213B"/>
                              <w:w w:val="105"/>
                              <w:sz w:val="14"/>
                              <w:szCs w:val="14"/>
                            </w:rPr>
                            <w:t xml:space="preserve"> 11A # 94A - 23 de 201</w:t>
                          </w:r>
                        </w:p>
                        <w:p w14:paraId="6CCA1775" w14:textId="0B4382D0"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464F9" id="Rectángulo 4" o:spid="_x0000_s1026" style="position:absolute;left:0;text-align:left;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1426FDD" w14:textId="77777777" w:rsidR="00416F84" w:rsidRPr="00B53272" w:rsidRDefault="00416F84" w:rsidP="00416F84">
                    <w:pPr>
                      <w:spacing w:before="10"/>
                      <w:jc w:val="right"/>
                      <w:rPr>
                        <w:rFonts w:ascii="Raleway" w:hAnsi="Raleway"/>
                        <w:color w:val="11213B"/>
                        <w:w w:val="105"/>
                        <w:sz w:val="14"/>
                        <w:szCs w:val="14"/>
                        <w:lang w:val="it-IT"/>
                      </w:rPr>
                    </w:pPr>
                    <w:r w:rsidRPr="00B53272">
                      <w:rPr>
                        <w:rFonts w:ascii="Raleway" w:hAnsi="Raleway"/>
                        <w:color w:val="11213B"/>
                        <w:w w:val="105"/>
                        <w:sz w:val="14"/>
                        <w:szCs w:val="14"/>
                        <w:lang w:val="it-IT"/>
                      </w:rPr>
                      <w:t>Cali - Av 6A Bis #35N-100, Of. 212, Cali, Valle del Cauca, Centro Empresarial Chipichape</w:t>
                    </w:r>
                    <w:r w:rsidRPr="00B53272">
                      <w:rPr>
                        <w:rFonts w:ascii="Raleway" w:hAnsi="Raleway"/>
                        <w:color w:val="11213B"/>
                        <w:w w:val="105"/>
                        <w:sz w:val="14"/>
                        <w:szCs w:val="14"/>
                        <w:lang w:val="it-IT"/>
                      </w:rPr>
                      <w:br/>
                      <w:t>+57 315 577 6200</w:t>
                    </w:r>
                    <w:r w:rsidR="00E23DED" w:rsidRPr="00B53272">
                      <w:rPr>
                        <w:rFonts w:ascii="Raleway" w:hAnsi="Raleway"/>
                        <w:color w:val="11213B"/>
                        <w:w w:val="105"/>
                        <w:sz w:val="14"/>
                        <w:szCs w:val="14"/>
                        <w:lang w:val="it-IT"/>
                      </w:rPr>
                      <w:t xml:space="preserve"> - 602-6594075</w:t>
                    </w:r>
                  </w:p>
                  <w:p w14:paraId="38E89062" w14:textId="77777777" w:rsidR="00E26B3B" w:rsidRPr="00E26B3B" w:rsidRDefault="00416F84" w:rsidP="00E26B3B">
                    <w:pPr>
                      <w:spacing w:before="10"/>
                      <w:jc w:val="right"/>
                      <w:rPr>
                        <w:rFonts w:ascii="Raleway" w:hAnsi="Raleway"/>
                        <w:color w:val="11213B"/>
                        <w:w w:val="105"/>
                        <w:sz w:val="14"/>
                        <w:szCs w:val="14"/>
                      </w:rPr>
                    </w:pPr>
                    <w:r w:rsidRPr="004A356B">
                      <w:rPr>
                        <w:rFonts w:ascii="Raleway" w:hAnsi="Raleway"/>
                        <w:color w:val="11213B"/>
                        <w:w w:val="105"/>
                        <w:sz w:val="14"/>
                        <w:szCs w:val="14"/>
                      </w:rPr>
                      <w:t>Bogotá -</w:t>
                    </w:r>
                    <w:r w:rsidR="00E26B3B">
                      <w:rPr>
                        <w:rFonts w:ascii="Raleway" w:hAnsi="Raleway"/>
                        <w:color w:val="11213B"/>
                        <w:w w:val="105"/>
                        <w:sz w:val="14"/>
                        <w:szCs w:val="14"/>
                      </w:rPr>
                      <w:t xml:space="preserve"> </w:t>
                    </w:r>
                    <w:proofErr w:type="spellStart"/>
                    <w:r w:rsidR="00E26B3B" w:rsidRPr="00E26B3B">
                      <w:rPr>
                        <w:rFonts w:ascii="Raleway" w:hAnsi="Raleway"/>
                        <w:color w:val="11213B"/>
                        <w:w w:val="105"/>
                        <w:sz w:val="14"/>
                        <w:szCs w:val="14"/>
                      </w:rPr>
                      <w:t>Cra</w:t>
                    </w:r>
                    <w:proofErr w:type="spellEnd"/>
                    <w:r w:rsidR="00E26B3B" w:rsidRPr="00E26B3B">
                      <w:rPr>
                        <w:rFonts w:ascii="Raleway" w:hAnsi="Raleway"/>
                        <w:color w:val="11213B"/>
                        <w:w w:val="105"/>
                        <w:sz w:val="14"/>
                        <w:szCs w:val="14"/>
                      </w:rPr>
                      <w:t xml:space="preserve"> 11A # 94A - 23 de 201</w:t>
                    </w:r>
                  </w:p>
                  <w:p w14:paraId="6CCA1775" w14:textId="0B4382D0"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11435FB3" wp14:editId="60BB026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D2F78" w14:textId="77777777" w:rsidR="00416F84" w:rsidRDefault="00416F84" w:rsidP="00416F84">
    <w:pPr>
      <w:ind w:left="7080" w:firstLine="708"/>
      <w:rPr>
        <w:color w:val="222A35" w:themeColor="text2" w:themeShade="80"/>
      </w:rPr>
    </w:pPr>
  </w:p>
  <w:p w14:paraId="0B42CB37"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015757D3" wp14:editId="0ED0F48D">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5A00E3" w14:textId="5E334170" w:rsidR="00416F84" w:rsidRPr="00D20F9D" w:rsidRDefault="00D20F9D"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757D3"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445A00E3" w14:textId="5E334170" w:rsidR="00416F84" w:rsidRPr="00D20F9D" w:rsidRDefault="00D20F9D"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1C7AAE70" w14:textId="77777777" w:rsidR="00416F84" w:rsidRDefault="00416F84" w:rsidP="004A356B">
    <w:pPr>
      <w:rPr>
        <w:color w:val="222A35" w:themeColor="text2" w:themeShade="80"/>
      </w:rPr>
    </w:pPr>
  </w:p>
  <w:p w14:paraId="2982ADA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154D4EB1"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EA40F" w14:textId="77777777" w:rsidR="008140E4" w:rsidRDefault="008140E4" w:rsidP="0025591F">
      <w:r>
        <w:separator/>
      </w:r>
    </w:p>
  </w:footnote>
  <w:footnote w:type="continuationSeparator" w:id="0">
    <w:p w14:paraId="30DED42E" w14:textId="77777777" w:rsidR="008140E4" w:rsidRDefault="008140E4" w:rsidP="0025591F">
      <w:r>
        <w:continuationSeparator/>
      </w:r>
    </w:p>
  </w:footnote>
  <w:footnote w:id="1">
    <w:p w14:paraId="78816488" w14:textId="77777777" w:rsidR="006B1AA1" w:rsidRPr="00D81BAC" w:rsidRDefault="006B1AA1" w:rsidP="006B1AA1">
      <w:pPr>
        <w:pStyle w:val="Textonotapie"/>
        <w:jc w:val="both"/>
        <w:rPr>
          <w:lang w:val="es-MX"/>
        </w:rPr>
      </w:pPr>
      <w:r w:rsidRPr="00D81BAC">
        <w:rPr>
          <w:rStyle w:val="Refdenotaalpie"/>
          <w:sz w:val="16"/>
          <w:szCs w:val="16"/>
        </w:rPr>
        <w:footnoteRef/>
      </w:r>
      <w:r w:rsidRPr="00D81BAC">
        <w:rPr>
          <w:sz w:val="16"/>
          <w:szCs w:val="16"/>
        </w:rPr>
        <w:t xml:space="preserve"> </w:t>
      </w:r>
      <w:r w:rsidRPr="00D81BAC">
        <w:rPr>
          <w:sz w:val="16"/>
          <w:szCs w:val="16"/>
          <w:lang w:val="es-MX"/>
        </w:rPr>
        <w:t xml:space="preserve">CONSEJO DE ESTADO. Sala de lo Contencioso Administrativo. Sección Tercera. Rad. 56845 del 13 de diciembre de 2016, C.P. Jaime Orlando Santofimio Gamboa.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4E21"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6442ED9" wp14:editId="10C60F81">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3178"/>
    <w:multiLevelType w:val="hybridMultilevel"/>
    <w:tmpl w:val="1984490E"/>
    <w:lvl w:ilvl="0" w:tplc="240A000F">
      <w:start w:val="1"/>
      <w:numFmt w:val="decimal"/>
      <w:lvlText w:val="%1."/>
      <w:lvlJc w:val="left"/>
      <w:pPr>
        <w:ind w:left="705" w:hanging="360"/>
      </w:pPr>
    </w:lvl>
    <w:lvl w:ilvl="1" w:tplc="240A0019" w:tentative="1">
      <w:start w:val="1"/>
      <w:numFmt w:val="lowerLetter"/>
      <w:lvlText w:val="%2."/>
      <w:lvlJc w:val="left"/>
      <w:pPr>
        <w:ind w:left="1425" w:hanging="360"/>
      </w:pPr>
    </w:lvl>
    <w:lvl w:ilvl="2" w:tplc="240A001B" w:tentative="1">
      <w:start w:val="1"/>
      <w:numFmt w:val="lowerRoman"/>
      <w:lvlText w:val="%3."/>
      <w:lvlJc w:val="right"/>
      <w:pPr>
        <w:ind w:left="2145" w:hanging="180"/>
      </w:pPr>
    </w:lvl>
    <w:lvl w:ilvl="3" w:tplc="240A000F" w:tentative="1">
      <w:start w:val="1"/>
      <w:numFmt w:val="decimal"/>
      <w:lvlText w:val="%4."/>
      <w:lvlJc w:val="left"/>
      <w:pPr>
        <w:ind w:left="2865" w:hanging="360"/>
      </w:pPr>
    </w:lvl>
    <w:lvl w:ilvl="4" w:tplc="240A0019" w:tentative="1">
      <w:start w:val="1"/>
      <w:numFmt w:val="lowerLetter"/>
      <w:lvlText w:val="%5."/>
      <w:lvlJc w:val="left"/>
      <w:pPr>
        <w:ind w:left="3585" w:hanging="360"/>
      </w:pPr>
    </w:lvl>
    <w:lvl w:ilvl="5" w:tplc="240A001B" w:tentative="1">
      <w:start w:val="1"/>
      <w:numFmt w:val="lowerRoman"/>
      <w:lvlText w:val="%6."/>
      <w:lvlJc w:val="right"/>
      <w:pPr>
        <w:ind w:left="4305" w:hanging="180"/>
      </w:pPr>
    </w:lvl>
    <w:lvl w:ilvl="6" w:tplc="240A000F" w:tentative="1">
      <w:start w:val="1"/>
      <w:numFmt w:val="decimal"/>
      <w:lvlText w:val="%7."/>
      <w:lvlJc w:val="left"/>
      <w:pPr>
        <w:ind w:left="5025" w:hanging="360"/>
      </w:pPr>
    </w:lvl>
    <w:lvl w:ilvl="7" w:tplc="240A0019" w:tentative="1">
      <w:start w:val="1"/>
      <w:numFmt w:val="lowerLetter"/>
      <w:lvlText w:val="%8."/>
      <w:lvlJc w:val="left"/>
      <w:pPr>
        <w:ind w:left="5745" w:hanging="360"/>
      </w:pPr>
    </w:lvl>
    <w:lvl w:ilvl="8" w:tplc="240A001B" w:tentative="1">
      <w:start w:val="1"/>
      <w:numFmt w:val="lowerRoman"/>
      <w:lvlText w:val="%9."/>
      <w:lvlJc w:val="right"/>
      <w:pPr>
        <w:ind w:left="6465" w:hanging="180"/>
      </w:p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B83268"/>
    <w:multiLevelType w:val="hybridMultilevel"/>
    <w:tmpl w:val="59CA0C44"/>
    <w:lvl w:ilvl="0" w:tplc="F9F82630">
      <w:start w:val="1"/>
      <w:numFmt w:val="lowerRoman"/>
      <w:lvlText w:val="(%1)"/>
      <w:lvlJc w:val="left"/>
      <w:pPr>
        <w:ind w:left="705" w:hanging="720"/>
      </w:pPr>
      <w:rPr>
        <w:rFonts w:hint="default"/>
        <w:b/>
        <w:bCs/>
      </w:rPr>
    </w:lvl>
    <w:lvl w:ilvl="1" w:tplc="240A0019" w:tentative="1">
      <w:start w:val="1"/>
      <w:numFmt w:val="lowerLetter"/>
      <w:lvlText w:val="%2."/>
      <w:lvlJc w:val="left"/>
      <w:pPr>
        <w:ind w:left="1065" w:hanging="360"/>
      </w:pPr>
    </w:lvl>
    <w:lvl w:ilvl="2" w:tplc="240A001B" w:tentative="1">
      <w:start w:val="1"/>
      <w:numFmt w:val="lowerRoman"/>
      <w:lvlText w:val="%3."/>
      <w:lvlJc w:val="right"/>
      <w:pPr>
        <w:ind w:left="1785" w:hanging="180"/>
      </w:pPr>
    </w:lvl>
    <w:lvl w:ilvl="3" w:tplc="240A000F" w:tentative="1">
      <w:start w:val="1"/>
      <w:numFmt w:val="decimal"/>
      <w:lvlText w:val="%4."/>
      <w:lvlJc w:val="left"/>
      <w:pPr>
        <w:ind w:left="2505" w:hanging="360"/>
      </w:pPr>
    </w:lvl>
    <w:lvl w:ilvl="4" w:tplc="240A0019" w:tentative="1">
      <w:start w:val="1"/>
      <w:numFmt w:val="lowerLetter"/>
      <w:lvlText w:val="%5."/>
      <w:lvlJc w:val="left"/>
      <w:pPr>
        <w:ind w:left="3225" w:hanging="360"/>
      </w:pPr>
    </w:lvl>
    <w:lvl w:ilvl="5" w:tplc="240A001B" w:tentative="1">
      <w:start w:val="1"/>
      <w:numFmt w:val="lowerRoman"/>
      <w:lvlText w:val="%6."/>
      <w:lvlJc w:val="right"/>
      <w:pPr>
        <w:ind w:left="3945" w:hanging="180"/>
      </w:pPr>
    </w:lvl>
    <w:lvl w:ilvl="6" w:tplc="240A000F" w:tentative="1">
      <w:start w:val="1"/>
      <w:numFmt w:val="decimal"/>
      <w:lvlText w:val="%7."/>
      <w:lvlJc w:val="left"/>
      <w:pPr>
        <w:ind w:left="4665" w:hanging="360"/>
      </w:pPr>
    </w:lvl>
    <w:lvl w:ilvl="7" w:tplc="240A0019" w:tentative="1">
      <w:start w:val="1"/>
      <w:numFmt w:val="lowerLetter"/>
      <w:lvlText w:val="%8."/>
      <w:lvlJc w:val="left"/>
      <w:pPr>
        <w:ind w:left="5385" w:hanging="360"/>
      </w:pPr>
    </w:lvl>
    <w:lvl w:ilvl="8" w:tplc="240A001B" w:tentative="1">
      <w:start w:val="1"/>
      <w:numFmt w:val="lowerRoman"/>
      <w:lvlText w:val="%9."/>
      <w:lvlJc w:val="right"/>
      <w:pPr>
        <w:ind w:left="6105" w:hanging="180"/>
      </w:pPr>
    </w:lvl>
  </w:abstractNum>
  <w:abstractNum w:abstractNumId="3" w15:restartNumberingAfterBreak="0">
    <w:nsid w:val="234F5077"/>
    <w:multiLevelType w:val="hybridMultilevel"/>
    <w:tmpl w:val="2A5A4AC6"/>
    <w:lvl w:ilvl="0" w:tplc="3648C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8D95873"/>
    <w:multiLevelType w:val="hybridMultilevel"/>
    <w:tmpl w:val="50729E0A"/>
    <w:lvl w:ilvl="0" w:tplc="212277D2">
      <w:start w:val="1"/>
      <w:numFmt w:val="decimal"/>
      <w:lvlText w:val="%1."/>
      <w:lvlJc w:val="left"/>
      <w:pPr>
        <w:ind w:left="345" w:hanging="360"/>
      </w:pPr>
      <w:rPr>
        <w:rFonts w:hint="default"/>
        <w:b w:val="0"/>
      </w:rPr>
    </w:lvl>
    <w:lvl w:ilvl="1" w:tplc="240A0019" w:tentative="1">
      <w:start w:val="1"/>
      <w:numFmt w:val="lowerLetter"/>
      <w:lvlText w:val="%2."/>
      <w:lvlJc w:val="left"/>
      <w:pPr>
        <w:ind w:left="1065" w:hanging="360"/>
      </w:pPr>
    </w:lvl>
    <w:lvl w:ilvl="2" w:tplc="240A001B" w:tentative="1">
      <w:start w:val="1"/>
      <w:numFmt w:val="lowerRoman"/>
      <w:lvlText w:val="%3."/>
      <w:lvlJc w:val="right"/>
      <w:pPr>
        <w:ind w:left="1785" w:hanging="180"/>
      </w:pPr>
    </w:lvl>
    <w:lvl w:ilvl="3" w:tplc="240A000F" w:tentative="1">
      <w:start w:val="1"/>
      <w:numFmt w:val="decimal"/>
      <w:lvlText w:val="%4."/>
      <w:lvlJc w:val="left"/>
      <w:pPr>
        <w:ind w:left="2505" w:hanging="360"/>
      </w:pPr>
    </w:lvl>
    <w:lvl w:ilvl="4" w:tplc="240A0019" w:tentative="1">
      <w:start w:val="1"/>
      <w:numFmt w:val="lowerLetter"/>
      <w:lvlText w:val="%5."/>
      <w:lvlJc w:val="left"/>
      <w:pPr>
        <w:ind w:left="3225" w:hanging="360"/>
      </w:pPr>
    </w:lvl>
    <w:lvl w:ilvl="5" w:tplc="240A001B" w:tentative="1">
      <w:start w:val="1"/>
      <w:numFmt w:val="lowerRoman"/>
      <w:lvlText w:val="%6."/>
      <w:lvlJc w:val="right"/>
      <w:pPr>
        <w:ind w:left="3945" w:hanging="180"/>
      </w:pPr>
    </w:lvl>
    <w:lvl w:ilvl="6" w:tplc="240A000F" w:tentative="1">
      <w:start w:val="1"/>
      <w:numFmt w:val="decimal"/>
      <w:lvlText w:val="%7."/>
      <w:lvlJc w:val="left"/>
      <w:pPr>
        <w:ind w:left="4665" w:hanging="360"/>
      </w:pPr>
    </w:lvl>
    <w:lvl w:ilvl="7" w:tplc="240A0019" w:tentative="1">
      <w:start w:val="1"/>
      <w:numFmt w:val="lowerLetter"/>
      <w:lvlText w:val="%8."/>
      <w:lvlJc w:val="left"/>
      <w:pPr>
        <w:ind w:left="5385" w:hanging="360"/>
      </w:pPr>
    </w:lvl>
    <w:lvl w:ilvl="8" w:tplc="240A001B" w:tentative="1">
      <w:start w:val="1"/>
      <w:numFmt w:val="lowerRoman"/>
      <w:lvlText w:val="%9."/>
      <w:lvlJc w:val="right"/>
      <w:pPr>
        <w:ind w:left="6105" w:hanging="180"/>
      </w:pPr>
    </w:lvl>
  </w:abstractNum>
  <w:num w:numId="1" w16cid:durableId="124856901">
    <w:abstractNumId w:val="1"/>
  </w:num>
  <w:num w:numId="2" w16cid:durableId="1409376633">
    <w:abstractNumId w:val="4"/>
  </w:num>
  <w:num w:numId="3" w16cid:durableId="1452164877">
    <w:abstractNumId w:val="0"/>
  </w:num>
  <w:num w:numId="4" w16cid:durableId="539057225">
    <w:abstractNumId w:val="2"/>
  </w:num>
  <w:num w:numId="5" w16cid:durableId="1907644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04"/>
    <w:rsid w:val="00017BBD"/>
    <w:rsid w:val="000202D8"/>
    <w:rsid w:val="000209F5"/>
    <w:rsid w:val="0003111F"/>
    <w:rsid w:val="00043EB9"/>
    <w:rsid w:val="00062414"/>
    <w:rsid w:val="000855A7"/>
    <w:rsid w:val="00086779"/>
    <w:rsid w:val="000B4189"/>
    <w:rsid w:val="000B5FAE"/>
    <w:rsid w:val="000B6E21"/>
    <w:rsid w:val="000C2815"/>
    <w:rsid w:val="000C4BC4"/>
    <w:rsid w:val="000E3702"/>
    <w:rsid w:val="000E517C"/>
    <w:rsid w:val="000E63FC"/>
    <w:rsid w:val="0010259C"/>
    <w:rsid w:val="001132DE"/>
    <w:rsid w:val="001276E5"/>
    <w:rsid w:val="00167C36"/>
    <w:rsid w:val="001701CC"/>
    <w:rsid w:val="00181BDB"/>
    <w:rsid w:val="0019049F"/>
    <w:rsid w:val="001925A0"/>
    <w:rsid w:val="001938F7"/>
    <w:rsid w:val="00194DAC"/>
    <w:rsid w:val="00196C04"/>
    <w:rsid w:val="001A4768"/>
    <w:rsid w:val="001B482C"/>
    <w:rsid w:val="001C6AE4"/>
    <w:rsid w:val="001D5FAF"/>
    <w:rsid w:val="001F383D"/>
    <w:rsid w:val="00200C07"/>
    <w:rsid w:val="00203BD0"/>
    <w:rsid w:val="00221FAB"/>
    <w:rsid w:val="002240A1"/>
    <w:rsid w:val="00233539"/>
    <w:rsid w:val="00234F3F"/>
    <w:rsid w:val="002400F2"/>
    <w:rsid w:val="00252C38"/>
    <w:rsid w:val="00254E27"/>
    <w:rsid w:val="0025591F"/>
    <w:rsid w:val="00262858"/>
    <w:rsid w:val="00267DDC"/>
    <w:rsid w:val="00276AB3"/>
    <w:rsid w:val="00281D90"/>
    <w:rsid w:val="00292EAD"/>
    <w:rsid w:val="002936D0"/>
    <w:rsid w:val="002B5E76"/>
    <w:rsid w:val="002C1F32"/>
    <w:rsid w:val="00356018"/>
    <w:rsid w:val="00375AFE"/>
    <w:rsid w:val="003B31CA"/>
    <w:rsid w:val="003C01B0"/>
    <w:rsid w:val="003C5BCE"/>
    <w:rsid w:val="003C6ECB"/>
    <w:rsid w:val="003D6634"/>
    <w:rsid w:val="003E1311"/>
    <w:rsid w:val="003F26B0"/>
    <w:rsid w:val="003F5E4F"/>
    <w:rsid w:val="004022CE"/>
    <w:rsid w:val="00402F42"/>
    <w:rsid w:val="00416F84"/>
    <w:rsid w:val="0042497F"/>
    <w:rsid w:val="0045457F"/>
    <w:rsid w:val="00470810"/>
    <w:rsid w:val="004821C5"/>
    <w:rsid w:val="004A356B"/>
    <w:rsid w:val="004B1908"/>
    <w:rsid w:val="004B1AE2"/>
    <w:rsid w:val="004C01CE"/>
    <w:rsid w:val="004D1CD2"/>
    <w:rsid w:val="004D2A57"/>
    <w:rsid w:val="00505F3C"/>
    <w:rsid w:val="005141E4"/>
    <w:rsid w:val="00516BA4"/>
    <w:rsid w:val="00532A05"/>
    <w:rsid w:val="00540FDA"/>
    <w:rsid w:val="00543F6F"/>
    <w:rsid w:val="005536A2"/>
    <w:rsid w:val="00557F63"/>
    <w:rsid w:val="00565F86"/>
    <w:rsid w:val="005711B0"/>
    <w:rsid w:val="0057799E"/>
    <w:rsid w:val="005826AC"/>
    <w:rsid w:val="00587BC2"/>
    <w:rsid w:val="00591DDA"/>
    <w:rsid w:val="005A3F2C"/>
    <w:rsid w:val="005B518C"/>
    <w:rsid w:val="005B7694"/>
    <w:rsid w:val="005D7117"/>
    <w:rsid w:val="005D7854"/>
    <w:rsid w:val="005F7E00"/>
    <w:rsid w:val="00605053"/>
    <w:rsid w:val="00616875"/>
    <w:rsid w:val="00616E18"/>
    <w:rsid w:val="006206AA"/>
    <w:rsid w:val="00636309"/>
    <w:rsid w:val="00637020"/>
    <w:rsid w:val="00640BF3"/>
    <w:rsid w:val="006561F1"/>
    <w:rsid w:val="00666D87"/>
    <w:rsid w:val="00685AC2"/>
    <w:rsid w:val="006B057E"/>
    <w:rsid w:val="006B1AA1"/>
    <w:rsid w:val="006D0BDF"/>
    <w:rsid w:val="006D5181"/>
    <w:rsid w:val="006E40E9"/>
    <w:rsid w:val="006F3F7B"/>
    <w:rsid w:val="006F3FCB"/>
    <w:rsid w:val="0070611D"/>
    <w:rsid w:val="007341DA"/>
    <w:rsid w:val="00743ACE"/>
    <w:rsid w:val="007628DD"/>
    <w:rsid w:val="00792540"/>
    <w:rsid w:val="00793C8E"/>
    <w:rsid w:val="007A0D81"/>
    <w:rsid w:val="007A5818"/>
    <w:rsid w:val="007B1847"/>
    <w:rsid w:val="007C02EA"/>
    <w:rsid w:val="007C08C4"/>
    <w:rsid w:val="007C1A65"/>
    <w:rsid w:val="007C3587"/>
    <w:rsid w:val="007D77AE"/>
    <w:rsid w:val="007E2175"/>
    <w:rsid w:val="007F632D"/>
    <w:rsid w:val="007F6A39"/>
    <w:rsid w:val="00803E29"/>
    <w:rsid w:val="00807FD6"/>
    <w:rsid w:val="008136D4"/>
    <w:rsid w:val="008140E4"/>
    <w:rsid w:val="00827555"/>
    <w:rsid w:val="00836763"/>
    <w:rsid w:val="00843B7A"/>
    <w:rsid w:val="0084513E"/>
    <w:rsid w:val="0086048D"/>
    <w:rsid w:val="00863F23"/>
    <w:rsid w:val="008830A7"/>
    <w:rsid w:val="00883549"/>
    <w:rsid w:val="008A3EE5"/>
    <w:rsid w:val="008C0973"/>
    <w:rsid w:val="008C3018"/>
    <w:rsid w:val="008C4BE5"/>
    <w:rsid w:val="008D50B1"/>
    <w:rsid w:val="008E4E08"/>
    <w:rsid w:val="008E5483"/>
    <w:rsid w:val="008F1E2F"/>
    <w:rsid w:val="008F5A52"/>
    <w:rsid w:val="00916628"/>
    <w:rsid w:val="00921D50"/>
    <w:rsid w:val="00927B7C"/>
    <w:rsid w:val="00927EA3"/>
    <w:rsid w:val="00954677"/>
    <w:rsid w:val="009568A4"/>
    <w:rsid w:val="009818CE"/>
    <w:rsid w:val="00997C0E"/>
    <w:rsid w:val="009C135E"/>
    <w:rsid w:val="009C613B"/>
    <w:rsid w:val="009E19EA"/>
    <w:rsid w:val="009E2916"/>
    <w:rsid w:val="009E3F52"/>
    <w:rsid w:val="009E53B9"/>
    <w:rsid w:val="009E7767"/>
    <w:rsid w:val="009F11B2"/>
    <w:rsid w:val="009F55F1"/>
    <w:rsid w:val="00A015C6"/>
    <w:rsid w:val="00A01BF3"/>
    <w:rsid w:val="00A31922"/>
    <w:rsid w:val="00A32B66"/>
    <w:rsid w:val="00A65F8B"/>
    <w:rsid w:val="00A877E6"/>
    <w:rsid w:val="00AB3A2C"/>
    <w:rsid w:val="00AC634A"/>
    <w:rsid w:val="00AD03AA"/>
    <w:rsid w:val="00AE2580"/>
    <w:rsid w:val="00AF6C94"/>
    <w:rsid w:val="00B106FA"/>
    <w:rsid w:val="00B20189"/>
    <w:rsid w:val="00B2122D"/>
    <w:rsid w:val="00B23BE2"/>
    <w:rsid w:val="00B263F0"/>
    <w:rsid w:val="00B336EA"/>
    <w:rsid w:val="00B34EFB"/>
    <w:rsid w:val="00B37B71"/>
    <w:rsid w:val="00B53272"/>
    <w:rsid w:val="00B54DCC"/>
    <w:rsid w:val="00B601B7"/>
    <w:rsid w:val="00B63455"/>
    <w:rsid w:val="00B702D3"/>
    <w:rsid w:val="00BA33E1"/>
    <w:rsid w:val="00BA45A0"/>
    <w:rsid w:val="00BB0ED7"/>
    <w:rsid w:val="00BB1D5A"/>
    <w:rsid w:val="00BB7105"/>
    <w:rsid w:val="00BD3158"/>
    <w:rsid w:val="00BE09EE"/>
    <w:rsid w:val="00BE6214"/>
    <w:rsid w:val="00BE788D"/>
    <w:rsid w:val="00BF0890"/>
    <w:rsid w:val="00BF1A90"/>
    <w:rsid w:val="00BF3DDF"/>
    <w:rsid w:val="00BF4739"/>
    <w:rsid w:val="00C110B3"/>
    <w:rsid w:val="00C53004"/>
    <w:rsid w:val="00C53500"/>
    <w:rsid w:val="00C70FF5"/>
    <w:rsid w:val="00C809FA"/>
    <w:rsid w:val="00C95EF9"/>
    <w:rsid w:val="00CB5D8A"/>
    <w:rsid w:val="00CC4AB2"/>
    <w:rsid w:val="00CC7A03"/>
    <w:rsid w:val="00CD43C9"/>
    <w:rsid w:val="00CD48D8"/>
    <w:rsid w:val="00CE4275"/>
    <w:rsid w:val="00CE7983"/>
    <w:rsid w:val="00CF3207"/>
    <w:rsid w:val="00D01741"/>
    <w:rsid w:val="00D20F9D"/>
    <w:rsid w:val="00D21091"/>
    <w:rsid w:val="00D23A48"/>
    <w:rsid w:val="00D259DC"/>
    <w:rsid w:val="00D35A87"/>
    <w:rsid w:val="00D378F3"/>
    <w:rsid w:val="00D4450F"/>
    <w:rsid w:val="00D45B7E"/>
    <w:rsid w:val="00D64A0A"/>
    <w:rsid w:val="00D86800"/>
    <w:rsid w:val="00DA070E"/>
    <w:rsid w:val="00DE480B"/>
    <w:rsid w:val="00DF52D0"/>
    <w:rsid w:val="00E037B9"/>
    <w:rsid w:val="00E06133"/>
    <w:rsid w:val="00E1171C"/>
    <w:rsid w:val="00E141F9"/>
    <w:rsid w:val="00E20BB0"/>
    <w:rsid w:val="00E23DED"/>
    <w:rsid w:val="00E26B3B"/>
    <w:rsid w:val="00E273DF"/>
    <w:rsid w:val="00E36FA6"/>
    <w:rsid w:val="00E411AB"/>
    <w:rsid w:val="00E43BA7"/>
    <w:rsid w:val="00E619CA"/>
    <w:rsid w:val="00E63CC0"/>
    <w:rsid w:val="00E836C0"/>
    <w:rsid w:val="00EA787F"/>
    <w:rsid w:val="00EB06B6"/>
    <w:rsid w:val="00EB73B3"/>
    <w:rsid w:val="00EC434B"/>
    <w:rsid w:val="00EC74A7"/>
    <w:rsid w:val="00EE40E3"/>
    <w:rsid w:val="00EE4451"/>
    <w:rsid w:val="00F00366"/>
    <w:rsid w:val="00F11701"/>
    <w:rsid w:val="00F11FB9"/>
    <w:rsid w:val="00F21B18"/>
    <w:rsid w:val="00F34086"/>
    <w:rsid w:val="00F40C06"/>
    <w:rsid w:val="00F43A11"/>
    <w:rsid w:val="00F47C2B"/>
    <w:rsid w:val="00F608B9"/>
    <w:rsid w:val="00F872D5"/>
    <w:rsid w:val="00F95354"/>
    <w:rsid w:val="00FA4FFB"/>
    <w:rsid w:val="00FA7EAA"/>
    <w:rsid w:val="00FB3661"/>
    <w:rsid w:val="00FB6AF1"/>
    <w:rsid w:val="00FB7342"/>
    <w:rsid w:val="00FD3BDF"/>
    <w:rsid w:val="00FD496C"/>
    <w:rsid w:val="00FD6421"/>
    <w:rsid w:val="00FE10B5"/>
    <w:rsid w:val="00FE5E2E"/>
    <w:rsid w:val="00FF3B3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BF704"/>
  <w15:chartTrackingRefBased/>
  <w15:docId w15:val="{1F2BD91A-0E1B-4637-A09E-51ED32FC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D5A"/>
    <w:pPr>
      <w:spacing w:after="11" w:line="263" w:lineRule="auto"/>
      <w:ind w:left="10" w:hanging="10"/>
      <w:jc w:val="both"/>
    </w:pPr>
    <w:rPr>
      <w:rFonts w:ascii="Arial" w:eastAsia="Arial" w:hAnsi="Arial" w:cs="Arial"/>
      <w:color w:val="000000"/>
      <w:lang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C53004"/>
    <w:pPr>
      <w:ind w:left="720"/>
      <w:contextualSpacing/>
    </w:pPr>
  </w:style>
  <w:style w:type="character" w:customStyle="1" w:styleId="normaltextrun">
    <w:name w:val="normaltextrun"/>
    <w:basedOn w:val="Fuentedeprrafopredeter"/>
    <w:rsid w:val="00BD3158"/>
  </w:style>
  <w:style w:type="character" w:styleId="Refdecomentario">
    <w:name w:val="annotation reference"/>
    <w:basedOn w:val="Fuentedeprrafopredeter"/>
    <w:uiPriority w:val="99"/>
    <w:semiHidden/>
    <w:unhideWhenUsed/>
    <w:rsid w:val="00587BC2"/>
    <w:rPr>
      <w:sz w:val="16"/>
      <w:szCs w:val="16"/>
    </w:rPr>
  </w:style>
  <w:style w:type="paragraph" w:styleId="Textocomentario">
    <w:name w:val="annotation text"/>
    <w:basedOn w:val="Normal"/>
    <w:link w:val="TextocomentarioCar"/>
    <w:uiPriority w:val="99"/>
    <w:unhideWhenUsed/>
    <w:rsid w:val="00587BC2"/>
    <w:pPr>
      <w:spacing w:line="240" w:lineRule="auto"/>
    </w:pPr>
    <w:rPr>
      <w:sz w:val="20"/>
      <w:szCs w:val="20"/>
    </w:rPr>
  </w:style>
  <w:style w:type="character" w:customStyle="1" w:styleId="TextocomentarioCar">
    <w:name w:val="Texto comentario Car"/>
    <w:basedOn w:val="Fuentedeprrafopredeter"/>
    <w:link w:val="Textocomentario"/>
    <w:uiPriority w:val="99"/>
    <w:rsid w:val="00587BC2"/>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587BC2"/>
    <w:rPr>
      <w:b/>
      <w:bCs/>
    </w:rPr>
  </w:style>
  <w:style w:type="character" w:customStyle="1" w:styleId="AsuntodelcomentarioCar">
    <w:name w:val="Asunto del comentario Car"/>
    <w:basedOn w:val="TextocomentarioCar"/>
    <w:link w:val="Asuntodelcomentario"/>
    <w:uiPriority w:val="99"/>
    <w:semiHidden/>
    <w:rsid w:val="00587BC2"/>
    <w:rPr>
      <w:rFonts w:ascii="Arial" w:eastAsia="Arial" w:hAnsi="Arial" w:cs="Arial"/>
      <w:b/>
      <w:bCs/>
      <w:color w:val="000000"/>
      <w:sz w:val="20"/>
      <w:szCs w:val="20"/>
      <w:lang w:eastAsia="es-CO"/>
    </w:rPr>
  </w:style>
  <w:style w:type="paragraph" w:styleId="Revisin">
    <w:name w:val="Revision"/>
    <w:hidden/>
    <w:uiPriority w:val="99"/>
    <w:semiHidden/>
    <w:rsid w:val="00DA070E"/>
    <w:pPr>
      <w:spacing w:after="0" w:line="240" w:lineRule="auto"/>
    </w:pPr>
    <w:rPr>
      <w:rFonts w:ascii="Arial" w:eastAsia="Arial" w:hAnsi="Arial" w:cs="Arial"/>
      <w:color w:val="000000"/>
      <w:lang w:eastAsia="es-CO"/>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
    <w:basedOn w:val="Fuentedeprrafopredeter"/>
    <w:link w:val="Refdenotaalpie2"/>
    <w:uiPriority w:val="99"/>
    <w:unhideWhenUsed/>
    <w:qFormat/>
    <w:rsid w:val="006B1AA1"/>
    <w:rPr>
      <w:vertAlign w:val="superscript"/>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6B1AA1"/>
    <w:pPr>
      <w:widowControl w:val="0"/>
      <w:autoSpaceDE w:val="0"/>
      <w:autoSpaceDN w:val="0"/>
      <w:spacing w:after="0" w:line="240" w:lineRule="auto"/>
      <w:ind w:left="0" w:firstLine="0"/>
      <w:jc w:val="left"/>
    </w:pPr>
    <w:rPr>
      <w:color w:val="auto"/>
      <w:sz w:val="20"/>
      <w:szCs w:val="20"/>
      <w:lang w:val="es-ES" w:eastAsia="es-ES" w:bidi="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6B1AA1"/>
    <w:rPr>
      <w:rFonts w:ascii="Arial" w:eastAsia="Arial" w:hAnsi="Arial" w:cs="Arial"/>
      <w:sz w:val="20"/>
      <w:szCs w:val="20"/>
      <w:lang w:val="es-ES" w:eastAsia="es-ES" w:bidi="es-ES"/>
    </w:rPr>
  </w:style>
  <w:style w:type="paragraph" w:customStyle="1" w:styleId="Refdenotaalpie2">
    <w:name w:val="Ref. de nota al pie2"/>
    <w:aliases w:val="Nota de pie,Pie de pagina"/>
    <w:basedOn w:val="Normal"/>
    <w:link w:val="Refdenotaalpie"/>
    <w:uiPriority w:val="99"/>
    <w:rsid w:val="006B1AA1"/>
    <w:pPr>
      <w:spacing w:after="160" w:line="240" w:lineRule="exact"/>
      <w:ind w:left="0" w:firstLine="0"/>
      <w:jc w:val="left"/>
    </w:pPr>
    <w:rPr>
      <w:rFonts w:asciiTheme="minorHAnsi" w:eastAsiaTheme="minorHAnsi" w:hAnsiTheme="minorHAnsi" w:cstheme="minorBidi"/>
      <w:color w:val="auto"/>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0411">
      <w:bodyDiv w:val="1"/>
      <w:marLeft w:val="0"/>
      <w:marRight w:val="0"/>
      <w:marTop w:val="0"/>
      <w:marBottom w:val="0"/>
      <w:divBdr>
        <w:top w:val="none" w:sz="0" w:space="0" w:color="auto"/>
        <w:left w:val="none" w:sz="0" w:space="0" w:color="auto"/>
        <w:bottom w:val="none" w:sz="0" w:space="0" w:color="auto"/>
        <w:right w:val="none" w:sz="0" w:space="0" w:color="auto"/>
      </w:divBdr>
    </w:div>
    <w:div w:id="21111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memorialestadmvcauca@cendoj.ramajudicial.gov.co"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1835</Words>
  <Characters>10096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162</cp:revision>
  <cp:lastPrinted>2025-01-30T16:04:00Z</cp:lastPrinted>
  <dcterms:created xsi:type="dcterms:W3CDTF">2023-07-10T18:18:00Z</dcterms:created>
  <dcterms:modified xsi:type="dcterms:W3CDTF">2025-01-30T16:04:00Z</dcterms:modified>
</cp:coreProperties>
</file>