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B3346" w14:textId="4AF56564" w:rsidR="0032364E" w:rsidRPr="0032364E" w:rsidRDefault="0032364E" w:rsidP="0032364E">
      <w:pPr>
        <w:spacing w:after="0" w:line="312" w:lineRule="auto"/>
        <w:jc w:val="center"/>
        <w:rPr>
          <w:rFonts w:ascii="Arial" w:hAnsi="Arial" w:cs="Arial"/>
          <w:b/>
          <w:bCs/>
          <w:color w:val="222222"/>
          <w:u w:val="single"/>
          <w:shd w:val="clear" w:color="auto" w:fill="FFFFFF"/>
        </w:rPr>
      </w:pPr>
      <w:r w:rsidRPr="0032364E">
        <w:rPr>
          <w:rFonts w:ascii="Arial" w:hAnsi="Arial" w:cs="Arial"/>
          <w:b/>
          <w:bCs/>
          <w:color w:val="222222"/>
          <w:u w:val="single"/>
          <w:shd w:val="clear" w:color="auto" w:fill="FFFFFF"/>
        </w:rPr>
        <w:t>RE-</w:t>
      </w:r>
      <w:r w:rsidRPr="0032364E">
        <w:rPr>
          <w:rFonts w:ascii="Arial" w:hAnsi="Arial" w:cs="Arial"/>
          <w:b/>
          <w:bCs/>
          <w:color w:val="222222"/>
          <w:u w:val="single"/>
          <w:shd w:val="clear" w:color="auto" w:fill="FFFFFF"/>
        </w:rPr>
        <w:t>CALIFICACIÓN DEL PROCESO</w:t>
      </w:r>
    </w:p>
    <w:p w14:paraId="732AF38C" w14:textId="77777777" w:rsidR="0032364E" w:rsidRPr="0032364E" w:rsidRDefault="0032364E" w:rsidP="0032364E">
      <w:pPr>
        <w:spacing w:after="0" w:line="312" w:lineRule="auto"/>
        <w:jc w:val="center"/>
        <w:rPr>
          <w:rFonts w:ascii="Arial" w:hAnsi="Arial" w:cs="Arial"/>
          <w:b/>
          <w:bCs/>
          <w:color w:val="222222"/>
          <w:u w:val="single"/>
          <w:shd w:val="clear" w:color="auto" w:fill="FFFFFF"/>
        </w:rPr>
      </w:pPr>
    </w:p>
    <w:p w14:paraId="51CE2A02" w14:textId="77777777" w:rsidR="0032364E" w:rsidRDefault="0032364E" w:rsidP="0032364E">
      <w:pPr>
        <w:spacing w:after="0" w:line="312" w:lineRule="auto"/>
        <w:jc w:val="both"/>
        <w:rPr>
          <w:rFonts w:ascii="Arial" w:hAnsi="Arial" w:cs="Arial"/>
          <w:color w:val="222222"/>
          <w:shd w:val="clear" w:color="auto" w:fill="FFFFFF"/>
        </w:rPr>
      </w:pPr>
      <w:r w:rsidRPr="0032364E">
        <w:rPr>
          <w:rFonts w:ascii="Arial" w:hAnsi="Arial" w:cs="Arial"/>
          <w:color w:val="222222"/>
          <w:shd w:val="clear" w:color="auto" w:fill="FFFFFF"/>
        </w:rPr>
        <w:t>Respetuosamente remito la síntesis de la contingencia junto con la calificación del proceso de la referencia:</w:t>
      </w:r>
    </w:p>
    <w:p w14:paraId="47689ABB" w14:textId="77777777" w:rsidR="00B21235" w:rsidRPr="0032364E" w:rsidRDefault="00B21235" w:rsidP="0032364E">
      <w:pPr>
        <w:spacing w:after="0" w:line="312" w:lineRule="auto"/>
        <w:jc w:val="both"/>
        <w:rPr>
          <w:rFonts w:ascii="Arial" w:hAnsi="Arial" w:cs="Arial"/>
          <w:color w:val="222222"/>
          <w:shd w:val="clear" w:color="auto" w:fill="FFFFFF"/>
        </w:rPr>
      </w:pPr>
    </w:p>
    <w:p w14:paraId="6D2E7B25" w14:textId="3806F0E2" w:rsidR="0032364E" w:rsidRPr="00B21235" w:rsidRDefault="00B21235" w:rsidP="00B21235">
      <w:pPr>
        <w:pStyle w:val="Prrafodelista"/>
        <w:numPr>
          <w:ilvl w:val="0"/>
          <w:numId w:val="5"/>
        </w:numPr>
        <w:spacing w:after="0" w:line="312" w:lineRule="auto"/>
        <w:ind w:left="567" w:hanging="283"/>
        <w:jc w:val="center"/>
        <w:rPr>
          <w:rFonts w:ascii="Arial" w:hAnsi="Arial" w:cs="Arial"/>
          <w:b/>
          <w:bCs/>
          <w:color w:val="222222"/>
          <w:u w:val="single"/>
          <w:shd w:val="clear" w:color="auto" w:fill="FFFFFF"/>
        </w:rPr>
      </w:pPr>
      <w:r w:rsidRPr="00B21235">
        <w:rPr>
          <w:rFonts w:ascii="Arial" w:hAnsi="Arial" w:cs="Arial"/>
          <w:b/>
          <w:bCs/>
          <w:color w:val="222222"/>
          <w:u w:val="single"/>
          <w:shd w:val="clear" w:color="auto" w:fill="FFFFFF"/>
        </w:rPr>
        <w:t>ANTECEDENTES DEL CASO</w:t>
      </w:r>
    </w:p>
    <w:p w14:paraId="3C7A38E2" w14:textId="77777777" w:rsidR="00B21235" w:rsidRPr="00B21235" w:rsidRDefault="00B21235" w:rsidP="00B21235">
      <w:pPr>
        <w:pStyle w:val="Prrafodelista"/>
        <w:spacing w:after="0" w:line="312" w:lineRule="auto"/>
        <w:ind w:left="1080"/>
        <w:jc w:val="both"/>
        <w:rPr>
          <w:rFonts w:ascii="Arial" w:hAnsi="Arial" w:cs="Arial"/>
          <w:color w:val="222222"/>
          <w:shd w:val="clear" w:color="auto" w:fill="FFFFFF"/>
        </w:rPr>
      </w:pPr>
    </w:p>
    <w:p w14:paraId="7631162F" w14:textId="542D096D" w:rsidR="00423180" w:rsidRPr="0032364E" w:rsidRDefault="0032364E" w:rsidP="0032364E">
      <w:pPr>
        <w:spacing w:after="0" w:line="312" w:lineRule="auto"/>
        <w:jc w:val="both"/>
        <w:rPr>
          <w:rFonts w:ascii="Arial" w:hAnsi="Arial" w:cs="Arial"/>
          <w:b/>
          <w:bCs/>
          <w:lang w:val="es-ES"/>
        </w:rPr>
      </w:pPr>
      <w:r w:rsidRPr="0032364E">
        <w:rPr>
          <w:rFonts w:ascii="Arial" w:hAnsi="Arial" w:cs="Arial"/>
          <w:b/>
          <w:bCs/>
          <w:lang w:val="es-ES"/>
        </w:rPr>
        <w:t xml:space="preserve">DEMANDANTES: </w:t>
      </w:r>
    </w:p>
    <w:p w14:paraId="0F8EB73C" w14:textId="77777777" w:rsidR="0032364E" w:rsidRPr="0032364E" w:rsidRDefault="0032364E" w:rsidP="0032364E">
      <w:pPr>
        <w:spacing w:after="0" w:line="312" w:lineRule="auto"/>
        <w:jc w:val="both"/>
        <w:rPr>
          <w:rFonts w:ascii="Arial" w:hAnsi="Arial" w:cs="Arial"/>
          <w:lang w:val="es-ES"/>
        </w:rPr>
      </w:pPr>
      <w:r w:rsidRPr="0032364E">
        <w:rPr>
          <w:rFonts w:ascii="Arial" w:hAnsi="Arial" w:cs="Arial"/>
          <w:lang w:val="es-ES"/>
        </w:rPr>
        <w:t>Diego Fernando Narváez Gómez (victima directa)</w:t>
      </w:r>
    </w:p>
    <w:p w14:paraId="71182B72" w14:textId="77777777" w:rsidR="0032364E" w:rsidRPr="0032364E" w:rsidRDefault="0032364E" w:rsidP="0032364E">
      <w:pPr>
        <w:spacing w:after="0" w:line="312" w:lineRule="auto"/>
        <w:jc w:val="both"/>
        <w:rPr>
          <w:rFonts w:ascii="Arial" w:hAnsi="Arial" w:cs="Arial"/>
          <w:lang w:val="es-ES"/>
        </w:rPr>
      </w:pPr>
      <w:r w:rsidRPr="0032364E">
        <w:rPr>
          <w:rFonts w:ascii="Arial" w:hAnsi="Arial" w:cs="Arial"/>
          <w:lang w:val="es-ES"/>
        </w:rPr>
        <w:t xml:space="preserve">Valeria Narváez Gómez (hija de la víctima directa) </w:t>
      </w:r>
    </w:p>
    <w:p w14:paraId="4747AC86" w14:textId="77777777" w:rsidR="0032364E" w:rsidRPr="0032364E" w:rsidRDefault="0032364E" w:rsidP="0032364E">
      <w:pPr>
        <w:spacing w:after="0" w:line="312" w:lineRule="auto"/>
        <w:jc w:val="both"/>
        <w:rPr>
          <w:rFonts w:ascii="Arial" w:hAnsi="Arial" w:cs="Arial"/>
          <w:lang w:val="es-ES"/>
        </w:rPr>
      </w:pPr>
      <w:r w:rsidRPr="0032364E">
        <w:rPr>
          <w:rFonts w:ascii="Arial" w:hAnsi="Arial" w:cs="Arial"/>
          <w:lang w:val="es-ES"/>
        </w:rPr>
        <w:t>Victoriano Narváez Campo (padre de la víctima directa)</w:t>
      </w:r>
    </w:p>
    <w:p w14:paraId="23B2711D" w14:textId="77777777" w:rsidR="0032364E" w:rsidRPr="0032364E" w:rsidRDefault="0032364E" w:rsidP="0032364E">
      <w:pPr>
        <w:spacing w:after="0" w:line="312" w:lineRule="auto"/>
        <w:jc w:val="both"/>
        <w:rPr>
          <w:rFonts w:ascii="Arial" w:hAnsi="Arial" w:cs="Arial"/>
          <w:lang w:val="es-ES"/>
        </w:rPr>
      </w:pPr>
      <w:r w:rsidRPr="0032364E">
        <w:rPr>
          <w:rFonts w:ascii="Arial" w:hAnsi="Arial" w:cs="Arial"/>
          <w:lang w:val="es-ES"/>
        </w:rPr>
        <w:t>Rosaura Gómez Garces (madre de la víctima directa)</w:t>
      </w:r>
    </w:p>
    <w:p w14:paraId="0FAA369C" w14:textId="77777777" w:rsidR="0032364E" w:rsidRPr="0032364E" w:rsidRDefault="0032364E" w:rsidP="0032364E">
      <w:pPr>
        <w:spacing w:after="0" w:line="312" w:lineRule="auto"/>
        <w:jc w:val="both"/>
        <w:rPr>
          <w:rFonts w:ascii="Arial" w:hAnsi="Arial" w:cs="Arial"/>
          <w:lang w:val="es-ES"/>
        </w:rPr>
      </w:pPr>
      <w:proofErr w:type="spellStart"/>
      <w:r w:rsidRPr="0032364E">
        <w:rPr>
          <w:rFonts w:ascii="Arial" w:hAnsi="Arial" w:cs="Arial"/>
          <w:lang w:val="es-ES"/>
        </w:rPr>
        <w:t>Yenis</w:t>
      </w:r>
      <w:proofErr w:type="spellEnd"/>
      <w:r w:rsidRPr="0032364E">
        <w:rPr>
          <w:rFonts w:ascii="Arial" w:hAnsi="Arial" w:cs="Arial"/>
          <w:lang w:val="es-ES"/>
        </w:rPr>
        <w:t xml:space="preserve"> Narváez Gómez (hermano de la víctima directa)</w:t>
      </w:r>
    </w:p>
    <w:p w14:paraId="0FFDC6AE" w14:textId="77777777" w:rsidR="0032364E" w:rsidRPr="0032364E" w:rsidRDefault="0032364E" w:rsidP="0032364E">
      <w:pPr>
        <w:spacing w:after="0" w:line="312" w:lineRule="auto"/>
        <w:jc w:val="both"/>
        <w:rPr>
          <w:rFonts w:ascii="Arial" w:hAnsi="Arial" w:cs="Arial"/>
          <w:lang w:val="es-ES"/>
        </w:rPr>
      </w:pPr>
      <w:r w:rsidRPr="0032364E">
        <w:rPr>
          <w:rFonts w:ascii="Arial" w:hAnsi="Arial" w:cs="Arial"/>
          <w:lang w:val="es-ES"/>
        </w:rPr>
        <w:t>Fabiola Narváez Gómez (hermano de la víctima directa)</w:t>
      </w:r>
    </w:p>
    <w:p w14:paraId="15BBCA0B" w14:textId="77777777" w:rsidR="0032364E" w:rsidRPr="0032364E" w:rsidRDefault="0032364E" w:rsidP="0032364E">
      <w:pPr>
        <w:spacing w:after="0" w:line="312" w:lineRule="auto"/>
        <w:jc w:val="both"/>
        <w:rPr>
          <w:rFonts w:ascii="Arial" w:hAnsi="Arial" w:cs="Arial"/>
          <w:lang w:val="es-ES"/>
        </w:rPr>
      </w:pPr>
      <w:r w:rsidRPr="0032364E">
        <w:rPr>
          <w:rFonts w:ascii="Arial" w:hAnsi="Arial" w:cs="Arial"/>
          <w:lang w:val="es-ES"/>
        </w:rPr>
        <w:t xml:space="preserve">Ana </w:t>
      </w:r>
      <w:proofErr w:type="spellStart"/>
      <w:r w:rsidRPr="0032364E">
        <w:rPr>
          <w:rFonts w:ascii="Arial" w:hAnsi="Arial" w:cs="Arial"/>
          <w:lang w:val="es-ES"/>
        </w:rPr>
        <w:t>Delfi</w:t>
      </w:r>
      <w:proofErr w:type="spellEnd"/>
      <w:r w:rsidRPr="0032364E">
        <w:rPr>
          <w:rFonts w:ascii="Arial" w:hAnsi="Arial" w:cs="Arial"/>
          <w:lang w:val="es-ES"/>
        </w:rPr>
        <w:t xml:space="preserve"> Narváez Gómez (hermano de la víctima directa)</w:t>
      </w:r>
    </w:p>
    <w:p w14:paraId="6042D0C0" w14:textId="77777777" w:rsidR="0032364E" w:rsidRPr="0032364E" w:rsidRDefault="0032364E" w:rsidP="0032364E">
      <w:pPr>
        <w:spacing w:after="0" w:line="312" w:lineRule="auto"/>
        <w:jc w:val="both"/>
        <w:rPr>
          <w:rFonts w:ascii="Arial" w:hAnsi="Arial" w:cs="Arial"/>
          <w:lang w:val="es-ES"/>
        </w:rPr>
      </w:pPr>
      <w:r w:rsidRPr="0032364E">
        <w:rPr>
          <w:rFonts w:ascii="Arial" w:hAnsi="Arial" w:cs="Arial"/>
          <w:lang w:val="es-ES"/>
        </w:rPr>
        <w:t>Deyanira Narváez Gómez (hermano de la víctima directa)</w:t>
      </w:r>
    </w:p>
    <w:p w14:paraId="7E4F3DE6" w14:textId="77777777" w:rsidR="0032364E" w:rsidRPr="0032364E" w:rsidRDefault="0032364E" w:rsidP="0032364E">
      <w:pPr>
        <w:spacing w:after="0" w:line="312" w:lineRule="auto"/>
        <w:jc w:val="both"/>
        <w:rPr>
          <w:rFonts w:ascii="Arial" w:hAnsi="Arial" w:cs="Arial"/>
          <w:lang w:val="es-ES"/>
        </w:rPr>
      </w:pPr>
      <w:r w:rsidRPr="0032364E">
        <w:rPr>
          <w:rFonts w:ascii="Arial" w:hAnsi="Arial" w:cs="Arial"/>
          <w:lang w:val="es-ES"/>
        </w:rPr>
        <w:t>Sandra Carolina Narváez Gómez (hermano de la víctima directa)</w:t>
      </w:r>
    </w:p>
    <w:p w14:paraId="41068CD4" w14:textId="77777777" w:rsidR="0032364E" w:rsidRPr="0032364E" w:rsidRDefault="0032364E" w:rsidP="0032364E">
      <w:pPr>
        <w:spacing w:after="0" w:line="312" w:lineRule="auto"/>
        <w:jc w:val="both"/>
        <w:rPr>
          <w:rFonts w:ascii="Arial" w:hAnsi="Arial" w:cs="Arial"/>
          <w:lang w:val="es-ES"/>
        </w:rPr>
      </w:pPr>
      <w:r w:rsidRPr="0032364E">
        <w:rPr>
          <w:rFonts w:ascii="Arial" w:hAnsi="Arial" w:cs="Arial"/>
          <w:lang w:val="es-ES"/>
        </w:rPr>
        <w:t>Carlos Alberto Narváez Gómez (hermano de la víctima directa)</w:t>
      </w:r>
    </w:p>
    <w:p w14:paraId="335566A0" w14:textId="77777777" w:rsidR="0032364E" w:rsidRPr="0032364E" w:rsidRDefault="0032364E" w:rsidP="0032364E">
      <w:pPr>
        <w:spacing w:after="0" w:line="312" w:lineRule="auto"/>
        <w:jc w:val="both"/>
        <w:rPr>
          <w:rFonts w:ascii="Arial" w:hAnsi="Arial" w:cs="Arial"/>
          <w:lang w:val="es-ES"/>
        </w:rPr>
      </w:pPr>
      <w:r w:rsidRPr="0032364E">
        <w:rPr>
          <w:rFonts w:ascii="Arial" w:hAnsi="Arial" w:cs="Arial"/>
          <w:lang w:val="es-ES"/>
        </w:rPr>
        <w:t>Rosaura Narváez Gómez (hermano de la víctima directa)</w:t>
      </w:r>
    </w:p>
    <w:p w14:paraId="6E4ED825" w14:textId="77777777" w:rsidR="0032364E" w:rsidRPr="0032364E" w:rsidRDefault="0032364E" w:rsidP="0032364E">
      <w:pPr>
        <w:spacing w:after="0" w:line="312" w:lineRule="auto"/>
        <w:jc w:val="both"/>
        <w:rPr>
          <w:rFonts w:ascii="Arial" w:hAnsi="Arial" w:cs="Arial"/>
          <w:lang w:val="es-ES"/>
        </w:rPr>
      </w:pPr>
      <w:r w:rsidRPr="0032364E">
        <w:rPr>
          <w:rFonts w:ascii="Arial" w:hAnsi="Arial" w:cs="Arial"/>
          <w:lang w:val="es-ES"/>
        </w:rPr>
        <w:t>Elizabeth Narváez Gómez (hermano de la víctima directa)</w:t>
      </w:r>
    </w:p>
    <w:p w14:paraId="61C70358" w14:textId="77777777" w:rsidR="0032364E" w:rsidRPr="0032364E" w:rsidRDefault="0032364E" w:rsidP="0032364E">
      <w:pPr>
        <w:spacing w:after="0" w:line="312" w:lineRule="auto"/>
        <w:jc w:val="both"/>
        <w:rPr>
          <w:rFonts w:ascii="Arial" w:hAnsi="Arial" w:cs="Arial"/>
          <w:lang w:val="es-ES"/>
        </w:rPr>
      </w:pPr>
      <w:r w:rsidRPr="0032364E">
        <w:rPr>
          <w:rFonts w:ascii="Arial" w:hAnsi="Arial" w:cs="Arial"/>
          <w:lang w:val="es-ES"/>
        </w:rPr>
        <w:t>Víctor Alirio Narváez Gómez (hermano de la víctima directa)</w:t>
      </w:r>
    </w:p>
    <w:p w14:paraId="2AD82335" w14:textId="77777777" w:rsidR="0032364E" w:rsidRPr="0032364E" w:rsidRDefault="0032364E" w:rsidP="0032364E">
      <w:pPr>
        <w:spacing w:after="0" w:line="312" w:lineRule="auto"/>
        <w:jc w:val="both"/>
        <w:rPr>
          <w:rFonts w:ascii="Arial" w:hAnsi="Arial" w:cs="Arial"/>
          <w:b/>
          <w:bCs/>
          <w:lang w:val="es-ES"/>
        </w:rPr>
      </w:pPr>
    </w:p>
    <w:p w14:paraId="40CB72BC" w14:textId="77777777" w:rsidR="0032364E" w:rsidRPr="0032364E" w:rsidRDefault="0032364E" w:rsidP="0032364E">
      <w:pPr>
        <w:spacing w:after="0" w:line="312" w:lineRule="auto"/>
        <w:jc w:val="both"/>
        <w:rPr>
          <w:rFonts w:ascii="Arial" w:hAnsi="Arial" w:cs="Arial"/>
          <w:b/>
          <w:bCs/>
          <w:lang w:val="es-ES"/>
        </w:rPr>
      </w:pPr>
      <w:r w:rsidRPr="0032364E">
        <w:rPr>
          <w:rFonts w:ascii="Arial" w:hAnsi="Arial" w:cs="Arial"/>
          <w:b/>
          <w:bCs/>
          <w:lang w:val="es-ES"/>
        </w:rPr>
        <w:t xml:space="preserve">DEMANDADOS: </w:t>
      </w:r>
      <w:r w:rsidRPr="0032364E">
        <w:rPr>
          <w:rFonts w:ascii="Arial" w:hAnsi="Arial" w:cs="Arial"/>
          <w:lang w:val="es-ES"/>
        </w:rPr>
        <w:t>Departamento Del Cauca; Municipio de Patía; Compañía Energética de Occidente S.A.S. E.S.P.- CEO y Centrales Eléctricas del cauca S.A. E.S.P – CEDELCA.</w:t>
      </w:r>
    </w:p>
    <w:p w14:paraId="57FD5EE7" w14:textId="77777777" w:rsidR="0032364E" w:rsidRPr="0032364E" w:rsidRDefault="0032364E" w:rsidP="0032364E">
      <w:pPr>
        <w:spacing w:after="0" w:line="312" w:lineRule="auto"/>
        <w:jc w:val="both"/>
        <w:rPr>
          <w:rFonts w:ascii="Arial" w:hAnsi="Arial" w:cs="Arial"/>
          <w:b/>
          <w:bCs/>
          <w:lang w:val="es-ES"/>
        </w:rPr>
      </w:pPr>
    </w:p>
    <w:p w14:paraId="2E2E9E22" w14:textId="04F7D146" w:rsidR="0032364E" w:rsidRPr="0032364E" w:rsidRDefault="0032364E" w:rsidP="0032364E">
      <w:pPr>
        <w:spacing w:after="0" w:line="312" w:lineRule="auto"/>
        <w:jc w:val="both"/>
        <w:rPr>
          <w:rFonts w:ascii="Arial" w:hAnsi="Arial" w:cs="Arial"/>
          <w:b/>
          <w:bCs/>
          <w:lang w:val="es-ES"/>
        </w:rPr>
      </w:pPr>
      <w:r w:rsidRPr="0032364E">
        <w:rPr>
          <w:rFonts w:ascii="Arial" w:hAnsi="Arial" w:cs="Arial"/>
          <w:b/>
          <w:bCs/>
          <w:lang w:val="es-ES"/>
        </w:rPr>
        <w:t xml:space="preserve">LLAMADO EN GARANTÍA: SEGUROS GENERALES SURAMERICANA – SURA </w:t>
      </w:r>
      <w:r w:rsidR="00423180">
        <w:rPr>
          <w:rFonts w:ascii="Arial" w:hAnsi="Arial" w:cs="Arial"/>
          <w:b/>
          <w:bCs/>
          <w:lang w:val="es-ES"/>
        </w:rPr>
        <w:t xml:space="preserve">– </w:t>
      </w:r>
      <w:r w:rsidR="00423180" w:rsidRPr="00423180">
        <w:rPr>
          <w:rFonts w:ascii="Arial" w:hAnsi="Arial" w:cs="Arial"/>
          <w:lang w:val="es-ES"/>
        </w:rPr>
        <w:t xml:space="preserve">Tanto por CEO como por CEDELCA. </w:t>
      </w:r>
    </w:p>
    <w:p w14:paraId="4D754C80" w14:textId="77777777" w:rsidR="0032364E" w:rsidRPr="0032364E" w:rsidRDefault="0032364E" w:rsidP="0032364E">
      <w:pPr>
        <w:spacing w:after="0" w:line="312" w:lineRule="auto"/>
        <w:jc w:val="both"/>
        <w:rPr>
          <w:rFonts w:ascii="Arial" w:hAnsi="Arial" w:cs="Arial"/>
          <w:b/>
          <w:bCs/>
          <w:lang w:val="es-ES"/>
        </w:rPr>
      </w:pPr>
    </w:p>
    <w:p w14:paraId="57B97167" w14:textId="79C91FCC" w:rsidR="0032364E" w:rsidRPr="0032364E" w:rsidRDefault="00BF57B9" w:rsidP="00BF57B9">
      <w:pPr>
        <w:spacing w:after="0" w:line="312" w:lineRule="auto"/>
        <w:jc w:val="both"/>
        <w:rPr>
          <w:rFonts w:ascii="Arial" w:hAnsi="Arial" w:cs="Arial"/>
          <w:lang w:val="es-ES"/>
        </w:rPr>
      </w:pPr>
      <w:r w:rsidRPr="0032364E">
        <w:rPr>
          <w:rFonts w:ascii="Arial" w:hAnsi="Arial" w:cs="Arial"/>
          <w:b/>
          <w:bCs/>
          <w:lang w:val="es-ES"/>
        </w:rPr>
        <w:t>PÓLIZA VINCULADA</w:t>
      </w:r>
      <w:r w:rsidR="0032364E" w:rsidRPr="0032364E">
        <w:rPr>
          <w:rFonts w:ascii="Arial" w:hAnsi="Arial" w:cs="Arial"/>
          <w:b/>
          <w:bCs/>
          <w:lang w:val="es-ES"/>
        </w:rPr>
        <w:t>:</w:t>
      </w:r>
      <w:r>
        <w:rPr>
          <w:rFonts w:ascii="Arial" w:hAnsi="Arial" w:cs="Arial"/>
          <w:b/>
          <w:bCs/>
          <w:lang w:val="es-ES"/>
        </w:rPr>
        <w:t xml:space="preserve"> </w:t>
      </w:r>
      <w:r w:rsidR="0032364E" w:rsidRPr="0032364E">
        <w:rPr>
          <w:rFonts w:ascii="Arial" w:hAnsi="Arial" w:cs="Arial"/>
          <w:lang w:val="es-ES"/>
        </w:rPr>
        <w:t>Póliza de Seguro de Responsabilidad Civil por Daños a Tercero No. 0150450 Vigencia: 01 de marzo de 2014 al 01 de marzo de 2015.</w:t>
      </w:r>
    </w:p>
    <w:p w14:paraId="00405CEE" w14:textId="77777777" w:rsidR="0032364E" w:rsidRPr="0032364E" w:rsidRDefault="0032364E" w:rsidP="0032364E">
      <w:pPr>
        <w:spacing w:after="0" w:line="312" w:lineRule="auto"/>
        <w:jc w:val="both"/>
        <w:rPr>
          <w:rFonts w:ascii="Arial" w:hAnsi="Arial" w:cs="Arial"/>
          <w:b/>
          <w:bCs/>
          <w:lang w:val="es-ES"/>
        </w:rPr>
      </w:pPr>
    </w:p>
    <w:p w14:paraId="4039C824" w14:textId="77777777" w:rsidR="0032364E" w:rsidRPr="0032364E" w:rsidRDefault="0032364E" w:rsidP="0032364E">
      <w:pPr>
        <w:spacing w:after="0" w:line="312" w:lineRule="auto"/>
        <w:jc w:val="both"/>
        <w:rPr>
          <w:rFonts w:ascii="Arial" w:hAnsi="Arial" w:cs="Arial"/>
          <w:lang w:val="es-ES"/>
        </w:rPr>
      </w:pPr>
      <w:r w:rsidRPr="0032364E">
        <w:rPr>
          <w:rFonts w:ascii="Arial" w:hAnsi="Arial" w:cs="Arial"/>
          <w:b/>
          <w:bCs/>
          <w:lang w:val="es-ES"/>
        </w:rPr>
        <w:t xml:space="preserve">FECHA DE LOS HECHOS: </w:t>
      </w:r>
      <w:r w:rsidRPr="0032364E">
        <w:rPr>
          <w:rFonts w:ascii="Arial" w:hAnsi="Arial" w:cs="Arial"/>
          <w:lang w:val="es-ES"/>
        </w:rPr>
        <w:t>27 de julio de 2014</w:t>
      </w:r>
    </w:p>
    <w:p w14:paraId="03BFD0F8" w14:textId="77777777" w:rsidR="0032364E" w:rsidRPr="0032364E" w:rsidRDefault="0032364E" w:rsidP="0032364E">
      <w:pPr>
        <w:spacing w:after="0" w:line="312" w:lineRule="auto"/>
        <w:jc w:val="both"/>
        <w:rPr>
          <w:rFonts w:ascii="Arial" w:hAnsi="Arial" w:cs="Arial"/>
          <w:b/>
          <w:bCs/>
          <w:lang w:val="es-ES"/>
        </w:rPr>
      </w:pPr>
    </w:p>
    <w:p w14:paraId="70C06B52" w14:textId="77777777" w:rsidR="0032364E" w:rsidRPr="0032364E" w:rsidRDefault="0032364E" w:rsidP="0032364E">
      <w:pPr>
        <w:spacing w:after="0" w:line="312" w:lineRule="auto"/>
        <w:jc w:val="both"/>
        <w:rPr>
          <w:rFonts w:ascii="Arial" w:hAnsi="Arial" w:cs="Arial"/>
          <w:lang w:val="es-ES"/>
        </w:rPr>
      </w:pPr>
      <w:r w:rsidRPr="0032364E">
        <w:rPr>
          <w:rFonts w:ascii="Arial" w:hAnsi="Arial" w:cs="Arial"/>
          <w:b/>
          <w:bCs/>
          <w:lang w:val="es-ES"/>
        </w:rPr>
        <w:t>HECHOS:</w:t>
      </w:r>
      <w:r w:rsidRPr="0032364E">
        <w:rPr>
          <w:rFonts w:ascii="Arial" w:hAnsi="Arial" w:cs="Arial"/>
          <w:lang w:val="es-ES"/>
        </w:rPr>
        <w:t xml:space="preserve"> De conformidad con los hechos de la demanda, el día 27 de julio de 2014 el señor DIEGO FERNANDO NARVAEZ, se encontraba realizando algunas actividades voluntarias, de limpieza y adecuación en una vivienda en el barrio de Aruba y Curazao del Bordo, Municipio de Patía, propiedad de su hermana, la señora YENIS AMANDA NARVAEZ. </w:t>
      </w:r>
    </w:p>
    <w:p w14:paraId="20E20F98" w14:textId="77777777" w:rsidR="0032364E" w:rsidRPr="0032364E" w:rsidRDefault="0032364E" w:rsidP="0032364E">
      <w:pPr>
        <w:spacing w:after="0" w:line="312" w:lineRule="auto"/>
        <w:jc w:val="both"/>
        <w:rPr>
          <w:rFonts w:ascii="Arial" w:hAnsi="Arial" w:cs="Arial"/>
          <w:lang w:val="es-ES"/>
        </w:rPr>
      </w:pPr>
    </w:p>
    <w:p w14:paraId="1B7CF5CA" w14:textId="77777777" w:rsidR="0032364E" w:rsidRPr="0032364E" w:rsidRDefault="0032364E" w:rsidP="0032364E">
      <w:pPr>
        <w:spacing w:after="0" w:line="312" w:lineRule="auto"/>
        <w:jc w:val="both"/>
        <w:rPr>
          <w:rFonts w:ascii="Arial" w:hAnsi="Arial" w:cs="Arial"/>
          <w:lang w:val="es-ES"/>
        </w:rPr>
      </w:pPr>
      <w:r w:rsidRPr="0032364E">
        <w:rPr>
          <w:rFonts w:ascii="Arial" w:hAnsi="Arial" w:cs="Arial"/>
          <w:lang w:val="es-ES"/>
        </w:rPr>
        <w:t>Indicó la parte actora que el señor DIEGO FERNANDO NARVAEZ debió subir al techo de la vivienda, con el objeto de conectar una manguera al tanque de reserva de agua, para continuar con la limpieza, en ese preciso momento, sufre accidentalmente contacto con las líneas de energía eléctrica de alta tensión, azotándolo una fuerte descarga eléctrica ocasionándole quemaduras graves en parte de su cuerpo.</w:t>
      </w:r>
    </w:p>
    <w:p w14:paraId="23EE095F" w14:textId="77777777" w:rsidR="0032364E" w:rsidRPr="0032364E" w:rsidRDefault="0032364E" w:rsidP="0032364E">
      <w:pPr>
        <w:spacing w:after="0" w:line="312" w:lineRule="auto"/>
        <w:jc w:val="both"/>
        <w:rPr>
          <w:rFonts w:ascii="Arial" w:hAnsi="Arial" w:cs="Arial"/>
          <w:lang w:val="es-ES"/>
        </w:rPr>
      </w:pPr>
    </w:p>
    <w:p w14:paraId="7DEA43D2" w14:textId="77777777" w:rsidR="0032364E" w:rsidRDefault="0032364E" w:rsidP="0032364E">
      <w:pPr>
        <w:spacing w:after="0" w:line="312" w:lineRule="auto"/>
        <w:jc w:val="both"/>
        <w:rPr>
          <w:rFonts w:ascii="Arial" w:hAnsi="Arial" w:cs="Arial"/>
          <w:lang w:val="es-ES"/>
        </w:rPr>
      </w:pPr>
      <w:r w:rsidRPr="0032364E">
        <w:rPr>
          <w:rFonts w:ascii="Arial" w:hAnsi="Arial" w:cs="Arial"/>
          <w:lang w:val="es-ES"/>
        </w:rPr>
        <w:lastRenderedPageBreak/>
        <w:t>Manifestó la parte actora que el señor DIEGO FERNANDO NARVAEZ GOMEZ fue trasladado al HOSPITAL DEL BORDO PATIA donde se le diagnostico quemaduras de tercer y cuarto grado, en tronco y extremidades del 40 a 49% de su cuerpo.</w:t>
      </w:r>
    </w:p>
    <w:p w14:paraId="1238C289" w14:textId="77777777" w:rsidR="00B21235" w:rsidRPr="0032364E" w:rsidRDefault="00B21235" w:rsidP="0032364E">
      <w:pPr>
        <w:spacing w:after="0" w:line="312" w:lineRule="auto"/>
        <w:jc w:val="both"/>
        <w:rPr>
          <w:rFonts w:ascii="Arial" w:hAnsi="Arial" w:cs="Arial"/>
          <w:lang w:val="es-ES"/>
        </w:rPr>
      </w:pPr>
    </w:p>
    <w:p w14:paraId="600FD6DE" w14:textId="77777777" w:rsidR="0032364E" w:rsidRPr="0032364E" w:rsidRDefault="0032364E" w:rsidP="0032364E">
      <w:pPr>
        <w:spacing w:after="0" w:line="312" w:lineRule="auto"/>
        <w:jc w:val="both"/>
        <w:rPr>
          <w:rFonts w:ascii="Arial" w:hAnsi="Arial" w:cs="Arial"/>
          <w:lang w:val="es-ES"/>
        </w:rPr>
      </w:pPr>
      <w:r w:rsidRPr="0032364E">
        <w:rPr>
          <w:rFonts w:ascii="Arial" w:hAnsi="Arial" w:cs="Arial"/>
          <w:b/>
          <w:bCs/>
          <w:lang w:val="es-ES"/>
        </w:rPr>
        <w:t>PRETENSIONES:</w:t>
      </w:r>
      <w:r w:rsidRPr="0032364E">
        <w:rPr>
          <w:rFonts w:ascii="Arial" w:hAnsi="Arial" w:cs="Arial"/>
          <w:lang w:val="es-ES"/>
        </w:rPr>
        <w:t xml:space="preserve"> Que se declare administrativamente responsable al Departamento del Cauca, al Municipio de Patía, La empresa Centrales Eléctricas del Cauca S.A. E.S.P – CEDELCA y a la Compañía Energética de Occidente S.A.S. E.S.P.- CEO como consecuencia de las graves afectaciones físicas y psicológicas que sufrió el señor DIEGO FERNANDO NARVAEZ y se les condene a los siguientes rubros:</w:t>
      </w:r>
    </w:p>
    <w:p w14:paraId="5AB2F4B0" w14:textId="77777777" w:rsidR="0032364E" w:rsidRPr="0032364E" w:rsidRDefault="0032364E" w:rsidP="0032364E">
      <w:pPr>
        <w:spacing w:after="0" w:line="312" w:lineRule="auto"/>
        <w:jc w:val="both"/>
        <w:rPr>
          <w:rFonts w:ascii="Arial" w:hAnsi="Arial" w:cs="Arial"/>
          <w:lang w:val="es-ES"/>
        </w:rPr>
      </w:pPr>
    </w:p>
    <w:p w14:paraId="1E61EF50" w14:textId="77777777" w:rsidR="0032364E" w:rsidRPr="0032364E" w:rsidRDefault="0032364E" w:rsidP="0032364E">
      <w:pPr>
        <w:pStyle w:val="Prrafodelista"/>
        <w:numPr>
          <w:ilvl w:val="0"/>
          <w:numId w:val="2"/>
        </w:numPr>
        <w:spacing w:after="0" w:line="312" w:lineRule="auto"/>
        <w:jc w:val="both"/>
        <w:rPr>
          <w:rFonts w:ascii="Arial" w:hAnsi="Arial" w:cs="Arial"/>
          <w:lang w:val="es-ES"/>
        </w:rPr>
      </w:pPr>
      <w:r w:rsidRPr="0032364E">
        <w:rPr>
          <w:rFonts w:ascii="Arial" w:hAnsi="Arial" w:cs="Arial"/>
          <w:b/>
          <w:bCs/>
          <w:u w:val="single"/>
          <w:lang w:val="es-ES"/>
        </w:rPr>
        <w:t>Perjuicios Materiales</w:t>
      </w:r>
      <w:r w:rsidRPr="0032364E">
        <w:rPr>
          <w:rFonts w:ascii="Arial" w:hAnsi="Arial" w:cs="Arial"/>
          <w:lang w:val="es-ES"/>
        </w:rPr>
        <w:t>:</w:t>
      </w:r>
    </w:p>
    <w:p w14:paraId="2E268EB4" w14:textId="77777777" w:rsidR="0032364E" w:rsidRPr="0032364E" w:rsidRDefault="0032364E" w:rsidP="0032364E">
      <w:pPr>
        <w:pStyle w:val="Prrafodelista"/>
        <w:spacing w:after="0" w:line="312" w:lineRule="auto"/>
        <w:jc w:val="both"/>
        <w:rPr>
          <w:rFonts w:ascii="Arial" w:hAnsi="Arial" w:cs="Arial"/>
          <w:lang w:val="es-ES"/>
        </w:rPr>
      </w:pPr>
    </w:p>
    <w:p w14:paraId="183D638A" w14:textId="77777777" w:rsidR="0032364E" w:rsidRPr="0032364E" w:rsidRDefault="0032364E" w:rsidP="0032364E">
      <w:pPr>
        <w:pStyle w:val="Prrafodelista"/>
        <w:spacing w:after="0" w:line="312" w:lineRule="auto"/>
        <w:jc w:val="both"/>
        <w:rPr>
          <w:rFonts w:ascii="Arial" w:hAnsi="Arial" w:cs="Arial"/>
          <w:lang w:val="es-ES"/>
        </w:rPr>
      </w:pPr>
      <w:r w:rsidRPr="0032364E">
        <w:rPr>
          <w:rFonts w:ascii="Arial" w:hAnsi="Arial" w:cs="Arial"/>
          <w:b/>
          <w:bCs/>
          <w:lang w:val="es-ES"/>
        </w:rPr>
        <w:t>Daño emergente:</w:t>
      </w:r>
      <w:r w:rsidRPr="0032364E">
        <w:rPr>
          <w:rFonts w:ascii="Arial" w:hAnsi="Arial" w:cs="Arial"/>
          <w:lang w:val="es-ES"/>
        </w:rPr>
        <w:t xml:space="preserve"> Diego Fernando Narváez $20.000.000</w:t>
      </w:r>
    </w:p>
    <w:p w14:paraId="062057F0" w14:textId="77777777" w:rsidR="0032364E" w:rsidRPr="0032364E" w:rsidRDefault="0032364E" w:rsidP="0032364E">
      <w:pPr>
        <w:pStyle w:val="Prrafodelista"/>
        <w:spacing w:after="0" w:line="312" w:lineRule="auto"/>
        <w:jc w:val="both"/>
        <w:rPr>
          <w:rFonts w:ascii="Arial" w:hAnsi="Arial" w:cs="Arial"/>
          <w:lang w:val="es-ES"/>
        </w:rPr>
      </w:pPr>
      <w:r w:rsidRPr="0032364E">
        <w:rPr>
          <w:rFonts w:ascii="Arial" w:hAnsi="Arial" w:cs="Arial"/>
          <w:lang w:val="es-ES"/>
        </w:rPr>
        <w:tab/>
      </w:r>
      <w:r w:rsidRPr="0032364E">
        <w:rPr>
          <w:rFonts w:ascii="Arial" w:hAnsi="Arial" w:cs="Arial"/>
          <w:lang w:val="es-ES"/>
        </w:rPr>
        <w:tab/>
        <w:t xml:space="preserve">      </w:t>
      </w:r>
      <w:proofErr w:type="spellStart"/>
      <w:r w:rsidRPr="0032364E">
        <w:rPr>
          <w:rFonts w:ascii="Arial" w:hAnsi="Arial" w:cs="Arial"/>
          <w:lang w:val="es-ES"/>
        </w:rPr>
        <w:t>Yenis</w:t>
      </w:r>
      <w:proofErr w:type="spellEnd"/>
      <w:r w:rsidRPr="0032364E">
        <w:rPr>
          <w:rFonts w:ascii="Arial" w:hAnsi="Arial" w:cs="Arial"/>
          <w:lang w:val="es-ES"/>
        </w:rPr>
        <w:t xml:space="preserve"> Amanda Narváez Gómez: $1.864.454</w:t>
      </w:r>
    </w:p>
    <w:p w14:paraId="21DA4B83" w14:textId="77777777" w:rsidR="0032364E" w:rsidRPr="0032364E" w:rsidRDefault="0032364E" w:rsidP="0032364E">
      <w:pPr>
        <w:pStyle w:val="Prrafodelista"/>
        <w:spacing w:after="0" w:line="312" w:lineRule="auto"/>
        <w:jc w:val="both"/>
        <w:rPr>
          <w:rFonts w:ascii="Arial" w:hAnsi="Arial" w:cs="Arial"/>
          <w:lang w:val="es-ES"/>
        </w:rPr>
      </w:pPr>
      <w:r w:rsidRPr="0032364E">
        <w:rPr>
          <w:rFonts w:ascii="Arial" w:hAnsi="Arial" w:cs="Arial"/>
          <w:lang w:val="es-ES"/>
        </w:rPr>
        <w:t xml:space="preserve">                             </w:t>
      </w:r>
    </w:p>
    <w:p w14:paraId="4E8F9257" w14:textId="77777777" w:rsidR="0032364E" w:rsidRPr="0032364E" w:rsidRDefault="0032364E" w:rsidP="0032364E">
      <w:pPr>
        <w:pStyle w:val="Prrafodelista"/>
        <w:spacing w:after="0" w:line="312" w:lineRule="auto"/>
        <w:jc w:val="both"/>
        <w:rPr>
          <w:rFonts w:ascii="Arial" w:hAnsi="Arial" w:cs="Arial"/>
          <w:lang w:val="es-ES"/>
        </w:rPr>
      </w:pPr>
      <w:r w:rsidRPr="0032364E">
        <w:rPr>
          <w:rFonts w:ascii="Arial" w:hAnsi="Arial" w:cs="Arial"/>
          <w:b/>
          <w:bCs/>
          <w:lang w:val="es-ES"/>
        </w:rPr>
        <w:t xml:space="preserve">Lucro Cesante: </w:t>
      </w:r>
      <w:r w:rsidRPr="0032364E">
        <w:rPr>
          <w:rFonts w:ascii="Arial" w:hAnsi="Arial" w:cs="Arial"/>
          <w:lang w:val="es-ES"/>
        </w:rPr>
        <w:t>Diego Fernando Narváez: $330.187.354</w:t>
      </w:r>
    </w:p>
    <w:p w14:paraId="74EE04D2" w14:textId="77777777" w:rsidR="0032364E" w:rsidRPr="0032364E" w:rsidRDefault="0032364E" w:rsidP="0032364E">
      <w:pPr>
        <w:pStyle w:val="Prrafodelista"/>
        <w:spacing w:after="0" w:line="312" w:lineRule="auto"/>
        <w:jc w:val="both"/>
        <w:rPr>
          <w:rFonts w:ascii="Arial" w:hAnsi="Arial" w:cs="Arial"/>
          <w:lang w:val="es-ES"/>
        </w:rPr>
      </w:pPr>
    </w:p>
    <w:p w14:paraId="3E80732A" w14:textId="3FA7376C" w:rsidR="00BF57B9" w:rsidRDefault="00BF57B9" w:rsidP="0032364E">
      <w:pPr>
        <w:pStyle w:val="Prrafodelista"/>
        <w:numPr>
          <w:ilvl w:val="0"/>
          <w:numId w:val="2"/>
        </w:numPr>
        <w:spacing w:after="0" w:line="312" w:lineRule="auto"/>
        <w:jc w:val="both"/>
        <w:rPr>
          <w:rFonts w:ascii="Arial" w:hAnsi="Arial" w:cs="Arial"/>
          <w:b/>
          <w:bCs/>
          <w:u w:val="single"/>
          <w:lang w:val="es-ES"/>
        </w:rPr>
      </w:pPr>
      <w:r>
        <w:rPr>
          <w:rFonts w:ascii="Arial" w:hAnsi="Arial" w:cs="Arial"/>
          <w:b/>
          <w:bCs/>
          <w:u w:val="single"/>
          <w:lang w:val="es-ES"/>
        </w:rPr>
        <w:t xml:space="preserve">Perjuicios Inmateriales: </w:t>
      </w:r>
    </w:p>
    <w:p w14:paraId="37F17FF1" w14:textId="77777777" w:rsidR="00BF57B9" w:rsidRDefault="00BF57B9" w:rsidP="00BF57B9">
      <w:pPr>
        <w:pStyle w:val="Prrafodelista"/>
        <w:spacing w:after="0" w:line="312" w:lineRule="auto"/>
        <w:jc w:val="both"/>
        <w:rPr>
          <w:rFonts w:ascii="Arial" w:hAnsi="Arial" w:cs="Arial"/>
          <w:b/>
          <w:bCs/>
          <w:u w:val="single"/>
          <w:lang w:val="es-ES"/>
        </w:rPr>
      </w:pPr>
    </w:p>
    <w:p w14:paraId="6A3BD7BC" w14:textId="09B9F88A" w:rsidR="0032364E" w:rsidRPr="0032364E" w:rsidRDefault="0032364E" w:rsidP="00BF57B9">
      <w:pPr>
        <w:pStyle w:val="Prrafodelista"/>
        <w:spacing w:after="0" w:line="312" w:lineRule="auto"/>
        <w:jc w:val="both"/>
        <w:rPr>
          <w:rFonts w:ascii="Arial" w:hAnsi="Arial" w:cs="Arial"/>
          <w:b/>
          <w:bCs/>
          <w:u w:val="single"/>
          <w:lang w:val="es-ES"/>
        </w:rPr>
      </w:pPr>
      <w:r w:rsidRPr="0032364E">
        <w:rPr>
          <w:rFonts w:ascii="Arial" w:hAnsi="Arial" w:cs="Arial"/>
          <w:b/>
          <w:bCs/>
          <w:u w:val="single"/>
          <w:lang w:val="es-ES"/>
        </w:rPr>
        <w:t xml:space="preserve">Perjuicios Morales: </w:t>
      </w:r>
      <w:r w:rsidRPr="0032364E">
        <w:rPr>
          <w:rFonts w:ascii="Arial" w:hAnsi="Arial" w:cs="Arial"/>
          <w:lang w:val="es-ES"/>
        </w:rPr>
        <w:t>1300 SMLMV (todo el núcleo familiar) 800.800.000</w:t>
      </w:r>
    </w:p>
    <w:p w14:paraId="14D0336C" w14:textId="77777777" w:rsidR="0032364E" w:rsidRPr="0032364E" w:rsidRDefault="0032364E" w:rsidP="0032364E">
      <w:pPr>
        <w:pStyle w:val="Prrafodelista"/>
        <w:spacing w:after="0" w:line="312" w:lineRule="auto"/>
        <w:jc w:val="both"/>
        <w:rPr>
          <w:rFonts w:ascii="Arial" w:hAnsi="Arial" w:cs="Arial"/>
          <w:lang w:val="es-ES"/>
        </w:rPr>
      </w:pPr>
    </w:p>
    <w:p w14:paraId="12516DD6" w14:textId="77777777" w:rsidR="0032364E" w:rsidRPr="0032364E" w:rsidRDefault="0032364E" w:rsidP="00BF57B9">
      <w:pPr>
        <w:pStyle w:val="Prrafodelista"/>
        <w:spacing w:after="0" w:line="312" w:lineRule="auto"/>
        <w:jc w:val="both"/>
        <w:rPr>
          <w:rFonts w:ascii="Arial" w:hAnsi="Arial" w:cs="Arial"/>
          <w:b/>
          <w:bCs/>
          <w:u w:val="single"/>
          <w:lang w:val="es-ES"/>
        </w:rPr>
      </w:pPr>
      <w:r w:rsidRPr="0032364E">
        <w:rPr>
          <w:rFonts w:ascii="Arial" w:hAnsi="Arial" w:cs="Arial"/>
          <w:b/>
          <w:bCs/>
          <w:u w:val="single"/>
          <w:lang w:val="es-ES"/>
        </w:rPr>
        <w:t xml:space="preserve">Daño a la Salud: </w:t>
      </w:r>
    </w:p>
    <w:p w14:paraId="58EF55AD" w14:textId="77777777" w:rsidR="0032364E" w:rsidRPr="0032364E" w:rsidRDefault="0032364E" w:rsidP="0032364E">
      <w:pPr>
        <w:pStyle w:val="Prrafodelista"/>
        <w:spacing w:after="0" w:line="312" w:lineRule="auto"/>
        <w:jc w:val="both"/>
        <w:rPr>
          <w:rFonts w:ascii="Arial" w:hAnsi="Arial" w:cs="Arial"/>
          <w:lang w:val="es-ES"/>
        </w:rPr>
      </w:pPr>
      <w:r w:rsidRPr="0032364E">
        <w:rPr>
          <w:rFonts w:ascii="Arial" w:hAnsi="Arial" w:cs="Arial"/>
          <w:lang w:val="es-ES"/>
        </w:rPr>
        <w:t>Diego Fernando Narváez: 400 SMLMV 246.400.000</w:t>
      </w:r>
    </w:p>
    <w:p w14:paraId="70B6AAC2" w14:textId="77777777" w:rsidR="0032364E" w:rsidRPr="0032364E" w:rsidRDefault="0032364E" w:rsidP="0032364E">
      <w:pPr>
        <w:pStyle w:val="Prrafodelista"/>
        <w:spacing w:after="0" w:line="312" w:lineRule="auto"/>
        <w:jc w:val="both"/>
        <w:rPr>
          <w:rFonts w:ascii="Arial" w:hAnsi="Arial" w:cs="Arial"/>
          <w:lang w:val="es-ES"/>
        </w:rPr>
      </w:pPr>
    </w:p>
    <w:p w14:paraId="2AC1B74F" w14:textId="77777777" w:rsidR="0032364E" w:rsidRPr="0032364E" w:rsidRDefault="0032364E" w:rsidP="00BF57B9">
      <w:pPr>
        <w:pStyle w:val="Prrafodelista"/>
        <w:spacing w:after="0" w:line="312" w:lineRule="auto"/>
        <w:jc w:val="both"/>
        <w:rPr>
          <w:rFonts w:ascii="Arial" w:hAnsi="Arial" w:cs="Arial"/>
          <w:b/>
          <w:bCs/>
          <w:u w:val="single"/>
          <w:lang w:val="es-ES"/>
        </w:rPr>
      </w:pPr>
      <w:r w:rsidRPr="0032364E">
        <w:rPr>
          <w:rFonts w:ascii="Arial" w:hAnsi="Arial" w:cs="Arial"/>
          <w:b/>
          <w:bCs/>
          <w:u w:val="single"/>
          <w:lang w:val="es-ES"/>
        </w:rPr>
        <w:t xml:space="preserve">Perjuicio Alteraciones graves a las condiciones de existencia: </w:t>
      </w:r>
    </w:p>
    <w:p w14:paraId="64A21BA7" w14:textId="77777777" w:rsidR="0032364E" w:rsidRPr="0032364E" w:rsidRDefault="0032364E" w:rsidP="0032364E">
      <w:pPr>
        <w:pStyle w:val="Prrafodelista"/>
        <w:spacing w:after="0" w:line="312" w:lineRule="auto"/>
        <w:jc w:val="both"/>
        <w:rPr>
          <w:rFonts w:ascii="Arial" w:hAnsi="Arial" w:cs="Arial"/>
          <w:lang w:val="es-ES"/>
        </w:rPr>
      </w:pPr>
      <w:r w:rsidRPr="0032364E">
        <w:rPr>
          <w:rFonts w:ascii="Arial" w:hAnsi="Arial" w:cs="Arial"/>
          <w:lang w:val="es-ES"/>
        </w:rPr>
        <w:t>Diego Fernando Narváez: 200 SMLMV 123.200.000</w:t>
      </w:r>
    </w:p>
    <w:p w14:paraId="3A0BBA39" w14:textId="77777777" w:rsidR="0032364E" w:rsidRPr="0032364E" w:rsidRDefault="0032364E" w:rsidP="0032364E">
      <w:pPr>
        <w:pStyle w:val="Prrafodelista"/>
        <w:spacing w:after="0" w:line="312" w:lineRule="auto"/>
        <w:jc w:val="both"/>
        <w:rPr>
          <w:rFonts w:ascii="Arial" w:hAnsi="Arial" w:cs="Arial"/>
          <w:lang w:val="es-ES"/>
        </w:rPr>
      </w:pPr>
    </w:p>
    <w:p w14:paraId="6EF3ED67" w14:textId="77777777" w:rsidR="0032364E" w:rsidRPr="0032364E" w:rsidRDefault="0032364E" w:rsidP="0032364E">
      <w:pPr>
        <w:pStyle w:val="Prrafodelista"/>
        <w:spacing w:after="0" w:line="312" w:lineRule="auto"/>
        <w:jc w:val="both"/>
        <w:rPr>
          <w:rFonts w:ascii="Arial" w:hAnsi="Arial" w:cs="Arial"/>
          <w:b/>
          <w:bCs/>
          <w:u w:val="single"/>
          <w:lang w:val="es-ES"/>
        </w:rPr>
      </w:pPr>
      <w:r w:rsidRPr="0032364E">
        <w:rPr>
          <w:rFonts w:ascii="Arial" w:hAnsi="Arial" w:cs="Arial"/>
          <w:b/>
          <w:bCs/>
          <w:u w:val="single"/>
          <w:lang w:val="es-ES"/>
        </w:rPr>
        <w:t>TOTAL: $ 1.192.264.454</w:t>
      </w:r>
    </w:p>
    <w:p w14:paraId="1EE77A50" w14:textId="77777777" w:rsidR="0032364E" w:rsidRPr="0032364E" w:rsidRDefault="0032364E" w:rsidP="0032364E">
      <w:pPr>
        <w:spacing w:after="0" w:line="312" w:lineRule="auto"/>
        <w:jc w:val="both"/>
        <w:rPr>
          <w:rFonts w:ascii="Arial" w:hAnsi="Arial" w:cs="Arial"/>
          <w:lang w:val="es-ES"/>
        </w:rPr>
      </w:pPr>
    </w:p>
    <w:p w14:paraId="314C0623" w14:textId="77777777" w:rsidR="0032364E" w:rsidRPr="0032364E" w:rsidRDefault="0032364E" w:rsidP="0032364E">
      <w:pPr>
        <w:spacing w:after="0" w:line="312" w:lineRule="auto"/>
        <w:jc w:val="both"/>
        <w:rPr>
          <w:rFonts w:ascii="Arial" w:hAnsi="Arial" w:cs="Arial"/>
          <w:b/>
          <w:bCs/>
          <w:lang w:val="es-ES"/>
        </w:rPr>
      </w:pPr>
    </w:p>
    <w:p w14:paraId="4A672AF3" w14:textId="7D62C9BF" w:rsidR="009D3F73" w:rsidRPr="00B21235" w:rsidRDefault="0032364E" w:rsidP="00B21235">
      <w:pPr>
        <w:pStyle w:val="Prrafodelista"/>
        <w:numPr>
          <w:ilvl w:val="0"/>
          <w:numId w:val="5"/>
        </w:numPr>
        <w:spacing w:after="0" w:line="312" w:lineRule="auto"/>
        <w:ind w:left="567" w:hanging="283"/>
        <w:jc w:val="center"/>
        <w:rPr>
          <w:rFonts w:ascii="Arial" w:hAnsi="Arial" w:cs="Arial"/>
          <w:b/>
          <w:bCs/>
          <w:u w:val="single"/>
          <w:lang w:val="es-ES"/>
        </w:rPr>
      </w:pPr>
      <w:r w:rsidRPr="00B21235">
        <w:rPr>
          <w:rFonts w:ascii="Arial" w:hAnsi="Arial" w:cs="Arial"/>
          <w:b/>
          <w:bCs/>
          <w:u w:val="single"/>
          <w:lang w:val="es-ES"/>
        </w:rPr>
        <w:t xml:space="preserve">LIQUIDACIÓN OBJETIVA </w:t>
      </w:r>
    </w:p>
    <w:p w14:paraId="39868240" w14:textId="77777777" w:rsidR="009D3F73" w:rsidRDefault="009D3F73" w:rsidP="009D3F73">
      <w:pPr>
        <w:spacing w:after="0" w:line="312" w:lineRule="auto"/>
        <w:jc w:val="center"/>
        <w:rPr>
          <w:rFonts w:ascii="Arial" w:hAnsi="Arial" w:cs="Arial"/>
          <w:b/>
          <w:bCs/>
          <w:lang w:val="es-ES"/>
        </w:rPr>
      </w:pPr>
    </w:p>
    <w:p w14:paraId="4C943399" w14:textId="24902934" w:rsidR="0032364E" w:rsidRPr="0032364E" w:rsidRDefault="009D3F73" w:rsidP="009D3F73">
      <w:pPr>
        <w:spacing w:after="0" w:line="312" w:lineRule="auto"/>
        <w:jc w:val="both"/>
        <w:rPr>
          <w:rFonts w:ascii="Arial" w:hAnsi="Arial" w:cs="Arial"/>
          <w:b/>
          <w:bCs/>
          <w:lang w:val="es-ES"/>
        </w:rPr>
      </w:pPr>
      <w:r w:rsidRPr="009D3F73">
        <w:rPr>
          <w:rFonts w:ascii="Arial" w:hAnsi="Arial" w:cs="Arial"/>
          <w:lang w:val="es-ES"/>
        </w:rPr>
        <w:t>Por el valor de</w:t>
      </w:r>
      <w:r>
        <w:rPr>
          <w:rFonts w:ascii="Arial" w:hAnsi="Arial" w:cs="Arial"/>
          <w:b/>
          <w:bCs/>
          <w:lang w:val="es-ES"/>
        </w:rPr>
        <w:t xml:space="preserve"> </w:t>
      </w:r>
      <w:r w:rsidR="0032364E" w:rsidRPr="0032364E">
        <w:rPr>
          <w:rFonts w:ascii="Arial" w:hAnsi="Arial" w:cs="Arial"/>
          <w:b/>
          <w:bCs/>
          <w:lang w:val="es-ES"/>
        </w:rPr>
        <w:t xml:space="preserve">$993.433.008. </w:t>
      </w:r>
      <w:r w:rsidR="0032364E" w:rsidRPr="0032364E">
        <w:rPr>
          <w:rFonts w:ascii="Arial" w:hAnsi="Arial" w:cs="Arial"/>
          <w:lang w:val="es-ES"/>
        </w:rPr>
        <w:t xml:space="preserve">A este valor se </w:t>
      </w:r>
      <w:r w:rsidRPr="0032364E">
        <w:rPr>
          <w:rFonts w:ascii="Arial" w:hAnsi="Arial" w:cs="Arial"/>
          <w:lang w:val="es-ES"/>
        </w:rPr>
        <w:t>llegó</w:t>
      </w:r>
      <w:r w:rsidR="0032364E" w:rsidRPr="0032364E">
        <w:rPr>
          <w:rFonts w:ascii="Arial" w:hAnsi="Arial" w:cs="Arial"/>
          <w:lang w:val="es-ES"/>
        </w:rPr>
        <w:t xml:space="preserve"> de la siguiente manera:</w:t>
      </w:r>
    </w:p>
    <w:p w14:paraId="6C8C47FA" w14:textId="77777777" w:rsidR="0032364E" w:rsidRPr="0032364E" w:rsidRDefault="0032364E" w:rsidP="0032364E">
      <w:pPr>
        <w:spacing w:after="0" w:line="312" w:lineRule="auto"/>
        <w:jc w:val="both"/>
        <w:rPr>
          <w:rFonts w:ascii="Arial" w:hAnsi="Arial" w:cs="Arial"/>
          <w:b/>
          <w:bCs/>
          <w:u w:val="single"/>
          <w:lang w:val="es-ES"/>
        </w:rPr>
      </w:pPr>
    </w:p>
    <w:p w14:paraId="5CB22207" w14:textId="77777777" w:rsidR="0032364E" w:rsidRPr="0032364E" w:rsidRDefault="0032364E" w:rsidP="0032364E">
      <w:pPr>
        <w:pStyle w:val="Prrafodelista"/>
        <w:numPr>
          <w:ilvl w:val="0"/>
          <w:numId w:val="4"/>
        </w:numPr>
        <w:spacing w:after="0" w:line="312" w:lineRule="auto"/>
        <w:jc w:val="both"/>
        <w:rPr>
          <w:rFonts w:ascii="Arial" w:hAnsi="Arial" w:cs="Arial"/>
          <w:lang w:val="es-ES"/>
        </w:rPr>
      </w:pPr>
      <w:r w:rsidRPr="0032364E">
        <w:rPr>
          <w:rFonts w:ascii="Arial" w:hAnsi="Arial" w:cs="Arial"/>
          <w:b/>
          <w:bCs/>
          <w:lang w:val="es-ES"/>
        </w:rPr>
        <w:t>Daño emergente</w:t>
      </w:r>
      <w:r w:rsidRPr="0032364E">
        <w:rPr>
          <w:rFonts w:ascii="Arial" w:hAnsi="Arial" w:cs="Arial"/>
          <w:lang w:val="es-ES"/>
        </w:rPr>
        <w:t xml:space="preserve">: </w:t>
      </w:r>
      <w:r w:rsidRPr="0032364E">
        <w:rPr>
          <w:rFonts w:ascii="Arial" w:hAnsi="Arial" w:cs="Arial"/>
          <w:b/>
          <w:bCs/>
          <w:lang w:val="es-ES"/>
        </w:rPr>
        <w:t>$1.814.454</w:t>
      </w:r>
    </w:p>
    <w:p w14:paraId="38D04913" w14:textId="77777777" w:rsidR="0032364E" w:rsidRPr="0032364E" w:rsidRDefault="0032364E" w:rsidP="0032364E">
      <w:pPr>
        <w:shd w:val="clear" w:color="auto" w:fill="FFFFFF"/>
        <w:spacing w:after="0" w:line="312" w:lineRule="auto"/>
        <w:jc w:val="both"/>
        <w:textAlignment w:val="baseline"/>
        <w:rPr>
          <w:rFonts w:ascii="Arial" w:hAnsi="Arial" w:cs="Arial"/>
          <w:b/>
          <w:bCs/>
          <w:lang w:val="es-ES"/>
        </w:rPr>
      </w:pPr>
    </w:p>
    <w:p w14:paraId="29903246" w14:textId="77777777" w:rsidR="0032364E" w:rsidRPr="0032364E" w:rsidRDefault="0032364E" w:rsidP="0032364E">
      <w:pPr>
        <w:shd w:val="clear" w:color="auto" w:fill="FFFFFF"/>
        <w:spacing w:after="0" w:line="312" w:lineRule="auto"/>
        <w:jc w:val="both"/>
        <w:textAlignment w:val="baseline"/>
        <w:rPr>
          <w:rFonts w:ascii="Arial" w:eastAsia="Times New Roman" w:hAnsi="Arial" w:cs="Arial"/>
          <w:color w:val="000000"/>
          <w:bdr w:val="none" w:sz="0" w:space="0" w:color="auto" w:frame="1"/>
          <w:lang w:eastAsia="es-CO"/>
        </w:rPr>
      </w:pPr>
      <w:r w:rsidRPr="0032364E">
        <w:rPr>
          <w:rFonts w:ascii="Arial" w:hAnsi="Arial" w:cs="Arial"/>
          <w:b/>
          <w:bCs/>
          <w:lang w:val="es-ES"/>
        </w:rPr>
        <w:t xml:space="preserve">A favor del señor Diego Fernando Narváez: </w:t>
      </w:r>
      <w:r w:rsidRPr="0032364E">
        <w:rPr>
          <w:rFonts w:ascii="Arial" w:hAnsi="Arial" w:cs="Arial"/>
          <w:lang w:val="es-ES"/>
        </w:rPr>
        <w:t xml:space="preserve">La suma de </w:t>
      </w:r>
      <w:r w:rsidRPr="0032364E">
        <w:rPr>
          <w:rFonts w:ascii="Arial" w:hAnsi="Arial" w:cs="Arial"/>
          <w:b/>
          <w:bCs/>
          <w:lang w:val="es-ES"/>
        </w:rPr>
        <w:t>$1.175.000</w:t>
      </w:r>
      <w:r w:rsidRPr="0032364E">
        <w:rPr>
          <w:rFonts w:ascii="Arial" w:hAnsi="Arial" w:cs="Arial"/>
          <w:lang w:val="es-ES"/>
        </w:rPr>
        <w:t xml:space="preserve"> de acuerdo a las siguientes facturas aportadas en el proceso: </w:t>
      </w:r>
    </w:p>
    <w:p w14:paraId="1BE56F23" w14:textId="77777777" w:rsidR="0032364E" w:rsidRPr="0032364E" w:rsidRDefault="0032364E" w:rsidP="0032364E">
      <w:pPr>
        <w:shd w:val="clear" w:color="auto" w:fill="FFFFFF"/>
        <w:spacing w:after="0" w:line="312" w:lineRule="auto"/>
        <w:jc w:val="both"/>
        <w:textAlignment w:val="baseline"/>
        <w:rPr>
          <w:rFonts w:ascii="Arial" w:eastAsia="Times New Roman" w:hAnsi="Arial" w:cs="Arial"/>
          <w:color w:val="000000"/>
          <w:bdr w:val="none" w:sz="0" w:space="0" w:color="auto" w:frame="1"/>
          <w:lang w:eastAsia="es-CO"/>
        </w:rPr>
      </w:pPr>
    </w:p>
    <w:p w14:paraId="4BE56509" w14:textId="77777777" w:rsidR="0032364E" w:rsidRPr="0032364E" w:rsidRDefault="0032364E" w:rsidP="0032364E">
      <w:pPr>
        <w:shd w:val="clear" w:color="auto" w:fill="FFFFFF"/>
        <w:spacing w:after="0" w:line="312" w:lineRule="auto"/>
        <w:jc w:val="both"/>
        <w:textAlignment w:val="baseline"/>
        <w:rPr>
          <w:rFonts w:ascii="Arial" w:eastAsia="Times New Roman" w:hAnsi="Arial" w:cs="Arial"/>
          <w:color w:val="000000"/>
          <w:bdr w:val="none" w:sz="0" w:space="0" w:color="auto" w:frame="1"/>
          <w:lang w:eastAsia="es-CO"/>
        </w:rPr>
      </w:pPr>
      <w:r w:rsidRPr="0032364E">
        <w:rPr>
          <w:rFonts w:ascii="Arial" w:eastAsia="Times New Roman" w:hAnsi="Arial" w:cs="Arial"/>
          <w:color w:val="000000"/>
          <w:bdr w:val="none" w:sz="0" w:space="0" w:color="auto" w:frame="1"/>
          <w:lang w:eastAsia="es-CO"/>
        </w:rPr>
        <w:t xml:space="preserve">$539.000 factura de venta No. 30930 del 26 de noviembre de 2014 </w:t>
      </w:r>
    </w:p>
    <w:p w14:paraId="3A61E383" w14:textId="77777777" w:rsidR="0032364E" w:rsidRPr="0032364E" w:rsidRDefault="0032364E" w:rsidP="0032364E">
      <w:pPr>
        <w:shd w:val="clear" w:color="auto" w:fill="FFFFFF"/>
        <w:spacing w:after="0" w:line="312" w:lineRule="auto"/>
        <w:jc w:val="both"/>
        <w:textAlignment w:val="baseline"/>
        <w:rPr>
          <w:rFonts w:ascii="Arial" w:eastAsia="Times New Roman" w:hAnsi="Arial" w:cs="Arial"/>
          <w:color w:val="000000"/>
          <w:bdr w:val="none" w:sz="0" w:space="0" w:color="auto" w:frame="1"/>
          <w:lang w:eastAsia="es-CO"/>
        </w:rPr>
      </w:pPr>
      <w:r w:rsidRPr="0032364E">
        <w:rPr>
          <w:rFonts w:ascii="Arial" w:eastAsia="Times New Roman" w:hAnsi="Arial" w:cs="Arial"/>
          <w:color w:val="000000"/>
          <w:bdr w:val="none" w:sz="0" w:space="0" w:color="auto" w:frame="1"/>
          <w:lang w:eastAsia="es-CO"/>
        </w:rPr>
        <w:t>$300.000 Recibo de caja No. 1608</w:t>
      </w:r>
    </w:p>
    <w:p w14:paraId="5861D8E1" w14:textId="77777777" w:rsidR="0032364E" w:rsidRPr="0032364E" w:rsidRDefault="0032364E" w:rsidP="0032364E">
      <w:pPr>
        <w:shd w:val="clear" w:color="auto" w:fill="FFFFFF"/>
        <w:spacing w:after="0" w:line="312" w:lineRule="auto"/>
        <w:jc w:val="both"/>
        <w:textAlignment w:val="baseline"/>
        <w:rPr>
          <w:rFonts w:ascii="Arial" w:eastAsia="Times New Roman" w:hAnsi="Arial" w:cs="Arial"/>
          <w:color w:val="000000"/>
          <w:bdr w:val="none" w:sz="0" w:space="0" w:color="auto" w:frame="1"/>
          <w:lang w:eastAsia="es-CO"/>
        </w:rPr>
      </w:pPr>
      <w:r w:rsidRPr="0032364E">
        <w:rPr>
          <w:rFonts w:ascii="Arial" w:eastAsia="Times New Roman" w:hAnsi="Arial" w:cs="Arial"/>
          <w:color w:val="000000"/>
          <w:bdr w:val="none" w:sz="0" w:space="0" w:color="auto" w:frame="1"/>
          <w:lang w:eastAsia="es-CO"/>
        </w:rPr>
        <w:t>$336.000Recibos de caja No. 1611</w:t>
      </w:r>
    </w:p>
    <w:p w14:paraId="3CCA03BC" w14:textId="77777777" w:rsidR="0032364E" w:rsidRPr="0032364E" w:rsidRDefault="0032364E" w:rsidP="0032364E">
      <w:pPr>
        <w:shd w:val="clear" w:color="auto" w:fill="FFFFFF"/>
        <w:spacing w:after="0" w:line="312" w:lineRule="auto"/>
        <w:jc w:val="both"/>
        <w:textAlignment w:val="baseline"/>
        <w:rPr>
          <w:rFonts w:ascii="Arial" w:eastAsia="Times New Roman" w:hAnsi="Arial" w:cs="Arial"/>
          <w:color w:val="000000"/>
          <w:bdr w:val="none" w:sz="0" w:space="0" w:color="auto" w:frame="1"/>
          <w:lang w:eastAsia="es-CO"/>
        </w:rPr>
      </w:pPr>
    </w:p>
    <w:p w14:paraId="2CFE0E87" w14:textId="77777777" w:rsidR="0032364E" w:rsidRPr="0032364E" w:rsidRDefault="0032364E" w:rsidP="0032364E">
      <w:pPr>
        <w:spacing w:after="0" w:line="312" w:lineRule="auto"/>
        <w:jc w:val="both"/>
        <w:rPr>
          <w:rFonts w:ascii="Arial" w:hAnsi="Arial" w:cs="Arial"/>
          <w:lang w:val="es-ES"/>
        </w:rPr>
      </w:pPr>
      <w:r w:rsidRPr="0032364E">
        <w:rPr>
          <w:rFonts w:ascii="Arial" w:hAnsi="Arial" w:cs="Arial"/>
          <w:b/>
          <w:bCs/>
          <w:lang w:val="es-ES"/>
        </w:rPr>
        <w:t xml:space="preserve">A favor de la señora </w:t>
      </w:r>
      <w:proofErr w:type="spellStart"/>
      <w:r w:rsidRPr="0032364E">
        <w:rPr>
          <w:rFonts w:ascii="Arial" w:hAnsi="Arial" w:cs="Arial"/>
          <w:b/>
          <w:bCs/>
          <w:lang w:val="es-ES"/>
        </w:rPr>
        <w:t>Yenis</w:t>
      </w:r>
      <w:proofErr w:type="spellEnd"/>
      <w:r w:rsidRPr="0032364E">
        <w:rPr>
          <w:rFonts w:ascii="Arial" w:hAnsi="Arial" w:cs="Arial"/>
          <w:b/>
          <w:bCs/>
          <w:lang w:val="es-ES"/>
        </w:rPr>
        <w:t xml:space="preserve"> Amanda Narváez Gómez </w:t>
      </w:r>
      <w:r w:rsidRPr="0032364E">
        <w:rPr>
          <w:rFonts w:ascii="Arial" w:hAnsi="Arial" w:cs="Arial"/>
          <w:lang w:val="es-ES"/>
        </w:rPr>
        <w:t>la suma de</w:t>
      </w:r>
      <w:r w:rsidRPr="0032364E">
        <w:rPr>
          <w:rFonts w:ascii="Arial" w:hAnsi="Arial" w:cs="Arial"/>
          <w:b/>
          <w:bCs/>
          <w:lang w:val="es-ES"/>
        </w:rPr>
        <w:t xml:space="preserve"> </w:t>
      </w:r>
      <w:r w:rsidRPr="0032364E">
        <w:rPr>
          <w:rFonts w:ascii="Arial" w:hAnsi="Arial" w:cs="Arial"/>
          <w:b/>
          <w:bCs/>
          <w:u w:val="single"/>
          <w:lang w:val="es-ES"/>
        </w:rPr>
        <w:t>$639.454</w:t>
      </w:r>
      <w:r w:rsidRPr="0032364E">
        <w:rPr>
          <w:rFonts w:ascii="Arial" w:hAnsi="Arial" w:cs="Arial"/>
          <w:lang w:val="es-ES"/>
        </w:rPr>
        <w:t>, de acuerdo a lo siguiente:</w:t>
      </w:r>
    </w:p>
    <w:p w14:paraId="2980129B" w14:textId="77777777" w:rsidR="0032364E" w:rsidRPr="0032364E" w:rsidRDefault="0032364E" w:rsidP="0032364E">
      <w:pPr>
        <w:spacing w:after="0" w:line="312" w:lineRule="auto"/>
        <w:jc w:val="both"/>
        <w:rPr>
          <w:rFonts w:ascii="Arial" w:hAnsi="Arial" w:cs="Arial"/>
          <w:lang w:val="es-ES"/>
        </w:rPr>
      </w:pPr>
    </w:p>
    <w:p w14:paraId="31569BAD" w14:textId="77777777" w:rsidR="0032364E" w:rsidRPr="0032364E" w:rsidRDefault="0032364E" w:rsidP="0032364E">
      <w:pPr>
        <w:spacing w:after="0" w:line="312" w:lineRule="auto"/>
        <w:jc w:val="both"/>
        <w:rPr>
          <w:rFonts w:ascii="Arial" w:hAnsi="Arial" w:cs="Arial"/>
          <w:lang w:val="es-ES"/>
        </w:rPr>
      </w:pPr>
      <w:r w:rsidRPr="0032364E">
        <w:rPr>
          <w:rFonts w:ascii="Arial" w:hAnsi="Arial" w:cs="Arial"/>
          <w:lang w:val="es-ES"/>
        </w:rPr>
        <w:t>$639.454 Recibo de caja No. C6309484 del 21 de abril de 2016</w:t>
      </w:r>
    </w:p>
    <w:p w14:paraId="629F0DBE" w14:textId="77777777" w:rsidR="0032364E" w:rsidRPr="0032364E" w:rsidRDefault="0032364E" w:rsidP="0032364E">
      <w:pPr>
        <w:spacing w:after="0" w:line="312" w:lineRule="auto"/>
        <w:jc w:val="both"/>
        <w:rPr>
          <w:rFonts w:ascii="Arial" w:hAnsi="Arial" w:cs="Arial"/>
          <w:b/>
          <w:bCs/>
          <w:u w:val="single"/>
          <w:lang w:val="es-ES"/>
        </w:rPr>
      </w:pPr>
    </w:p>
    <w:p w14:paraId="0ADF2052" w14:textId="77777777" w:rsidR="0032364E" w:rsidRPr="0032364E" w:rsidRDefault="0032364E" w:rsidP="0032364E">
      <w:pPr>
        <w:pStyle w:val="Prrafodelista"/>
        <w:numPr>
          <w:ilvl w:val="0"/>
          <w:numId w:val="4"/>
        </w:numPr>
        <w:spacing w:after="0" w:line="312" w:lineRule="auto"/>
        <w:jc w:val="both"/>
        <w:rPr>
          <w:rFonts w:ascii="Arial" w:hAnsi="Arial" w:cs="Arial"/>
          <w:b/>
          <w:bCs/>
          <w:lang w:val="es-ES"/>
        </w:rPr>
      </w:pPr>
      <w:r w:rsidRPr="0032364E">
        <w:rPr>
          <w:rFonts w:ascii="Arial" w:hAnsi="Arial" w:cs="Arial"/>
          <w:b/>
          <w:bCs/>
          <w:lang w:val="es-ES"/>
        </w:rPr>
        <w:t>Lucro Cesante</w:t>
      </w:r>
      <w:r w:rsidRPr="0032364E">
        <w:rPr>
          <w:rFonts w:ascii="Arial" w:hAnsi="Arial" w:cs="Arial"/>
          <w:b/>
          <w:bCs/>
          <w:u w:val="single"/>
          <w:lang w:val="es-ES"/>
        </w:rPr>
        <w:t>:</w:t>
      </w:r>
      <w:r w:rsidRPr="0032364E">
        <w:rPr>
          <w:rFonts w:ascii="Arial" w:hAnsi="Arial" w:cs="Arial"/>
          <w:b/>
          <w:bCs/>
          <w:lang w:val="es-ES"/>
        </w:rPr>
        <w:t xml:space="preserve"> 0. </w:t>
      </w:r>
      <w:r w:rsidRPr="0032364E">
        <w:rPr>
          <w:rFonts w:ascii="Arial" w:hAnsi="Arial" w:cs="Arial"/>
          <w:lang w:val="es-ES"/>
        </w:rPr>
        <w:t>No se reconoce, no se aportaron pruebas que acreditaran que el señor Diego Fernando Narváez estuviera laborando o ejerciendo alguna actividad económica que le generara ingresos.</w:t>
      </w:r>
      <w:r w:rsidRPr="0032364E">
        <w:rPr>
          <w:rFonts w:ascii="Arial" w:hAnsi="Arial" w:cs="Arial"/>
          <w:b/>
          <w:bCs/>
          <w:lang w:val="es-ES"/>
        </w:rPr>
        <w:t xml:space="preserve"> </w:t>
      </w:r>
    </w:p>
    <w:p w14:paraId="2CE7ABA7" w14:textId="77777777" w:rsidR="0032364E" w:rsidRPr="0032364E" w:rsidRDefault="0032364E" w:rsidP="0032364E">
      <w:pPr>
        <w:shd w:val="clear" w:color="auto" w:fill="FFFFFF"/>
        <w:spacing w:after="0" w:line="312" w:lineRule="auto"/>
        <w:jc w:val="both"/>
        <w:rPr>
          <w:rFonts w:ascii="Arial" w:hAnsi="Arial" w:cs="Arial"/>
          <w:b/>
          <w:bCs/>
          <w:u w:val="single"/>
          <w:lang w:val="es-ES"/>
        </w:rPr>
      </w:pPr>
    </w:p>
    <w:p w14:paraId="4EB0F28B" w14:textId="77777777" w:rsidR="0032364E" w:rsidRPr="0032364E" w:rsidRDefault="0032364E" w:rsidP="0032364E">
      <w:pPr>
        <w:pStyle w:val="Prrafodelista"/>
        <w:numPr>
          <w:ilvl w:val="0"/>
          <w:numId w:val="4"/>
        </w:numPr>
        <w:shd w:val="clear" w:color="auto" w:fill="FFFFFF"/>
        <w:spacing w:after="0" w:line="312" w:lineRule="auto"/>
        <w:jc w:val="both"/>
        <w:rPr>
          <w:rFonts w:ascii="Arial" w:eastAsia="Times New Roman" w:hAnsi="Arial" w:cs="Arial"/>
          <w:b/>
          <w:bCs/>
          <w:color w:val="222222"/>
          <w:lang w:eastAsia="es-CO"/>
        </w:rPr>
      </w:pPr>
      <w:r w:rsidRPr="0032364E">
        <w:rPr>
          <w:rFonts w:ascii="Arial" w:hAnsi="Arial" w:cs="Arial"/>
          <w:b/>
          <w:bCs/>
          <w:lang w:val="es-ES"/>
        </w:rPr>
        <w:t xml:space="preserve">Perjuicios Morales:  </w:t>
      </w:r>
      <w:r w:rsidRPr="0032364E">
        <w:rPr>
          <w:rFonts w:ascii="Arial" w:eastAsia="Times New Roman" w:hAnsi="Arial" w:cs="Arial"/>
          <w:b/>
          <w:bCs/>
          <w:color w:val="222222"/>
          <w:lang w:eastAsia="es-CO"/>
        </w:rPr>
        <w:t xml:space="preserve">850SMLMV </w:t>
      </w:r>
      <w:r w:rsidRPr="0032364E">
        <w:rPr>
          <w:rFonts w:ascii="Arial" w:eastAsia="Times New Roman" w:hAnsi="Arial" w:cs="Arial"/>
          <w:color w:val="222222"/>
          <w:lang w:eastAsia="es-CO"/>
        </w:rPr>
        <w:t xml:space="preserve">equivalentes a </w:t>
      </w:r>
      <w:r w:rsidRPr="0032364E">
        <w:rPr>
          <w:rFonts w:ascii="Arial" w:eastAsia="Times New Roman" w:hAnsi="Arial" w:cs="Arial"/>
          <w:b/>
          <w:bCs/>
          <w:color w:val="222222"/>
          <w:lang w:eastAsia="es-CO"/>
        </w:rPr>
        <w:t>$986.000.000 (Salario año 2023).</w:t>
      </w:r>
    </w:p>
    <w:p w14:paraId="7555A645" w14:textId="77777777" w:rsidR="0032364E" w:rsidRPr="0032364E" w:rsidRDefault="0032364E" w:rsidP="0032364E">
      <w:pPr>
        <w:shd w:val="clear" w:color="auto" w:fill="FFFFFF"/>
        <w:spacing w:after="0" w:line="312" w:lineRule="auto"/>
        <w:jc w:val="both"/>
        <w:rPr>
          <w:rFonts w:ascii="Arial" w:eastAsia="Times New Roman" w:hAnsi="Arial" w:cs="Arial"/>
          <w:b/>
          <w:bCs/>
          <w:color w:val="222222"/>
          <w:lang w:eastAsia="es-CO"/>
        </w:rPr>
      </w:pPr>
    </w:p>
    <w:p w14:paraId="71D894DB" w14:textId="77777777" w:rsidR="0032364E" w:rsidRPr="0032364E" w:rsidRDefault="0032364E" w:rsidP="0032364E">
      <w:pPr>
        <w:shd w:val="clear" w:color="auto" w:fill="FFFFFF"/>
        <w:spacing w:after="0" w:line="312" w:lineRule="auto"/>
        <w:jc w:val="both"/>
        <w:rPr>
          <w:rFonts w:ascii="Arial" w:eastAsia="Times New Roman" w:hAnsi="Arial" w:cs="Arial"/>
          <w:color w:val="222222"/>
          <w:lang w:eastAsia="es-CO"/>
        </w:rPr>
      </w:pPr>
      <w:r w:rsidRPr="0032364E">
        <w:rPr>
          <w:rFonts w:ascii="Arial" w:eastAsia="Times New Roman" w:hAnsi="Arial" w:cs="Arial"/>
          <w:color w:val="222222"/>
          <w:lang w:eastAsia="es-CO"/>
        </w:rPr>
        <w:t>Se liquida el valor que de acuerdo a la sentencia de unificación del H. Consejo de Estado se ha reconocido por daño moral en los casos de lesiones personales con porcentaje de 55.71%, el cual asciende a 100 SMMLV para la víctima directa y aquellos en el primer grado de consanguinidad (4 demandantes –víctima directa, hijo, madre y padre) y de 50 SMMLV para el segundo grado (9 demandantes - 9 hermanos). (Consejo de Estado, Sentencia del 28 de agosto del 2014. Rad. No. 66001-23-31-000-2001-00731-01 /26251).</w:t>
      </w:r>
      <w:r w:rsidRPr="0032364E">
        <w:rPr>
          <w:rFonts w:ascii="Arial" w:eastAsia="Times New Roman" w:hAnsi="Arial" w:cs="Arial"/>
          <w:b/>
          <w:bCs/>
          <w:color w:val="222222"/>
          <w:lang w:eastAsia="es-CO"/>
        </w:rPr>
        <w:t xml:space="preserve"> </w:t>
      </w:r>
    </w:p>
    <w:p w14:paraId="1CD39610" w14:textId="77777777" w:rsidR="0032364E" w:rsidRPr="0032364E" w:rsidRDefault="0032364E" w:rsidP="0032364E">
      <w:pPr>
        <w:spacing w:after="0" w:line="312" w:lineRule="auto"/>
        <w:jc w:val="both"/>
        <w:rPr>
          <w:rFonts w:ascii="Arial" w:hAnsi="Arial" w:cs="Arial"/>
          <w:b/>
          <w:bCs/>
          <w:u w:val="single"/>
          <w:lang w:val="es-ES"/>
        </w:rPr>
      </w:pPr>
    </w:p>
    <w:p w14:paraId="7C30AB11" w14:textId="77777777" w:rsidR="0032364E" w:rsidRPr="0032364E" w:rsidRDefault="0032364E" w:rsidP="0032364E">
      <w:pPr>
        <w:pStyle w:val="Prrafodelista"/>
        <w:numPr>
          <w:ilvl w:val="0"/>
          <w:numId w:val="4"/>
        </w:numPr>
        <w:spacing w:after="0" w:line="312" w:lineRule="auto"/>
        <w:jc w:val="both"/>
        <w:rPr>
          <w:rFonts w:ascii="Arial" w:hAnsi="Arial" w:cs="Arial"/>
          <w:b/>
          <w:bCs/>
          <w:color w:val="222222"/>
          <w:shd w:val="clear" w:color="auto" w:fill="FFFFFF"/>
        </w:rPr>
      </w:pPr>
      <w:r w:rsidRPr="0032364E">
        <w:rPr>
          <w:rFonts w:ascii="Arial" w:hAnsi="Arial" w:cs="Arial"/>
          <w:b/>
          <w:bCs/>
          <w:lang w:val="es-ES"/>
        </w:rPr>
        <w:t>Daño a la Salud: 10</w:t>
      </w:r>
      <w:r w:rsidRPr="0032364E">
        <w:rPr>
          <w:rFonts w:ascii="Arial" w:hAnsi="Arial" w:cs="Arial"/>
          <w:b/>
          <w:bCs/>
          <w:color w:val="222222"/>
          <w:shd w:val="clear" w:color="auto" w:fill="FFFFFF"/>
        </w:rPr>
        <w:t>0 SMMLV, </w:t>
      </w:r>
      <w:r w:rsidRPr="0032364E">
        <w:rPr>
          <w:rFonts w:ascii="Arial" w:hAnsi="Arial" w:cs="Arial"/>
          <w:color w:val="222222"/>
          <w:shd w:val="clear" w:color="auto" w:fill="FFFFFF"/>
        </w:rPr>
        <w:t>equivalentes a </w:t>
      </w:r>
      <w:r w:rsidRPr="0032364E">
        <w:rPr>
          <w:rFonts w:ascii="Arial" w:hAnsi="Arial" w:cs="Arial"/>
          <w:b/>
          <w:bCs/>
          <w:color w:val="222222"/>
          <w:shd w:val="clear" w:color="auto" w:fill="FFFFFF"/>
        </w:rPr>
        <w:t xml:space="preserve">$116.000.000 </w:t>
      </w:r>
      <w:r w:rsidRPr="0032364E">
        <w:rPr>
          <w:rFonts w:ascii="Arial" w:eastAsia="Times New Roman" w:hAnsi="Arial" w:cs="Arial"/>
          <w:b/>
          <w:bCs/>
          <w:color w:val="222222"/>
          <w:lang w:eastAsia="es-CO"/>
        </w:rPr>
        <w:t>(Salario año 2023).</w:t>
      </w:r>
    </w:p>
    <w:p w14:paraId="721FA169" w14:textId="77777777" w:rsidR="0032364E" w:rsidRPr="0032364E" w:rsidRDefault="0032364E" w:rsidP="0032364E">
      <w:pPr>
        <w:spacing w:after="0" w:line="312" w:lineRule="auto"/>
        <w:jc w:val="both"/>
        <w:rPr>
          <w:rFonts w:ascii="Arial" w:hAnsi="Arial" w:cs="Arial"/>
          <w:b/>
          <w:bCs/>
          <w:color w:val="222222"/>
          <w:shd w:val="clear" w:color="auto" w:fill="FFFFFF"/>
        </w:rPr>
      </w:pPr>
    </w:p>
    <w:p w14:paraId="42802B43" w14:textId="77777777" w:rsidR="0032364E" w:rsidRPr="0032364E" w:rsidRDefault="0032364E" w:rsidP="0032364E">
      <w:pPr>
        <w:spacing w:after="0" w:line="312" w:lineRule="auto"/>
        <w:jc w:val="both"/>
        <w:rPr>
          <w:rFonts w:ascii="Arial" w:hAnsi="Arial" w:cs="Arial"/>
          <w:b/>
          <w:bCs/>
          <w:color w:val="222222"/>
          <w:shd w:val="clear" w:color="auto" w:fill="FFFFFF"/>
        </w:rPr>
      </w:pPr>
      <w:r w:rsidRPr="0032364E">
        <w:rPr>
          <w:rFonts w:ascii="Arial" w:hAnsi="Arial" w:cs="Arial"/>
          <w:color w:val="222222"/>
          <w:shd w:val="clear" w:color="auto" w:fill="FFFFFF"/>
        </w:rPr>
        <w:t xml:space="preserve">El señor </w:t>
      </w:r>
      <w:r w:rsidRPr="0032364E">
        <w:rPr>
          <w:rFonts w:ascii="Arial" w:hAnsi="Arial" w:cs="Arial"/>
          <w:lang w:val="es-ES"/>
        </w:rPr>
        <w:t xml:space="preserve">Diego Fernando Narváez </w:t>
      </w:r>
      <w:r w:rsidRPr="0032364E">
        <w:rPr>
          <w:rFonts w:ascii="Arial" w:hAnsi="Arial" w:cs="Arial"/>
          <w:color w:val="222222"/>
          <w:shd w:val="clear" w:color="auto" w:fill="FFFFFF"/>
        </w:rPr>
        <w:t>aportó un dictamen que arrojó un porcentaje de pérdida de capacidad laboral del 55.71%. Teniendo que hay elementos para considerar que la lesión le generaría una restricción o ausencia de la capacidad para realizar una actividad normal o rutinaria o limitaciones para el desempeño de un rol determinado, se reconocen 40SMLMV. (sentencia del 28 de agosto del 2014- Radicación número: 23001-23-31-000-2001-00278-01/28804).</w:t>
      </w:r>
      <w:r w:rsidRPr="0032364E">
        <w:rPr>
          <w:rFonts w:ascii="Arial" w:hAnsi="Arial" w:cs="Arial"/>
          <w:lang w:val="es-ES"/>
        </w:rPr>
        <w:t xml:space="preserve"> </w:t>
      </w:r>
    </w:p>
    <w:p w14:paraId="4A087564" w14:textId="77777777" w:rsidR="0032364E" w:rsidRPr="0032364E" w:rsidRDefault="0032364E" w:rsidP="0032364E">
      <w:pPr>
        <w:spacing w:after="0" w:line="312" w:lineRule="auto"/>
        <w:jc w:val="both"/>
        <w:rPr>
          <w:rFonts w:ascii="Arial" w:hAnsi="Arial" w:cs="Arial"/>
          <w:b/>
          <w:bCs/>
          <w:u w:val="single"/>
          <w:lang w:val="es-ES"/>
        </w:rPr>
      </w:pPr>
    </w:p>
    <w:p w14:paraId="418C652E" w14:textId="77777777" w:rsidR="0032364E" w:rsidRPr="0032364E" w:rsidRDefault="0032364E" w:rsidP="0032364E">
      <w:pPr>
        <w:pStyle w:val="Prrafodelista"/>
        <w:numPr>
          <w:ilvl w:val="0"/>
          <w:numId w:val="4"/>
        </w:numPr>
        <w:spacing w:after="0" w:line="312" w:lineRule="auto"/>
        <w:jc w:val="both"/>
        <w:rPr>
          <w:rFonts w:ascii="Arial" w:eastAsia="Times New Roman" w:hAnsi="Arial" w:cs="Arial"/>
          <w:color w:val="222222"/>
          <w:lang w:eastAsia="es-CO"/>
        </w:rPr>
      </w:pPr>
      <w:r w:rsidRPr="0032364E">
        <w:rPr>
          <w:rFonts w:ascii="Arial" w:hAnsi="Arial" w:cs="Arial"/>
          <w:b/>
          <w:bCs/>
          <w:lang w:val="es-ES"/>
        </w:rPr>
        <w:t xml:space="preserve">Perjuicio Alteración a las condiciones mínimas de existencia: </w:t>
      </w:r>
      <w:r w:rsidRPr="0032364E">
        <w:rPr>
          <w:rFonts w:ascii="Arial" w:hAnsi="Arial" w:cs="Arial"/>
        </w:rPr>
        <w:t xml:space="preserve">0. No se reconoce, toda vez que el mismo fue subsumido dentro del daño a la salud y no se reconoce como perjuicio independente. </w:t>
      </w:r>
      <w:r w:rsidRPr="0032364E">
        <w:rPr>
          <w:rFonts w:ascii="Arial" w:eastAsia="Times New Roman" w:hAnsi="Arial" w:cs="Arial"/>
          <w:color w:val="222222"/>
          <w:lang w:eastAsia="es-CO"/>
        </w:rPr>
        <w:t>(Consejo de Estado, Sentencia del 28 de agosto del 2014. Rad. No. 66001-23-31-000-2001-00731-01 /26251).</w:t>
      </w:r>
    </w:p>
    <w:p w14:paraId="4212661C" w14:textId="77777777" w:rsidR="0032364E" w:rsidRPr="0032364E" w:rsidRDefault="0032364E" w:rsidP="0032364E">
      <w:pPr>
        <w:spacing w:after="0" w:line="312" w:lineRule="auto"/>
        <w:jc w:val="both"/>
        <w:rPr>
          <w:rFonts w:ascii="Arial" w:eastAsia="Times New Roman" w:hAnsi="Arial" w:cs="Arial"/>
          <w:color w:val="222222"/>
          <w:lang w:eastAsia="es-CO"/>
        </w:rPr>
      </w:pPr>
    </w:p>
    <w:p w14:paraId="56E41630" w14:textId="77777777" w:rsidR="0032364E" w:rsidRPr="0032364E" w:rsidRDefault="0032364E" w:rsidP="0032364E">
      <w:pPr>
        <w:pStyle w:val="Prrafodelista"/>
        <w:numPr>
          <w:ilvl w:val="0"/>
          <w:numId w:val="4"/>
        </w:numPr>
        <w:spacing w:after="0" w:line="312" w:lineRule="auto"/>
        <w:jc w:val="both"/>
        <w:rPr>
          <w:rFonts w:ascii="Arial" w:eastAsia="Times New Roman" w:hAnsi="Arial" w:cs="Arial"/>
          <w:color w:val="222222"/>
          <w:lang w:eastAsia="es-CO"/>
        </w:rPr>
      </w:pPr>
      <w:r w:rsidRPr="0032364E">
        <w:rPr>
          <w:rFonts w:ascii="Arial" w:eastAsia="Times New Roman" w:hAnsi="Arial" w:cs="Arial"/>
          <w:b/>
          <w:bCs/>
          <w:color w:val="222222"/>
          <w:lang w:eastAsia="es-CO"/>
        </w:rPr>
        <w:t>Deducible:</w:t>
      </w:r>
      <w:r w:rsidRPr="0032364E">
        <w:rPr>
          <w:rFonts w:ascii="Arial" w:eastAsia="Times New Roman" w:hAnsi="Arial" w:cs="Arial"/>
          <w:color w:val="222222"/>
          <w:lang w:eastAsia="es-CO"/>
        </w:rPr>
        <w:t xml:space="preserve"> No hay.</w:t>
      </w:r>
    </w:p>
    <w:p w14:paraId="07341D5C" w14:textId="77777777" w:rsidR="0032364E" w:rsidRPr="0032364E" w:rsidRDefault="0032364E" w:rsidP="0032364E">
      <w:pPr>
        <w:spacing w:after="0" w:line="312" w:lineRule="auto"/>
        <w:jc w:val="both"/>
        <w:rPr>
          <w:rFonts w:ascii="Arial" w:eastAsia="Times New Roman" w:hAnsi="Arial" w:cs="Arial"/>
          <w:color w:val="222222"/>
          <w:lang w:eastAsia="es-CO"/>
        </w:rPr>
      </w:pPr>
    </w:p>
    <w:p w14:paraId="755717CD" w14:textId="77777777" w:rsidR="0032364E" w:rsidRPr="0032364E" w:rsidRDefault="0032364E" w:rsidP="0032364E">
      <w:pPr>
        <w:pStyle w:val="Prrafodelista"/>
        <w:numPr>
          <w:ilvl w:val="0"/>
          <w:numId w:val="4"/>
        </w:numPr>
        <w:spacing w:after="0" w:line="312" w:lineRule="auto"/>
        <w:jc w:val="both"/>
        <w:rPr>
          <w:rFonts w:ascii="Arial" w:hAnsi="Arial" w:cs="Arial"/>
          <w:b/>
          <w:bCs/>
          <w:u w:val="single"/>
          <w:lang w:val="es-ES"/>
        </w:rPr>
      </w:pPr>
      <w:r w:rsidRPr="0032364E">
        <w:rPr>
          <w:rFonts w:ascii="Arial" w:eastAsia="Times New Roman" w:hAnsi="Arial" w:cs="Arial"/>
          <w:b/>
          <w:bCs/>
          <w:color w:val="222222"/>
          <w:lang w:eastAsia="es-CO"/>
        </w:rPr>
        <w:t>Coaseguro:</w:t>
      </w:r>
      <w:r w:rsidRPr="0032364E">
        <w:rPr>
          <w:rFonts w:ascii="Arial" w:eastAsia="Times New Roman" w:hAnsi="Arial" w:cs="Arial"/>
          <w:color w:val="222222"/>
          <w:lang w:eastAsia="es-CO"/>
        </w:rPr>
        <w:t xml:space="preserve"> Del total de $1.103.814.454 se obtiene el 90% correspondiente a $993.433.008</w:t>
      </w:r>
    </w:p>
    <w:p w14:paraId="29391B52" w14:textId="77777777" w:rsidR="0032364E" w:rsidRPr="0032364E" w:rsidRDefault="0032364E" w:rsidP="0032364E">
      <w:pPr>
        <w:spacing w:after="0" w:line="312" w:lineRule="auto"/>
        <w:jc w:val="both"/>
        <w:rPr>
          <w:rFonts w:ascii="Arial" w:hAnsi="Arial" w:cs="Arial"/>
          <w:b/>
          <w:bCs/>
          <w:u w:val="single"/>
          <w:lang w:val="es-ES"/>
        </w:rPr>
      </w:pPr>
    </w:p>
    <w:p w14:paraId="5B64D964" w14:textId="56FC7381" w:rsidR="00B21235" w:rsidRPr="00B21235" w:rsidRDefault="0032364E" w:rsidP="00B21235">
      <w:pPr>
        <w:pStyle w:val="Prrafodelista"/>
        <w:numPr>
          <w:ilvl w:val="0"/>
          <w:numId w:val="5"/>
        </w:numPr>
        <w:shd w:val="clear" w:color="auto" w:fill="FFFFFF"/>
        <w:spacing w:after="0" w:line="312" w:lineRule="auto"/>
        <w:ind w:left="567" w:hanging="283"/>
        <w:jc w:val="center"/>
        <w:textAlignment w:val="baseline"/>
        <w:rPr>
          <w:rFonts w:ascii="Arial" w:hAnsi="Arial" w:cs="Arial"/>
          <w:lang w:val="es-ES"/>
        </w:rPr>
      </w:pPr>
      <w:r w:rsidRPr="00B21235">
        <w:rPr>
          <w:rFonts w:ascii="Arial" w:hAnsi="Arial" w:cs="Arial"/>
          <w:b/>
          <w:bCs/>
          <w:u w:val="single"/>
          <w:lang w:val="es-ES"/>
        </w:rPr>
        <w:t>CONTINGENCIA</w:t>
      </w:r>
    </w:p>
    <w:p w14:paraId="37CF85D3" w14:textId="77777777" w:rsidR="00B21235" w:rsidRDefault="00B21235" w:rsidP="0032364E">
      <w:pPr>
        <w:shd w:val="clear" w:color="auto" w:fill="FFFFFF"/>
        <w:spacing w:after="0" w:line="312" w:lineRule="auto"/>
        <w:jc w:val="both"/>
        <w:textAlignment w:val="baseline"/>
        <w:rPr>
          <w:rFonts w:ascii="Arial" w:hAnsi="Arial" w:cs="Arial"/>
          <w:lang w:val="es-ES"/>
        </w:rPr>
      </w:pPr>
    </w:p>
    <w:p w14:paraId="0ED9D868" w14:textId="46F4C8FE" w:rsidR="0032364E" w:rsidRPr="0032364E" w:rsidRDefault="0032364E" w:rsidP="0032364E">
      <w:pPr>
        <w:shd w:val="clear" w:color="auto" w:fill="FFFFFF"/>
        <w:spacing w:after="0" w:line="312" w:lineRule="auto"/>
        <w:jc w:val="both"/>
        <w:textAlignment w:val="baseline"/>
        <w:rPr>
          <w:rFonts w:ascii="Arial" w:eastAsia="Times New Roman" w:hAnsi="Arial" w:cs="Arial"/>
          <w:color w:val="000000"/>
          <w:bdr w:val="none" w:sz="0" w:space="0" w:color="auto" w:frame="1"/>
          <w:shd w:val="clear" w:color="auto" w:fill="FFFFFF"/>
          <w:lang w:val="es-ES" w:eastAsia="es-CO"/>
        </w:rPr>
      </w:pPr>
      <w:r w:rsidRPr="0032364E">
        <w:rPr>
          <w:rFonts w:ascii="Arial" w:eastAsia="Times New Roman" w:hAnsi="Arial" w:cs="Arial"/>
          <w:color w:val="000000"/>
          <w:bdr w:val="none" w:sz="0" w:space="0" w:color="auto" w:frame="1"/>
          <w:shd w:val="clear" w:color="auto" w:fill="FFFFFF"/>
          <w:lang w:eastAsia="es-CO"/>
        </w:rPr>
        <w:t>La contingencia se</w:t>
      </w:r>
      <w:r w:rsidRPr="0032364E">
        <w:rPr>
          <w:rFonts w:ascii="Arial" w:eastAsia="Times New Roman" w:hAnsi="Arial" w:cs="Arial"/>
          <w:color w:val="000000"/>
          <w:bdr w:val="none" w:sz="0" w:space="0" w:color="auto" w:frame="1"/>
          <w:shd w:val="clear" w:color="auto" w:fill="FFFFFF"/>
          <w:lang w:val="es-ES" w:eastAsia="es-CO"/>
        </w:rPr>
        <w:t> califica como </w:t>
      </w:r>
      <w:r w:rsidRPr="0032364E">
        <w:rPr>
          <w:rFonts w:ascii="Arial" w:eastAsia="Times New Roman" w:hAnsi="Arial" w:cs="Arial"/>
          <w:b/>
          <w:bCs/>
          <w:color w:val="000000"/>
          <w:bdr w:val="none" w:sz="0" w:space="0" w:color="auto" w:frame="1"/>
          <w:shd w:val="clear" w:color="auto" w:fill="FFFFFF"/>
          <w:lang w:val="es-ES" w:eastAsia="es-CO"/>
        </w:rPr>
        <w:t>PROBABLE</w:t>
      </w:r>
      <w:r w:rsidRPr="0032364E">
        <w:rPr>
          <w:rFonts w:ascii="Arial" w:eastAsia="Times New Roman" w:hAnsi="Arial" w:cs="Arial"/>
          <w:color w:val="000000"/>
          <w:bdr w:val="none" w:sz="0" w:space="0" w:color="auto" w:frame="1"/>
          <w:shd w:val="clear" w:color="auto" w:fill="FFFFFF"/>
          <w:lang w:val="es-ES" w:eastAsia="es-CO"/>
        </w:rPr>
        <w:t>, toda vez que el contrato de seguro presta cobertura material y temporal, y se acreditó la responsabilidad del asegurado sin que existan elementos probatorios para desvirtuarlo.</w:t>
      </w:r>
    </w:p>
    <w:p w14:paraId="564FC96C" w14:textId="77777777" w:rsidR="0032364E" w:rsidRPr="0032364E" w:rsidRDefault="0032364E" w:rsidP="0032364E">
      <w:pPr>
        <w:shd w:val="clear" w:color="auto" w:fill="FFFFFF"/>
        <w:spacing w:after="0" w:line="312" w:lineRule="auto"/>
        <w:jc w:val="both"/>
        <w:textAlignment w:val="baseline"/>
        <w:rPr>
          <w:rFonts w:ascii="Arial" w:eastAsia="Times New Roman" w:hAnsi="Arial" w:cs="Arial"/>
          <w:color w:val="000000"/>
          <w:bdr w:val="none" w:sz="0" w:space="0" w:color="auto" w:frame="1"/>
          <w:shd w:val="clear" w:color="auto" w:fill="FFFFFF"/>
          <w:lang w:val="es-ES" w:eastAsia="es-CO"/>
        </w:rPr>
      </w:pPr>
    </w:p>
    <w:p w14:paraId="4DEF248D" w14:textId="77777777" w:rsidR="0032364E" w:rsidRPr="0032364E" w:rsidRDefault="0032364E" w:rsidP="0032364E">
      <w:pPr>
        <w:spacing w:after="0" w:line="312" w:lineRule="auto"/>
        <w:jc w:val="both"/>
        <w:textAlignment w:val="baseline"/>
        <w:rPr>
          <w:rFonts w:ascii="Arial" w:eastAsia="Times New Roman" w:hAnsi="Arial" w:cs="Arial"/>
          <w:lang w:eastAsia="es-CO"/>
        </w:rPr>
      </w:pPr>
      <w:r w:rsidRPr="0032364E">
        <w:rPr>
          <w:rFonts w:ascii="Arial" w:eastAsia="Times New Roman" w:hAnsi="Arial" w:cs="Arial"/>
          <w:color w:val="000000"/>
          <w:bdr w:val="none" w:sz="0" w:space="0" w:color="auto" w:frame="1"/>
          <w:lang w:val="es-ES" w:eastAsia="es-CO"/>
        </w:rPr>
        <w:t xml:space="preserve">Lo primero que debe tenerse en cuenta es que la Póliza de Responsabilidad Civil Extracontractual No. 0150450-4 cuyo tomador es </w:t>
      </w:r>
      <w:r w:rsidRPr="0032364E">
        <w:rPr>
          <w:rFonts w:ascii="Arial" w:eastAsia="Times New Roman" w:hAnsi="Arial" w:cs="Arial"/>
          <w:b/>
          <w:bCs/>
          <w:color w:val="000000"/>
          <w:bdr w:val="none" w:sz="0" w:space="0" w:color="auto" w:frame="1"/>
          <w:lang w:val="es-ES" w:eastAsia="es-CO"/>
        </w:rPr>
        <w:t>la COMPAÑÍA ENERGÉTICA DE OCCIDENTE S.A.S. ESP y CEDELCA S.A.,</w:t>
      </w:r>
      <w:r w:rsidRPr="0032364E">
        <w:rPr>
          <w:rFonts w:ascii="Arial" w:eastAsia="Times New Roman" w:hAnsi="Arial" w:cs="Arial"/>
          <w:color w:val="000000"/>
          <w:bdr w:val="none" w:sz="0" w:space="0" w:color="auto" w:frame="1"/>
          <w:lang w:val="es-ES" w:eastAsia="es-CO"/>
        </w:rPr>
        <w:t xml:space="preserve"> presta cobertura material y temporal de conformidad con los hechos y pretensiones expuestas en la demanda. Frente a la cobertura temporal, debe decirse que su modalidad es ocurrencia, la cual ampara la responsabilidad civil derivada de daños causados a terceros durante la vigencia de la póliza. En consecuencia, el contrato de seguro presta cobertura </w:t>
      </w:r>
      <w:r w:rsidRPr="0032364E">
        <w:rPr>
          <w:rFonts w:ascii="Arial" w:eastAsia="Times New Roman" w:hAnsi="Arial" w:cs="Arial"/>
          <w:color w:val="000000"/>
          <w:bdr w:val="none" w:sz="0" w:space="0" w:color="auto" w:frame="1"/>
          <w:lang w:val="es-ES" w:eastAsia="es-CO"/>
        </w:rPr>
        <w:lastRenderedPageBreak/>
        <w:t>por su temporalidad, toda vez que, el hecho ocurrió el 27 de julio de 2014 y la vigencia de la póliza comprende desde el 01 de marzo de 2014 al 01 de marzo de 2015</w:t>
      </w:r>
      <w:r w:rsidRPr="0032364E">
        <w:rPr>
          <w:rFonts w:ascii="Arial" w:eastAsia="Times New Roman" w:hAnsi="Arial" w:cs="Arial"/>
          <w:color w:val="000000"/>
          <w:bdr w:val="none" w:sz="0" w:space="0" w:color="auto" w:frame="1"/>
          <w:lang w:eastAsia="es-CO"/>
        </w:rPr>
        <w:t xml:space="preserve">. Aunado a ello, presta cobertura material toda vez que, ampara la responsabilidad civil extracontractual. </w:t>
      </w:r>
    </w:p>
    <w:p w14:paraId="6A5A19C6" w14:textId="77777777" w:rsidR="0032364E" w:rsidRPr="0032364E" w:rsidRDefault="0032364E" w:rsidP="0032364E">
      <w:pPr>
        <w:spacing w:after="0" w:line="312" w:lineRule="auto"/>
        <w:jc w:val="both"/>
        <w:rPr>
          <w:rFonts w:ascii="Arial" w:hAnsi="Arial" w:cs="Arial"/>
          <w:lang w:val="es-ES"/>
        </w:rPr>
      </w:pPr>
    </w:p>
    <w:p w14:paraId="1D9BB7FE" w14:textId="77777777" w:rsidR="0032364E" w:rsidRPr="0032364E" w:rsidRDefault="0032364E" w:rsidP="0032364E">
      <w:pPr>
        <w:spacing w:after="0" w:line="312" w:lineRule="auto"/>
        <w:jc w:val="both"/>
        <w:rPr>
          <w:rFonts w:ascii="Arial" w:eastAsia="Calibri" w:hAnsi="Arial" w:cs="Arial"/>
        </w:rPr>
      </w:pPr>
      <w:r w:rsidRPr="0032364E">
        <w:rPr>
          <w:rFonts w:ascii="Arial" w:eastAsia="Times New Roman" w:hAnsi="Arial" w:cs="Arial"/>
          <w:color w:val="000000"/>
          <w:bdr w:val="none" w:sz="0" w:space="0" w:color="auto" w:frame="1"/>
          <w:shd w:val="clear" w:color="auto" w:fill="FFFFFF"/>
          <w:lang w:val="es-ES" w:eastAsia="es-CO"/>
        </w:rPr>
        <w:t xml:space="preserve">Teniendo en cuenta que el contrato de seguros presta cobertura material y temporal, la contingencia es probable, </w:t>
      </w:r>
      <w:r w:rsidRPr="0032364E">
        <w:rPr>
          <w:rFonts w:ascii="Arial" w:hAnsi="Arial" w:cs="Arial"/>
          <w:lang w:val="es-ES"/>
        </w:rPr>
        <w:t xml:space="preserve">toda vez que, en primer lugar, existe una orden judicial expedida tanto por el Juez Civil del Circuito de Patía como del H. Tribunal Sala Superior del Distrito de Popayán de año 1999 en la que ordenan a </w:t>
      </w:r>
      <w:r w:rsidRPr="0032364E">
        <w:rPr>
          <w:rFonts w:ascii="Arial" w:hAnsi="Arial" w:cs="Arial"/>
          <w:b/>
          <w:bCs/>
          <w:lang w:val="es-ES"/>
        </w:rPr>
        <w:t xml:space="preserve">CEDELCA S.A.E.S.P. </w:t>
      </w:r>
      <w:r w:rsidRPr="0032364E">
        <w:rPr>
          <w:rFonts w:ascii="Arial" w:hAnsi="Arial" w:cs="Arial"/>
          <w:lang w:val="es-ES"/>
        </w:rPr>
        <w:t xml:space="preserve">garantizar la vida y la seguridad personal de los accionantes efectuando reparación de las redes de alta tensión, elevar la altura de dichas redes de alto voltaje, sin que hasta la fecha se demuestre por parte de las accionadas el cumplimiento de la orden judicial. En segundo lugar, </w:t>
      </w:r>
      <w:r w:rsidRPr="0032364E">
        <w:rPr>
          <w:rFonts w:ascii="Arial" w:hAnsi="Arial" w:cs="Arial"/>
          <w:b/>
          <w:bCs/>
          <w:lang w:val="es-ES"/>
        </w:rPr>
        <w:t xml:space="preserve">CEDELCA S.A.E.S.P. </w:t>
      </w:r>
      <w:r w:rsidRPr="0032364E">
        <w:rPr>
          <w:rFonts w:ascii="Arial" w:hAnsi="Arial" w:cs="Arial"/>
          <w:lang w:val="es-ES"/>
        </w:rPr>
        <w:t xml:space="preserve">y CEO argumentan en la contestación que hay un hecho exclusivo de la víctima toda vez que el propietario del inmueble no solicitó la licencia urbanística de construcción del inmueble y la instalación de servicios públicos, sin embargo, no son suficientes para el convencimiento al Juez sobre la no responsabilidad de las demandadas, máxime cuando hay una omisión en el cumplimiento de la sentencia judicial por parte de la entidad demandada. En tercer lugar, dentro del expediente se tiene que </w:t>
      </w:r>
      <w:r w:rsidRPr="0032364E">
        <w:rPr>
          <w:rFonts w:ascii="Arial" w:hAnsi="Arial" w:cs="Arial"/>
          <w:b/>
          <w:bCs/>
          <w:lang w:val="es-ES"/>
        </w:rPr>
        <w:t>CEDELCA S.A.E.S.P.</w:t>
      </w:r>
      <w:r w:rsidRPr="0032364E">
        <w:rPr>
          <w:rFonts w:ascii="Arial" w:hAnsi="Arial" w:cs="Arial"/>
          <w:lang w:val="es-ES"/>
        </w:rPr>
        <w:t xml:space="preserve"> de conformidad con la política fijada por el Gobierno Nacional a través del documento </w:t>
      </w:r>
      <w:proofErr w:type="spellStart"/>
      <w:r w:rsidRPr="0032364E">
        <w:rPr>
          <w:rFonts w:ascii="Arial" w:hAnsi="Arial" w:cs="Arial"/>
          <w:lang w:val="es-ES"/>
        </w:rPr>
        <w:t>Conpes</w:t>
      </w:r>
      <w:proofErr w:type="spellEnd"/>
      <w:r w:rsidRPr="0032364E">
        <w:rPr>
          <w:rFonts w:ascii="Arial" w:hAnsi="Arial" w:cs="Arial"/>
          <w:lang w:val="es-ES"/>
        </w:rPr>
        <w:t xml:space="preserve"> 3492 del 8 de octubre de 2007, debió entregar a un tercero las actividades de Distribución y comercialización de energía eléctrica, llevando a cabo para tal efecto, el concurso público No. 001 CEDELCA 2008 en el que resultó elegido la Compañía de Electricidad del Cauca CEC S.A. E.S.P., sin embargo debido a las divergencias contractuales este contrato de gestión fue terminado.  Por lo tanto, el 28 de junio de 2010 y en armonía a lo dispuesto por la Política Gubernamental en mención, se suscribió contrato de gestión con la </w:t>
      </w:r>
      <w:r w:rsidRPr="0032364E">
        <w:rPr>
          <w:rFonts w:ascii="Arial" w:hAnsi="Arial" w:cs="Arial"/>
          <w:b/>
          <w:bCs/>
          <w:lang w:val="es-ES"/>
        </w:rPr>
        <w:t>COMPAÑÍA ENERGÉTICA DE OCCIDENTE S.A.S. E.S.P.</w:t>
      </w:r>
      <w:r w:rsidRPr="0032364E">
        <w:rPr>
          <w:rFonts w:ascii="Arial" w:hAnsi="Arial" w:cs="Arial"/>
          <w:lang w:val="es-ES"/>
        </w:rPr>
        <w:t xml:space="preserve"> que inicio su operación el 01 de agosto de 2010, con término de duración de 25 años para que por su cuenta y riesgo asuma prestación del servicio de distribución y comercialización de energía en el departamento del Cauca. En ese sentido, si bien es cierto que </w:t>
      </w:r>
      <w:r w:rsidRPr="0032364E">
        <w:rPr>
          <w:rFonts w:ascii="Arial" w:hAnsi="Arial" w:cs="Arial"/>
          <w:b/>
          <w:bCs/>
          <w:lang w:val="es-ES"/>
        </w:rPr>
        <w:t>CEDELCA S.A. E.S.P.</w:t>
      </w:r>
      <w:r w:rsidRPr="0032364E">
        <w:rPr>
          <w:rFonts w:ascii="Arial" w:hAnsi="Arial" w:cs="Arial"/>
          <w:lang w:val="es-ES"/>
        </w:rPr>
        <w:t xml:space="preserve"> no era la entidad prestadora del servicio para la fecha de ocurrencia de los hechos, día 27 de julio de 2014, si lo fue para el año 1999 cuando el fallador le ordenó elevar las redes de tensión. Siendo </w:t>
      </w:r>
      <w:r w:rsidRPr="0032364E">
        <w:rPr>
          <w:rFonts w:ascii="Arial" w:eastAsia="Times New Roman" w:hAnsi="Arial" w:cs="Arial"/>
          <w:color w:val="222222"/>
          <w:lang w:eastAsia="es-CO"/>
        </w:rPr>
        <w:t xml:space="preserve">ello así, sería inexorable la condena a cargo de la aseguradora por </w:t>
      </w:r>
      <w:r w:rsidRPr="0032364E">
        <w:rPr>
          <w:rFonts w:ascii="Arial" w:eastAsia="Times New Roman" w:hAnsi="Arial" w:cs="Arial"/>
          <w:color w:val="222222"/>
          <w:u w:val="single"/>
          <w:lang w:eastAsia="es-CO"/>
        </w:rPr>
        <w:t>ambas empresas</w:t>
      </w:r>
      <w:r w:rsidRPr="0032364E">
        <w:rPr>
          <w:rFonts w:ascii="Arial" w:eastAsia="Times New Roman" w:hAnsi="Arial" w:cs="Arial"/>
          <w:color w:val="222222"/>
          <w:lang w:eastAsia="es-CO"/>
        </w:rPr>
        <w:t xml:space="preserve">. </w:t>
      </w:r>
      <w:r w:rsidRPr="0032364E">
        <w:rPr>
          <w:rFonts w:ascii="Arial" w:hAnsi="Arial" w:cs="Arial"/>
        </w:rPr>
        <w:t xml:space="preserve">Lo anterior, sin perjuicio del carácter contingente del proceso. </w:t>
      </w:r>
    </w:p>
    <w:p w14:paraId="79EE56CC" w14:textId="77777777" w:rsidR="0032364E" w:rsidRPr="0032364E" w:rsidRDefault="0032364E" w:rsidP="0032364E">
      <w:pPr>
        <w:spacing w:after="0" w:line="312" w:lineRule="auto"/>
        <w:jc w:val="both"/>
        <w:rPr>
          <w:rFonts w:ascii="Arial" w:eastAsia="Times New Roman" w:hAnsi="Arial" w:cs="Arial"/>
          <w:color w:val="222222"/>
          <w:lang w:eastAsia="es-CO"/>
        </w:rPr>
      </w:pPr>
    </w:p>
    <w:p w14:paraId="4784D3E8" w14:textId="77777777" w:rsidR="0032364E" w:rsidRPr="0032364E" w:rsidRDefault="0032364E" w:rsidP="0032364E">
      <w:pPr>
        <w:spacing w:after="0" w:line="312" w:lineRule="auto"/>
        <w:jc w:val="both"/>
        <w:rPr>
          <w:rFonts w:ascii="Arial" w:hAnsi="Arial" w:cs="Arial"/>
          <w:lang w:val="es-ES"/>
        </w:rPr>
      </w:pPr>
    </w:p>
    <w:p w14:paraId="4DC2589A" w14:textId="77777777" w:rsidR="0032364E" w:rsidRPr="0032364E" w:rsidRDefault="0032364E" w:rsidP="0032364E">
      <w:pPr>
        <w:spacing w:after="0" w:line="312" w:lineRule="auto"/>
        <w:jc w:val="both"/>
        <w:rPr>
          <w:rFonts w:ascii="Arial" w:hAnsi="Arial" w:cs="Arial"/>
          <w:lang w:val="es-ES"/>
        </w:rPr>
      </w:pPr>
    </w:p>
    <w:p w14:paraId="0BDB5332" w14:textId="77777777" w:rsidR="00194DAC" w:rsidRPr="0032364E" w:rsidRDefault="00194DAC" w:rsidP="0032364E">
      <w:pPr>
        <w:tabs>
          <w:tab w:val="left" w:pos="5626"/>
        </w:tabs>
        <w:spacing w:after="0" w:line="312" w:lineRule="auto"/>
        <w:rPr>
          <w:rFonts w:ascii="Arial" w:hAnsi="Arial" w:cs="Arial"/>
        </w:rPr>
      </w:pPr>
    </w:p>
    <w:sectPr w:rsidR="00194DAC" w:rsidRPr="0032364E" w:rsidSect="00B54DCC">
      <w:headerReference w:type="default" r:id="rId8"/>
      <w:footerReference w:type="default" r:id="rId9"/>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33ECF" w14:textId="77777777" w:rsidR="0032364E" w:rsidRDefault="0032364E" w:rsidP="0025591F">
      <w:r>
        <w:separator/>
      </w:r>
    </w:p>
  </w:endnote>
  <w:endnote w:type="continuationSeparator" w:id="0">
    <w:p w14:paraId="678C86E7" w14:textId="77777777" w:rsidR="0032364E" w:rsidRDefault="0032364E"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5E0BE" w14:textId="522F151B" w:rsidR="004A356B" w:rsidRDefault="00B54DCC" w:rsidP="004A356B">
    <w:pPr>
      <w:rPr>
        <w:color w:val="222A35" w:themeColor="text2" w:themeShade="80"/>
      </w:rPr>
    </w:pPr>
    <w:r>
      <w:rPr>
        <w:noProof/>
        <w:color w:val="222A35" w:themeColor="text2" w:themeShade="80"/>
      </w:rPr>
      <w:drawing>
        <wp:anchor distT="0" distB="0" distL="114300" distR="114300" simplePos="0" relativeHeight="251658240" behindDoc="1" locked="0" layoutInCell="1" allowOverlap="1" wp14:anchorId="5F5FD803" wp14:editId="400BA699">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0B9A83" w14:textId="3E3D2DB4" w:rsidR="00416F84" w:rsidRDefault="0032364E" w:rsidP="00416F84">
    <w:pPr>
      <w:ind w:left="7080" w:firstLine="708"/>
      <w:rPr>
        <w:color w:val="222A35" w:themeColor="text2" w:themeShade="80"/>
      </w:rPr>
    </w:pPr>
    <w:r>
      <w:rPr>
        <w:noProof/>
      </w:rPr>
      <mc:AlternateContent>
        <mc:Choice Requires="wps">
          <w:drawing>
            <wp:anchor distT="0" distB="0" distL="114300" distR="114300" simplePos="0" relativeHeight="251662336" behindDoc="1" locked="0" layoutInCell="1" allowOverlap="1" wp14:anchorId="45A7A820" wp14:editId="432B665C">
              <wp:simplePos x="0" y="0"/>
              <wp:positionH relativeFrom="margin">
                <wp:posOffset>1896110</wp:posOffset>
              </wp:positionH>
              <wp:positionV relativeFrom="page">
                <wp:posOffset>11255375</wp:posOffset>
              </wp:positionV>
              <wp:extent cx="2727325" cy="89535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95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57C157"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7A0DC2E"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7A820" id="Rectángulo 4" o:spid="_x0000_s1026" style="position:absolute;left:0;text-align:left;margin-left:149.3pt;margin-top:886.25pt;width:214.75pt;height:70.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" filled="f" stroked="f" strokeweight="1pt">
              <v:textbox>
                <w:txbxContent>
                  <w:p w14:paraId="1E57C157"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7A0DC2E"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60288" behindDoc="1" locked="0" layoutInCell="1" allowOverlap="1" wp14:anchorId="6D3C4C13" wp14:editId="7B140D01">
          <wp:simplePos x="0" y="0"/>
          <wp:positionH relativeFrom="column">
            <wp:posOffset>4425315</wp:posOffset>
          </wp:positionH>
          <wp:positionV relativeFrom="margin">
            <wp:posOffset>9817735</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3363FD" w14:textId="243E5F6D" w:rsidR="00416F84" w:rsidRDefault="00416F84" w:rsidP="00416F84">
    <w:pPr>
      <w:ind w:left="7080" w:firstLine="708"/>
      <w:rPr>
        <w:color w:val="222A35" w:themeColor="text2" w:themeShade="80"/>
      </w:rPr>
    </w:pPr>
  </w:p>
  <w:p w14:paraId="3D8FB6EE" w14:textId="07DFA76D" w:rsidR="00416F84" w:rsidRDefault="0032364E" w:rsidP="004A356B">
    <w:pPr>
      <w:rPr>
        <w:color w:val="222A35" w:themeColor="text2" w:themeShade="80"/>
      </w:rPr>
    </w:pPr>
    <w:r>
      <w:rPr>
        <w:noProof/>
      </w:rPr>
      <mc:AlternateContent>
        <mc:Choice Requires="wps">
          <w:drawing>
            <wp:anchor distT="0" distB="0" distL="114300" distR="114300" simplePos="0" relativeHeight="251664384" behindDoc="1" locked="0" layoutInCell="1" allowOverlap="1" wp14:anchorId="3786B34B" wp14:editId="5805B205">
              <wp:simplePos x="0" y="0"/>
              <wp:positionH relativeFrom="page">
                <wp:posOffset>199390</wp:posOffset>
              </wp:positionH>
              <wp:positionV relativeFrom="bottomMargin">
                <wp:posOffset>1136015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7FDD4D" w14:textId="55DB30A2" w:rsidR="00416F84" w:rsidRPr="0032364E" w:rsidRDefault="0032364E"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KLGM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86B34B" id="Rectángulo 5" o:spid="_x0000_s1027" style="position:absolute;margin-left:15.7pt;margin-top:89.4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" filled="f" stroked="f" strokeweight="1pt">
              <v:textbox>
                <w:txbxContent>
                  <w:p w14:paraId="627FDD4D" w14:textId="55DB30A2" w:rsidR="00416F84" w:rsidRPr="0032364E" w:rsidRDefault="0032364E"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KLGM</w:t>
                    </w:r>
                  </w:p>
                </w:txbxContent>
              </v:textbox>
              <w10:wrap anchorx="page" anchory="margin"/>
            </v:rect>
          </w:pict>
        </mc:Fallback>
      </mc:AlternateContent>
    </w:r>
  </w:p>
  <w:p w14:paraId="4D699004"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65C6D533"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34CF3" w14:textId="77777777" w:rsidR="0032364E" w:rsidRDefault="0032364E" w:rsidP="0025591F">
      <w:r>
        <w:separator/>
      </w:r>
    </w:p>
  </w:footnote>
  <w:footnote w:type="continuationSeparator" w:id="0">
    <w:p w14:paraId="08E9B2D9" w14:textId="77777777" w:rsidR="0032364E" w:rsidRDefault="0032364E"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15B6A"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2AB18487" wp14:editId="7735FD1D">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23C069F"/>
    <w:multiLevelType w:val="hybridMultilevel"/>
    <w:tmpl w:val="2E6683AC"/>
    <w:lvl w:ilvl="0" w:tplc="E8DA718C">
      <w:start w:val="1"/>
      <w:numFmt w:val="upperLetter"/>
      <w:lvlText w:val="%1."/>
      <w:lvlJc w:val="left"/>
      <w:pPr>
        <w:ind w:left="720" w:hanging="36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B2650A0"/>
    <w:multiLevelType w:val="hybridMultilevel"/>
    <w:tmpl w:val="56E26FBE"/>
    <w:lvl w:ilvl="0" w:tplc="6200371C">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906264A"/>
    <w:multiLevelType w:val="hybridMultilevel"/>
    <w:tmpl w:val="58F64D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7A705E17"/>
    <w:multiLevelType w:val="hybridMultilevel"/>
    <w:tmpl w:val="A6C662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24856901">
    <w:abstractNumId w:val="0"/>
  </w:num>
  <w:num w:numId="2" w16cid:durableId="1948266355">
    <w:abstractNumId w:val="4"/>
  </w:num>
  <w:num w:numId="3" w16cid:durableId="1899433455">
    <w:abstractNumId w:val="3"/>
  </w:num>
  <w:num w:numId="4" w16cid:durableId="1088695464">
    <w:abstractNumId w:val="1"/>
  </w:num>
  <w:num w:numId="5" w16cid:durableId="14285806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64E"/>
    <w:rsid w:val="0003111F"/>
    <w:rsid w:val="000C2815"/>
    <w:rsid w:val="001925A0"/>
    <w:rsid w:val="00194DAC"/>
    <w:rsid w:val="00234F3F"/>
    <w:rsid w:val="00254E27"/>
    <w:rsid w:val="0025591F"/>
    <w:rsid w:val="00267DDC"/>
    <w:rsid w:val="00281D90"/>
    <w:rsid w:val="002B5E76"/>
    <w:rsid w:val="0032364E"/>
    <w:rsid w:val="00375AFE"/>
    <w:rsid w:val="003C5BCE"/>
    <w:rsid w:val="003F26B0"/>
    <w:rsid w:val="00416F84"/>
    <w:rsid w:val="00423180"/>
    <w:rsid w:val="0042497F"/>
    <w:rsid w:val="00470810"/>
    <w:rsid w:val="004A356B"/>
    <w:rsid w:val="004C01CE"/>
    <w:rsid w:val="00505F3C"/>
    <w:rsid w:val="00543F6F"/>
    <w:rsid w:val="005A3F2C"/>
    <w:rsid w:val="005D7117"/>
    <w:rsid w:val="00637020"/>
    <w:rsid w:val="006F3F7B"/>
    <w:rsid w:val="00793C8E"/>
    <w:rsid w:val="007C1A65"/>
    <w:rsid w:val="007F632D"/>
    <w:rsid w:val="007F6A39"/>
    <w:rsid w:val="008830A7"/>
    <w:rsid w:val="008A3EE5"/>
    <w:rsid w:val="008E4E08"/>
    <w:rsid w:val="008F1E2F"/>
    <w:rsid w:val="00997C0E"/>
    <w:rsid w:val="009D3F73"/>
    <w:rsid w:val="00A877E6"/>
    <w:rsid w:val="00AB3A2C"/>
    <w:rsid w:val="00AD03AA"/>
    <w:rsid w:val="00B20189"/>
    <w:rsid w:val="00B21235"/>
    <w:rsid w:val="00B54DCC"/>
    <w:rsid w:val="00BA33E1"/>
    <w:rsid w:val="00BB7105"/>
    <w:rsid w:val="00BE6214"/>
    <w:rsid w:val="00BF1A90"/>
    <w:rsid w:val="00BF57B9"/>
    <w:rsid w:val="00C53500"/>
    <w:rsid w:val="00C70FF5"/>
    <w:rsid w:val="00D23A48"/>
    <w:rsid w:val="00E23DED"/>
    <w:rsid w:val="00E43BA7"/>
    <w:rsid w:val="00E63CC0"/>
    <w:rsid w:val="00EB06B6"/>
    <w:rsid w:val="00EC434B"/>
    <w:rsid w:val="00EE40E3"/>
    <w:rsid w:val="00F95354"/>
    <w:rsid w:val="00FA4FFB"/>
    <w:rsid w:val="00FE10B5"/>
    <w:rsid w:val="00FE5E2E"/>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7689F"/>
  <w15:chartTrackingRefBased/>
  <w15:docId w15:val="{26BC5966-1E68-477C-BD9E-5DC9196E0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64E"/>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basedOn w:val="Normal"/>
    <w:uiPriority w:val="34"/>
    <w:qFormat/>
    <w:rsid w:val="003236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arcia\Download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6</TotalTime>
  <Pages>4</Pages>
  <Words>1379</Words>
  <Characters>7589</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Kennie Lorena García Madrid</cp:lastModifiedBy>
  <cp:revision>1</cp:revision>
  <dcterms:created xsi:type="dcterms:W3CDTF">2023-10-09T18:05:00Z</dcterms:created>
  <dcterms:modified xsi:type="dcterms:W3CDTF">2023-10-09T18:11:00Z</dcterms:modified>
</cp:coreProperties>
</file>