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DF8E" w14:textId="51518BB0" w:rsidR="00452DD4" w:rsidRPr="002638C1" w:rsidRDefault="002638C1" w:rsidP="00452DD4">
      <w:pPr>
        <w:spacing w:after="0" w:line="276" w:lineRule="auto"/>
        <w:jc w:val="both"/>
        <w:rPr>
          <w:rFonts w:cstheme="minorHAnsi"/>
          <w:bCs/>
          <w:lang w:val="es-CO"/>
        </w:rPr>
      </w:pPr>
      <w:r w:rsidRPr="002638C1">
        <w:rPr>
          <w:rFonts w:cstheme="minorHAnsi"/>
          <w:bCs/>
          <w:lang w:val="es-CO"/>
        </w:rPr>
        <w:t>Estimada doctora Natalia,</w:t>
      </w:r>
    </w:p>
    <w:p w14:paraId="0EBEA25D" w14:textId="77777777" w:rsidR="002638C1" w:rsidRPr="002638C1" w:rsidRDefault="002638C1" w:rsidP="00452DD4">
      <w:pPr>
        <w:spacing w:after="0" w:line="276" w:lineRule="auto"/>
        <w:jc w:val="both"/>
        <w:rPr>
          <w:rFonts w:cstheme="minorHAnsi"/>
          <w:bCs/>
          <w:lang w:val="es-CO"/>
        </w:rPr>
      </w:pPr>
    </w:p>
    <w:p w14:paraId="159F57A3" w14:textId="1C680969" w:rsidR="002638C1" w:rsidRPr="002638C1" w:rsidRDefault="002638C1" w:rsidP="00452DD4">
      <w:pPr>
        <w:spacing w:after="0" w:line="276" w:lineRule="auto"/>
        <w:jc w:val="both"/>
        <w:rPr>
          <w:rFonts w:cstheme="minorHAnsi"/>
          <w:bCs/>
          <w:lang w:val="es-CO"/>
        </w:rPr>
      </w:pPr>
      <w:r w:rsidRPr="002638C1">
        <w:rPr>
          <w:rFonts w:cstheme="minorHAnsi"/>
          <w:bCs/>
          <w:lang w:val="es-CO"/>
        </w:rPr>
        <w:t xml:space="preserve">Comedidamente informamos que, dentro del presente proceso, procedimos a modificar la contingencia y la liquidación objetiva, </w:t>
      </w:r>
      <w:proofErr w:type="gramStart"/>
      <w:r w:rsidRPr="002638C1">
        <w:rPr>
          <w:rFonts w:cstheme="minorHAnsi"/>
          <w:bCs/>
          <w:lang w:val="es-CO"/>
        </w:rPr>
        <w:t>de acuerdo a</w:t>
      </w:r>
      <w:proofErr w:type="gramEnd"/>
      <w:r w:rsidRPr="002638C1">
        <w:rPr>
          <w:rFonts w:cstheme="minorHAnsi"/>
          <w:bCs/>
          <w:lang w:val="es-CO"/>
        </w:rPr>
        <w:t xml:space="preserve"> los siguientes argumentos:</w:t>
      </w:r>
    </w:p>
    <w:p w14:paraId="35232FD1" w14:textId="77777777" w:rsidR="00452DD4" w:rsidRPr="004E4A37" w:rsidRDefault="00452DD4" w:rsidP="00452DD4">
      <w:pPr>
        <w:spacing w:after="0" w:line="276" w:lineRule="auto"/>
        <w:jc w:val="both"/>
        <w:rPr>
          <w:rFonts w:cstheme="minorHAnsi"/>
          <w:b/>
          <w:highlight w:val="yellow"/>
          <w:lang w:val="es-CO"/>
        </w:rPr>
      </w:pPr>
    </w:p>
    <w:p w14:paraId="21EE279D" w14:textId="77777777" w:rsidR="00452DD4" w:rsidRPr="00452DD4" w:rsidRDefault="00452DD4" w:rsidP="00452DD4">
      <w:pPr>
        <w:spacing w:after="0" w:line="276" w:lineRule="auto"/>
        <w:jc w:val="both"/>
        <w:rPr>
          <w:rFonts w:cstheme="minorHAnsi"/>
          <w:b/>
          <w:highlight w:val="yellow"/>
          <w:lang w:val="es-CO"/>
        </w:rPr>
      </w:pPr>
      <w:r w:rsidRPr="00452DD4">
        <w:rPr>
          <w:rFonts w:cstheme="minorHAnsi"/>
          <w:b/>
          <w:highlight w:val="yellow"/>
          <w:lang w:val="es-CO"/>
        </w:rPr>
        <w:t xml:space="preserve">MODIFICACIÓN CALIFICACIÓN CONTINGENCIA: </w:t>
      </w:r>
    </w:p>
    <w:p w14:paraId="48727ED6" w14:textId="77777777" w:rsidR="00452DD4" w:rsidRPr="00EC6E45" w:rsidRDefault="00452DD4" w:rsidP="00452DD4">
      <w:pPr>
        <w:pStyle w:val="Prrafodelista"/>
        <w:spacing w:after="0" w:line="276" w:lineRule="auto"/>
        <w:jc w:val="both"/>
        <w:rPr>
          <w:rFonts w:cstheme="minorHAnsi"/>
          <w:b/>
          <w:highlight w:val="yellow"/>
          <w:lang w:val="es-CO"/>
        </w:rPr>
      </w:pPr>
    </w:p>
    <w:p w14:paraId="6B78B88C" w14:textId="77777777" w:rsidR="00452DD4" w:rsidRDefault="00452DD4" w:rsidP="00452DD4">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r w:rsidRPr="00AB599A">
        <w:rPr>
          <w:rFonts w:asciiTheme="minorHAnsi" w:hAnsiTheme="minorHAnsi" w:cstheme="minorHAnsi"/>
          <w:sz w:val="22"/>
          <w:szCs w:val="22"/>
          <w:lang w:val="es-CO"/>
        </w:rPr>
        <w:t>La contingencia se califica como</w:t>
      </w:r>
      <w:r w:rsidRPr="003457F1">
        <w:rPr>
          <w:rFonts w:asciiTheme="minorHAnsi" w:hAnsiTheme="minorHAnsi" w:cstheme="minorHAnsi"/>
          <w:b/>
          <w:sz w:val="22"/>
          <w:szCs w:val="22"/>
          <w:u w:val="single"/>
          <w:lang w:val="es-CO"/>
        </w:rPr>
        <w:t xml:space="preserve"> </w:t>
      </w:r>
      <w:r>
        <w:rPr>
          <w:rFonts w:asciiTheme="minorHAnsi" w:hAnsiTheme="minorHAnsi" w:cstheme="minorHAnsi"/>
          <w:b/>
          <w:sz w:val="22"/>
          <w:szCs w:val="22"/>
          <w:u w:val="single"/>
          <w:lang w:val="es-CO"/>
        </w:rPr>
        <w:t>EVENTUAL.</w:t>
      </w:r>
    </w:p>
    <w:p w14:paraId="114CC6C7" w14:textId="7ACB00D8" w:rsidR="00452DD4" w:rsidRPr="00390AE6" w:rsidRDefault="00452DD4" w:rsidP="00452DD4">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Lo</w:t>
      </w:r>
      <w:r w:rsidRPr="00854145">
        <w:rPr>
          <w:rFonts w:asciiTheme="minorHAnsi" w:hAnsiTheme="minorHAnsi" w:cstheme="minorHAnsi"/>
          <w:sz w:val="22"/>
          <w:szCs w:val="22"/>
          <w:lang w:val="es-CO"/>
        </w:rPr>
        <w:t xml:space="preserve"> anterior, debido a que</w:t>
      </w:r>
      <w:r>
        <w:rPr>
          <w:rFonts w:asciiTheme="minorHAnsi" w:hAnsiTheme="minorHAnsi" w:cstheme="minorHAnsi"/>
          <w:sz w:val="22"/>
          <w:szCs w:val="22"/>
          <w:lang w:val="es-CO"/>
        </w:rPr>
        <w:t>,</w:t>
      </w:r>
      <w:r w:rsidRPr="00854145">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si bien la póliza presta cobertura temporal y la responsabilidad del asegurado está demostrada, </w:t>
      </w:r>
      <w:r w:rsidRPr="00390AE6">
        <w:rPr>
          <w:rFonts w:asciiTheme="minorHAnsi" w:hAnsiTheme="minorHAnsi" w:cstheme="minorHAnsi"/>
          <w:sz w:val="22"/>
          <w:szCs w:val="22"/>
          <w:lang w:val="es-CO"/>
        </w:rPr>
        <w:t xml:space="preserve">los resultados </w:t>
      </w:r>
      <w:r>
        <w:rPr>
          <w:rFonts w:asciiTheme="minorHAnsi" w:hAnsiTheme="minorHAnsi" w:cstheme="minorHAnsi"/>
          <w:sz w:val="22"/>
          <w:szCs w:val="22"/>
          <w:lang w:val="es-CO"/>
        </w:rPr>
        <w:t>del proceso dependerán del análisis del Ju</w:t>
      </w:r>
      <w:r w:rsidR="00BD5A64">
        <w:rPr>
          <w:rFonts w:asciiTheme="minorHAnsi" w:hAnsiTheme="minorHAnsi" w:cstheme="minorHAnsi"/>
          <w:sz w:val="22"/>
          <w:szCs w:val="22"/>
          <w:lang w:val="es-CO"/>
        </w:rPr>
        <w:t>z</w:t>
      </w:r>
      <w:r>
        <w:rPr>
          <w:rFonts w:asciiTheme="minorHAnsi" w:hAnsiTheme="minorHAnsi" w:cstheme="minorHAnsi"/>
          <w:sz w:val="22"/>
          <w:szCs w:val="22"/>
          <w:lang w:val="es-CO"/>
        </w:rPr>
        <w:t xml:space="preserve">gador frente a la eficacia de las causales de exclusión invocadas por la compañía. </w:t>
      </w:r>
    </w:p>
    <w:p w14:paraId="497273C5" w14:textId="77777777" w:rsidR="00452DD4" w:rsidRDefault="00452DD4" w:rsidP="00452DD4">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efecto, la póliza presta cobertura temporal por cuanto los hechos del </w:t>
      </w:r>
      <w:r w:rsidRPr="00390AE6">
        <w:rPr>
          <w:rFonts w:asciiTheme="minorHAnsi" w:hAnsiTheme="minorHAnsi" w:cstheme="minorHAnsi"/>
          <w:sz w:val="22"/>
          <w:szCs w:val="22"/>
          <w:lang w:val="es-CO"/>
        </w:rPr>
        <w:t>16 de octubre de 2016</w:t>
      </w:r>
      <w:r>
        <w:rPr>
          <w:rFonts w:asciiTheme="minorHAnsi" w:hAnsiTheme="minorHAnsi" w:cstheme="minorHAnsi"/>
          <w:sz w:val="22"/>
          <w:szCs w:val="22"/>
          <w:lang w:val="es-CO"/>
        </w:rPr>
        <w:t xml:space="preserve"> tuvieron lugar dentro de la vigencia del contrato, esto dentro del periodo comprendido entre el 27 de marzo del 2016 al 26 de marzo del 2017. Frente a la cobertura material, es preciso indicar que </w:t>
      </w:r>
      <w:r w:rsidRPr="00854145">
        <w:rPr>
          <w:rFonts w:asciiTheme="minorHAnsi" w:hAnsiTheme="minorHAnsi" w:cstheme="minorHAnsi"/>
          <w:sz w:val="22"/>
          <w:szCs w:val="22"/>
          <w:lang w:val="es-CO"/>
        </w:rPr>
        <w:t xml:space="preserve">en el proceso se encuentra demostrado que </w:t>
      </w:r>
      <w:r w:rsidRPr="00035B92">
        <w:rPr>
          <w:rFonts w:asciiTheme="minorHAnsi" w:hAnsiTheme="minorHAnsi" w:cstheme="minorHAnsi"/>
          <w:b/>
          <w:i/>
          <w:sz w:val="22"/>
          <w:szCs w:val="22"/>
          <w:u w:val="single"/>
          <w:lang w:val="es-CO"/>
        </w:rPr>
        <w:t>existen dos exclusiones en la póliza de seguro por medio de las cuales la compañía se exonera de la obligación indemnizatoria a su cargo</w:t>
      </w:r>
      <w:r w:rsidRPr="00854145">
        <w:rPr>
          <w:rFonts w:asciiTheme="minorHAnsi" w:hAnsiTheme="minorHAnsi" w:cstheme="minorHAnsi"/>
          <w:sz w:val="22"/>
          <w:szCs w:val="22"/>
          <w:lang w:val="es-CO"/>
        </w:rPr>
        <w:t xml:space="preserve">. La primera de </w:t>
      </w:r>
      <w:proofErr w:type="gramStart"/>
      <w:r w:rsidRPr="00854145">
        <w:rPr>
          <w:rFonts w:asciiTheme="minorHAnsi" w:hAnsiTheme="minorHAnsi" w:cstheme="minorHAnsi"/>
          <w:sz w:val="22"/>
          <w:szCs w:val="22"/>
          <w:lang w:val="es-CO"/>
        </w:rPr>
        <w:t>ellas,</w:t>
      </w:r>
      <w:proofErr w:type="gramEnd"/>
      <w:r w:rsidRPr="00854145">
        <w:rPr>
          <w:rFonts w:asciiTheme="minorHAnsi" w:hAnsiTheme="minorHAnsi" w:cstheme="minorHAnsi"/>
          <w:sz w:val="22"/>
          <w:szCs w:val="22"/>
          <w:lang w:val="es-CO"/>
        </w:rPr>
        <w:t xml:space="preserve"> es la relativa al uso del vehículo asegurado, en la medida en que en la póliza de seguro se pactó que el vehículo asegurado sólo podía ser empleado para el servicio público urbano en la ciudad de Quibdó. En tal virtud, dado que el vehículo se utilizó como transporte intermunicipal, se configuró la exclusión mencionada. La segunda exclusión es relativa a la zona de circulación del vehículo, dado que en la póliza se pactó que fuera únicamente el casco urbano de Quibdó. </w:t>
      </w:r>
    </w:p>
    <w:p w14:paraId="46D01E3D" w14:textId="77777777" w:rsidR="00452DD4" w:rsidRDefault="00452DD4" w:rsidP="00452DD4">
      <w:pPr>
        <w:pStyle w:val="NormalWeb"/>
        <w:shd w:val="clear" w:color="auto" w:fill="FFFFFF"/>
        <w:spacing w:after="0" w:line="276" w:lineRule="auto"/>
        <w:jc w:val="both"/>
        <w:rPr>
          <w:rFonts w:asciiTheme="minorHAnsi" w:hAnsiTheme="minorHAnsi" w:cstheme="minorHAnsi"/>
          <w:sz w:val="22"/>
          <w:szCs w:val="22"/>
          <w:lang w:val="es-CO"/>
        </w:rPr>
      </w:pPr>
      <w:r w:rsidRPr="00854145">
        <w:rPr>
          <w:rFonts w:asciiTheme="minorHAnsi" w:hAnsiTheme="minorHAnsi" w:cstheme="minorHAnsi"/>
          <w:sz w:val="22"/>
          <w:szCs w:val="22"/>
          <w:lang w:val="es-CO"/>
        </w:rPr>
        <w:t xml:space="preserve">Así las cosas, en el proceso se encuentra probado que el accidente ocasionado por el vehículo asegurado ocurrió en la vía que conduce de Condoto a Quibdó, más precisamente en el corregimiento de San Rafael El Dos. Lo que de cara al contrato de seguro demuestra que se configuraron dos exclusiones taxativamente pactadas, dejando sin posibilidad de afectación al contrato. </w:t>
      </w:r>
    </w:p>
    <w:p w14:paraId="3924E38D" w14:textId="080159B4" w:rsidR="00452DD4" w:rsidRPr="00AF7019" w:rsidRDefault="00452DD4" w:rsidP="00452DD4">
      <w:pPr>
        <w:pStyle w:val="NormalWeb"/>
        <w:shd w:val="clear" w:color="auto" w:fill="FFFFFF"/>
        <w:spacing w:after="0" w:line="276" w:lineRule="auto"/>
        <w:jc w:val="both"/>
        <w:rPr>
          <w:rFonts w:asciiTheme="minorHAnsi" w:hAnsiTheme="minorHAnsi" w:cstheme="minorHAnsi"/>
          <w:sz w:val="22"/>
          <w:szCs w:val="22"/>
          <w:lang w:val="es-CO"/>
        </w:rPr>
      </w:pPr>
      <w:r w:rsidRPr="00854145">
        <w:rPr>
          <w:rFonts w:asciiTheme="minorHAnsi" w:hAnsiTheme="minorHAnsi" w:cstheme="minorHAnsi"/>
          <w:sz w:val="22"/>
          <w:szCs w:val="22"/>
          <w:lang w:val="es-CO"/>
        </w:rPr>
        <w:t xml:space="preserve">No obstante, se debe tomar en consideración que la contingencia podría variar en el curso del proceso. Sobre este particular, es preciso hacer referencia a que </w:t>
      </w:r>
      <w:r w:rsidRPr="00AC0BD1">
        <w:rPr>
          <w:rFonts w:asciiTheme="minorHAnsi" w:hAnsiTheme="minorHAnsi" w:cstheme="minorHAnsi"/>
          <w:b/>
          <w:i/>
          <w:sz w:val="22"/>
          <w:szCs w:val="22"/>
          <w:u w:val="single"/>
          <w:lang w:val="es-CO"/>
        </w:rPr>
        <w:t>las exclusiones no se encuentran a partir de la primera página de la póliza,</w:t>
      </w:r>
      <w:r w:rsidRPr="00854145">
        <w:rPr>
          <w:rFonts w:asciiTheme="minorHAnsi" w:hAnsiTheme="minorHAnsi" w:cstheme="minorHAnsi"/>
          <w:sz w:val="22"/>
          <w:szCs w:val="22"/>
          <w:lang w:val="es-CO"/>
        </w:rPr>
        <w:t xml:space="preserve"> lo que de cara al proceso judicial puede generar que el Despacho reconozca la ineficacia de estas. Comoquiera que el artículo 44 de la ley 45 de 1990 y el artículo 184 del Estatuto Orgánico del Sistema Financiero obligan a que las exclusiones de la póliza deban estar a partir de</w:t>
      </w:r>
      <w:r w:rsidR="00BD5A64">
        <w:rPr>
          <w:rFonts w:asciiTheme="minorHAnsi" w:hAnsiTheme="minorHAnsi" w:cstheme="minorHAnsi"/>
          <w:sz w:val="22"/>
          <w:szCs w:val="22"/>
          <w:lang w:val="es-CO"/>
        </w:rPr>
        <w:t xml:space="preserve"> la</w:t>
      </w:r>
      <w:r w:rsidRPr="00854145">
        <w:rPr>
          <w:rFonts w:asciiTheme="minorHAnsi" w:hAnsiTheme="minorHAnsi" w:cstheme="minorHAnsi"/>
          <w:sz w:val="22"/>
          <w:szCs w:val="22"/>
          <w:lang w:val="es-CO"/>
        </w:rPr>
        <w:t xml:space="preserve"> primera página de la póliza y en caracteres destacados.</w:t>
      </w:r>
      <w:r>
        <w:rPr>
          <w:rFonts w:asciiTheme="minorHAnsi" w:hAnsiTheme="minorHAnsi" w:cstheme="minorHAnsi"/>
          <w:sz w:val="22"/>
          <w:szCs w:val="22"/>
          <w:lang w:val="es-CO"/>
        </w:rPr>
        <w:t xml:space="preserve"> </w:t>
      </w:r>
      <w:r w:rsidRPr="00AF7019">
        <w:rPr>
          <w:rFonts w:asciiTheme="minorHAnsi" w:hAnsiTheme="minorHAnsi" w:cstheme="minorHAnsi"/>
          <w:b/>
          <w:i/>
          <w:sz w:val="22"/>
          <w:szCs w:val="22"/>
          <w:u w:val="single"/>
          <w:lang w:val="es-CO"/>
        </w:rPr>
        <w:t>En este orden de ideas, los resultados dependerían específicamente de si para el Despacho estas exclusiones son o no eficaces.</w:t>
      </w:r>
    </w:p>
    <w:p w14:paraId="573A6672" w14:textId="2627C1FB" w:rsidR="00452DD4" w:rsidRPr="00854145" w:rsidRDefault="00452DD4" w:rsidP="00452DD4">
      <w:pPr>
        <w:pStyle w:val="NormalWeb"/>
        <w:shd w:val="clear" w:color="auto" w:fill="FFFFFF"/>
        <w:spacing w:after="0" w:line="276" w:lineRule="auto"/>
        <w:jc w:val="both"/>
        <w:rPr>
          <w:rFonts w:asciiTheme="minorHAnsi" w:hAnsiTheme="minorHAnsi" w:cstheme="minorHAnsi"/>
          <w:sz w:val="22"/>
          <w:szCs w:val="22"/>
          <w:lang w:val="es-CO"/>
        </w:rPr>
      </w:pPr>
      <w:r w:rsidRPr="00854145">
        <w:rPr>
          <w:rFonts w:asciiTheme="minorHAnsi" w:hAnsiTheme="minorHAnsi" w:cstheme="minorHAnsi"/>
          <w:sz w:val="22"/>
          <w:szCs w:val="22"/>
          <w:lang w:val="es-CO"/>
        </w:rPr>
        <w:t xml:space="preserve">De otro lado, de cara a la responsabilidad del asegurado respecto del accidente de tránsito que ocasionó las lesiones al señor Edilberto de Jesús García. Al revisar las pruebas que reposan en el expediente se pueden observar los informes de la autoridad de tránsito que acudió al lugar del accidente. En los referidos documentos se encuentra ampliamente demostrado que </w:t>
      </w:r>
      <w:r w:rsidRPr="0015504F">
        <w:rPr>
          <w:rFonts w:asciiTheme="minorHAnsi" w:hAnsiTheme="minorHAnsi" w:cstheme="minorHAnsi"/>
          <w:b/>
          <w:i/>
          <w:sz w:val="22"/>
          <w:szCs w:val="22"/>
          <w:u w:val="single"/>
          <w:lang w:val="es-CO"/>
        </w:rPr>
        <w:t>el vehículo de placas WMB388 se quedó sin frenos y atropelló a una serie de personas que se encontraban en el municipio de San Rafael El Dos,</w:t>
      </w:r>
      <w:r w:rsidRPr="00854145">
        <w:rPr>
          <w:rFonts w:asciiTheme="minorHAnsi" w:hAnsiTheme="minorHAnsi" w:cstheme="minorHAnsi"/>
          <w:sz w:val="22"/>
          <w:szCs w:val="22"/>
          <w:lang w:val="es-CO"/>
        </w:rPr>
        <w:t xml:space="preserve"> entre las que se encuentra el señor García. En vista de esto, de cara al proceso judicial se encuentra plenamente demostrado que el vehículo asegurado ocasionó un accidente de tránsito en el que uno de los afectados fue el señor Edilberto de Jesú</w:t>
      </w:r>
      <w:r w:rsidR="00BD5A64">
        <w:rPr>
          <w:rFonts w:asciiTheme="minorHAnsi" w:hAnsiTheme="minorHAnsi" w:cstheme="minorHAnsi"/>
          <w:sz w:val="22"/>
          <w:szCs w:val="22"/>
          <w:lang w:val="es-CO"/>
        </w:rPr>
        <w:t>s.</w:t>
      </w:r>
      <w:r w:rsidRPr="00854145">
        <w:rPr>
          <w:rFonts w:asciiTheme="minorHAnsi" w:hAnsiTheme="minorHAnsi" w:cstheme="minorHAnsi"/>
          <w:sz w:val="22"/>
          <w:szCs w:val="22"/>
          <w:lang w:val="es-CO"/>
        </w:rPr>
        <w:t xml:space="preserve"> Lo anterior genera que la responsabilidad sí sea imputable al vehículo asegurado y en esa medida se evidencia la realización del riesgo asegurado.</w:t>
      </w:r>
    </w:p>
    <w:p w14:paraId="776966A1" w14:textId="23F6D406" w:rsidR="00452DD4" w:rsidRPr="002638C1" w:rsidRDefault="00452DD4" w:rsidP="002638C1">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Lo anterior </w:t>
      </w:r>
      <w:r w:rsidRPr="00854145">
        <w:rPr>
          <w:rFonts w:asciiTheme="minorHAnsi" w:hAnsiTheme="minorHAnsi" w:cstheme="minorHAnsi"/>
          <w:sz w:val="22"/>
          <w:szCs w:val="22"/>
          <w:lang w:val="es-CO"/>
        </w:rPr>
        <w:t>sin perjuicio del carácter contingente del proceso.</w:t>
      </w:r>
    </w:p>
    <w:p w14:paraId="2193374F" w14:textId="77777777" w:rsidR="00452DD4" w:rsidRPr="00452DD4" w:rsidRDefault="00452DD4" w:rsidP="00452DD4">
      <w:pPr>
        <w:spacing w:after="0" w:line="276" w:lineRule="auto"/>
        <w:jc w:val="both"/>
        <w:rPr>
          <w:rFonts w:cstheme="minorHAnsi"/>
          <w:highlight w:val="yellow"/>
          <w:lang w:val="es-CO"/>
        </w:rPr>
      </w:pPr>
      <w:r>
        <w:rPr>
          <w:rFonts w:cstheme="minorHAnsi"/>
          <w:b/>
          <w:highlight w:val="yellow"/>
          <w:lang w:val="es-CO"/>
        </w:rPr>
        <w:t xml:space="preserve">MODIFICACIÓN </w:t>
      </w:r>
      <w:r w:rsidRPr="00452DD4">
        <w:rPr>
          <w:rFonts w:cstheme="minorHAnsi"/>
          <w:b/>
          <w:highlight w:val="yellow"/>
          <w:lang w:val="es-CO"/>
        </w:rPr>
        <w:t xml:space="preserve">LIQUIDACIÓN OBJETIVA:   </w:t>
      </w:r>
    </w:p>
    <w:p w14:paraId="27BD9F40" w14:textId="77777777" w:rsidR="00452DD4" w:rsidRPr="002A0604" w:rsidRDefault="00452DD4" w:rsidP="00452DD4">
      <w:pPr>
        <w:pStyle w:val="Prrafodelista"/>
        <w:spacing w:after="0" w:line="276" w:lineRule="auto"/>
        <w:jc w:val="both"/>
        <w:rPr>
          <w:rFonts w:cstheme="minorHAnsi"/>
          <w:highlight w:val="yellow"/>
          <w:lang w:val="es-CO"/>
        </w:rPr>
      </w:pPr>
    </w:p>
    <w:p w14:paraId="30933404" w14:textId="77777777" w:rsidR="00452DD4" w:rsidRPr="0082710E" w:rsidRDefault="00452DD4" w:rsidP="00452DD4">
      <w:pPr>
        <w:spacing w:after="0" w:line="276" w:lineRule="auto"/>
        <w:jc w:val="both"/>
        <w:rPr>
          <w:rFonts w:cstheme="minorHAnsi"/>
          <w:lang w:val="es-CO"/>
        </w:rPr>
      </w:pPr>
      <w:r>
        <w:rPr>
          <w:rFonts w:cstheme="minorHAnsi"/>
          <w:lang w:val="es-CO"/>
        </w:rPr>
        <w:t>C</w:t>
      </w:r>
      <w:r w:rsidRPr="0082710E">
        <w:rPr>
          <w:rFonts w:cstheme="minorHAnsi"/>
          <w:lang w:val="es-CO"/>
        </w:rPr>
        <w:t>omo liquidación objetiva de perjuicios se l</w:t>
      </w:r>
      <w:r>
        <w:rPr>
          <w:rFonts w:cstheme="minorHAnsi"/>
          <w:lang w:val="es-CO"/>
        </w:rPr>
        <w:t xml:space="preserve">legó al total de </w:t>
      </w:r>
      <w:r w:rsidRPr="00C06A88">
        <w:rPr>
          <w:rFonts w:cstheme="minorHAnsi"/>
          <w:b/>
          <w:lang w:val="es-CO"/>
        </w:rPr>
        <w:t>$161.677.202.</w:t>
      </w:r>
      <w:r>
        <w:rPr>
          <w:rFonts w:cstheme="minorHAnsi"/>
          <w:b/>
          <w:lang w:val="es-CO"/>
        </w:rPr>
        <w:t xml:space="preserve"> </w:t>
      </w:r>
      <w:r w:rsidRPr="0082710E">
        <w:rPr>
          <w:rFonts w:cstheme="minorHAnsi"/>
          <w:lang w:val="es-CO"/>
        </w:rPr>
        <w:t>A este valor se llegó de la siguiente manera:</w:t>
      </w:r>
    </w:p>
    <w:p w14:paraId="1A3F4829" w14:textId="77777777" w:rsidR="00452DD4" w:rsidRPr="0082710E" w:rsidRDefault="00452DD4" w:rsidP="00452DD4">
      <w:pPr>
        <w:spacing w:after="0" w:line="276" w:lineRule="auto"/>
        <w:jc w:val="both"/>
        <w:rPr>
          <w:rFonts w:cstheme="minorHAnsi"/>
          <w:lang w:val="es-CO"/>
        </w:rPr>
      </w:pPr>
    </w:p>
    <w:p w14:paraId="08C0040C" w14:textId="77777777" w:rsidR="00452DD4" w:rsidRPr="0082710E" w:rsidRDefault="00452DD4" w:rsidP="00452DD4">
      <w:pPr>
        <w:spacing w:after="0" w:line="276" w:lineRule="auto"/>
        <w:jc w:val="both"/>
        <w:rPr>
          <w:rFonts w:cstheme="minorHAnsi"/>
          <w:lang w:val="es-CO"/>
        </w:rPr>
      </w:pPr>
      <w:r w:rsidRPr="00242279">
        <w:rPr>
          <w:rFonts w:cstheme="minorHAnsi"/>
          <w:b/>
          <w:lang w:val="es-CO"/>
        </w:rPr>
        <w:t>1. Daños morales:</w:t>
      </w:r>
      <w:r w:rsidRPr="0082710E">
        <w:rPr>
          <w:rFonts w:cstheme="minorHAnsi"/>
          <w:lang w:val="es-CO"/>
        </w:rPr>
        <w:t xml:space="preserve"> La solicitud de daños morales para la víctima en caso de lesiones que no dejan secuelas permanentes ha tenido un desarrollo jurisprudencial con un tope de reconocimiento de 20 salarios mínimos que equivalen en el año 2021 a la suma de $18.170.520 (Corte Suprema de Justicia, Sala de Casación Civil, Sentencia del 23/05/2018, MP: Aroldo Wilson Quiroz, Rad: 11001-31-03-028-2003-00833-01). En ese sentido, </w:t>
      </w:r>
      <w:r w:rsidRPr="00473F89">
        <w:rPr>
          <w:rFonts w:cstheme="minorHAnsi"/>
          <w:b/>
          <w:i/>
          <w:u w:val="single"/>
          <w:lang w:val="es-CO"/>
        </w:rPr>
        <w:t>dado que en el proceso no se probó ningún tipo de secuela permanente en la víctima,</w:t>
      </w:r>
      <w:r w:rsidRPr="0082710E">
        <w:rPr>
          <w:rFonts w:cstheme="minorHAnsi"/>
          <w:lang w:val="es-CO"/>
        </w:rPr>
        <w:t xml:space="preserve"> se le deberá reconocer un rubro de $</w:t>
      </w:r>
      <w:r>
        <w:rPr>
          <w:rFonts w:cstheme="minorHAnsi"/>
          <w:lang w:val="es-CO"/>
        </w:rPr>
        <w:t>20.000.000</w:t>
      </w:r>
      <w:r w:rsidRPr="0082710E">
        <w:rPr>
          <w:rFonts w:cstheme="minorHAnsi"/>
          <w:lang w:val="es-CO"/>
        </w:rPr>
        <w:t xml:space="preserve"> para el señor Edilberto de Jesús y su madre. Lo anterior teniendo en cuenta la fractura expuesta de pie izquierdo, el edema, la deformidad y la fractura del calcáneo. De otro lado, de cara a la solicitud de reconocimiento elevada por los hermanos de la víctima, se estima que</w:t>
      </w:r>
      <w:r>
        <w:rPr>
          <w:rFonts w:cstheme="minorHAnsi"/>
          <w:lang w:val="es-CO"/>
        </w:rPr>
        <w:t>,</w:t>
      </w:r>
      <w:r w:rsidRPr="0082710E">
        <w:rPr>
          <w:rFonts w:cstheme="minorHAnsi"/>
          <w:lang w:val="es-CO"/>
        </w:rPr>
        <w:t xml:space="preserve"> conforme a los lineamientos jurisprud</w:t>
      </w:r>
      <w:r>
        <w:rPr>
          <w:rFonts w:cstheme="minorHAnsi"/>
          <w:lang w:val="es-CO"/>
        </w:rPr>
        <w:t xml:space="preserve">enciales, se debe reconocer 10 millones </w:t>
      </w:r>
      <w:r w:rsidRPr="0082710E">
        <w:rPr>
          <w:rFonts w:cstheme="minorHAnsi"/>
          <w:lang w:val="es-CO"/>
        </w:rPr>
        <w:t>pa</w:t>
      </w:r>
      <w:r>
        <w:rPr>
          <w:rFonts w:cstheme="minorHAnsi"/>
          <w:lang w:val="es-CO"/>
        </w:rPr>
        <w:t xml:space="preserve">ra cada uno de ellos, es decir </w:t>
      </w:r>
      <w:r w:rsidRPr="0082710E">
        <w:rPr>
          <w:rFonts w:cstheme="minorHAnsi"/>
          <w:lang w:val="es-CO"/>
        </w:rPr>
        <w:t>para cada hermano (Corte Suprema de Justicia, Sala de Casación Civil, Sentencia del 23/05/2018, MP: Aroldo Wilson Quiroz, Rad: 11001-31-03-028-2003-00833-01). Por lo anterior, los daños morales p</w:t>
      </w:r>
      <w:r>
        <w:rPr>
          <w:rFonts w:cstheme="minorHAnsi"/>
          <w:lang w:val="es-CO"/>
        </w:rPr>
        <w:t>ara el proceso se estiman en $80.000.000.</w:t>
      </w:r>
    </w:p>
    <w:p w14:paraId="4967E7D9" w14:textId="77777777" w:rsidR="00452DD4" w:rsidRPr="0082710E" w:rsidRDefault="00452DD4" w:rsidP="00452DD4">
      <w:pPr>
        <w:spacing w:after="0" w:line="276" w:lineRule="auto"/>
        <w:jc w:val="both"/>
        <w:rPr>
          <w:rFonts w:cstheme="minorHAnsi"/>
          <w:lang w:val="es-CO"/>
        </w:rPr>
      </w:pPr>
    </w:p>
    <w:p w14:paraId="32363F1B" w14:textId="77777777" w:rsidR="00452DD4" w:rsidRDefault="00452DD4" w:rsidP="00452DD4">
      <w:pPr>
        <w:spacing w:after="0" w:line="276" w:lineRule="auto"/>
        <w:jc w:val="both"/>
        <w:rPr>
          <w:rFonts w:cstheme="minorHAnsi"/>
          <w:lang w:val="es-CO"/>
        </w:rPr>
      </w:pPr>
      <w:r w:rsidRPr="00242279">
        <w:rPr>
          <w:rFonts w:cstheme="minorHAnsi"/>
          <w:b/>
          <w:lang w:val="es-CO"/>
        </w:rPr>
        <w:t>2. Lucro cesante:</w:t>
      </w:r>
      <w:r w:rsidRPr="0082710E">
        <w:rPr>
          <w:rFonts w:cstheme="minorHAnsi"/>
          <w:lang w:val="es-CO"/>
        </w:rPr>
        <w:t xml:space="preserve"> Respecto al lucro cesante consolidado solicitado por los Demandantes, es importante manifestar que en el proceso no existen elementos probatorios suficientes que acrediten el ingreso del señor Edilberto de Jesús García, es más en el mismo escrito </w:t>
      </w:r>
      <w:proofErr w:type="spellStart"/>
      <w:r w:rsidRPr="0082710E">
        <w:rPr>
          <w:rFonts w:cstheme="minorHAnsi"/>
          <w:lang w:val="es-CO"/>
        </w:rPr>
        <w:t>demandatorio</w:t>
      </w:r>
      <w:proofErr w:type="spellEnd"/>
      <w:r w:rsidRPr="0082710E">
        <w:rPr>
          <w:rFonts w:cstheme="minorHAnsi"/>
          <w:lang w:val="es-CO"/>
        </w:rPr>
        <w:t xml:space="preserve"> los Accionantes manifiestan que para la fecha en la que ocurrió el accidente de tránsito la víctima realizaba oficios varios y que por lo tanto debería reconocérsele mínimo el equivalente a 1 SMLMV. En este sentido, es importante tener en cuenta que la Corte Suprema de Justicia, especialmente en la sentencia del 20 de noviembre de 2013, radicación 2002-01011, con ponencia del Magistrado Solarte Rodríguez, se esgrime que, aunque no se acredite con prueba el valor del ingreso de la víctima, se presume que percibía el salario mínimo legal. Lo anterior, aplicado al caso concreto, significa un lucro cesante consolidado de $908.526, teniendo en cuenta que el señor Edilberto de Jesús como consecuencia del accidente del 16 de octubre de 2016 tuvo varias incapacidades laborales por el término de 30 días por la fractura expuesta de pie izquierdo, Edema, Deformidad y la fractura del calcáneo. Respecto del lucro cesante futuro solicitado en la demanda, no se reconoce suma alguna por cuanto el señor Edilberto de Jesús no acaeció una pérdida de capacidad laboral, situación que debe ocurrir para el reconocimiento de este tipo de perjuicio. En tal sentido, el lucro cesante consolidado se estima en $908.526</w:t>
      </w:r>
      <w:r>
        <w:rPr>
          <w:rFonts w:cstheme="minorHAnsi"/>
          <w:lang w:val="es-CO"/>
        </w:rPr>
        <w:t>.</w:t>
      </w:r>
    </w:p>
    <w:p w14:paraId="661FCF64" w14:textId="77777777" w:rsidR="00452DD4" w:rsidRDefault="00452DD4" w:rsidP="00452DD4">
      <w:pPr>
        <w:spacing w:after="0" w:line="276" w:lineRule="auto"/>
        <w:jc w:val="both"/>
        <w:rPr>
          <w:rFonts w:cstheme="minorHAnsi"/>
          <w:lang w:val="es-CO"/>
        </w:rPr>
      </w:pPr>
    </w:p>
    <w:p w14:paraId="6D640E56" w14:textId="77777777" w:rsidR="00452DD4" w:rsidRPr="0082710E" w:rsidRDefault="00452DD4" w:rsidP="00452DD4">
      <w:pPr>
        <w:spacing w:after="0" w:line="276" w:lineRule="auto"/>
        <w:jc w:val="both"/>
        <w:rPr>
          <w:rFonts w:cstheme="minorHAnsi"/>
          <w:lang w:val="es-CO"/>
        </w:rPr>
      </w:pPr>
      <w:r>
        <w:rPr>
          <w:rFonts w:cstheme="minorHAnsi"/>
          <w:lang w:val="es-CO"/>
        </w:rPr>
        <w:t>De acuerdo con el salario mínimo para la fecha de ocurrencia de los hechos, y que la jurisprudencia de la Corte ha indicado que este tipo de perjuicio puede reconocerse una vez demostrada la lesión, se puede tomar como base el lucro cesante solicitado en la demanda, que asciende a $62.268.676.</w:t>
      </w:r>
    </w:p>
    <w:p w14:paraId="3286DF5F" w14:textId="77777777" w:rsidR="00452DD4" w:rsidRPr="0082710E" w:rsidRDefault="00452DD4" w:rsidP="00452DD4">
      <w:pPr>
        <w:spacing w:after="0" w:line="276" w:lineRule="auto"/>
        <w:jc w:val="both"/>
        <w:rPr>
          <w:rFonts w:cstheme="minorHAnsi"/>
          <w:lang w:val="es-CO"/>
        </w:rPr>
      </w:pPr>
    </w:p>
    <w:p w14:paraId="7B34092A" w14:textId="77777777" w:rsidR="00452DD4" w:rsidRPr="0082710E" w:rsidRDefault="00452DD4" w:rsidP="00452DD4">
      <w:pPr>
        <w:spacing w:after="0" w:line="276" w:lineRule="auto"/>
        <w:jc w:val="both"/>
        <w:rPr>
          <w:rFonts w:cstheme="minorHAnsi"/>
          <w:lang w:val="es-CO"/>
        </w:rPr>
      </w:pPr>
      <w:r w:rsidRPr="00AE7A6D">
        <w:rPr>
          <w:rFonts w:cstheme="minorHAnsi"/>
          <w:b/>
          <w:lang w:val="es-CO"/>
        </w:rPr>
        <w:t>3. Daño emergente:</w:t>
      </w:r>
      <w:r w:rsidRPr="0082710E">
        <w:rPr>
          <w:rFonts w:cstheme="minorHAnsi"/>
          <w:lang w:val="es-CO"/>
        </w:rPr>
        <w:t xml:space="preserve"> No hay lugar al reconoc</w:t>
      </w:r>
      <w:r>
        <w:rPr>
          <w:rFonts w:cstheme="minorHAnsi"/>
          <w:lang w:val="es-CO"/>
        </w:rPr>
        <w:t>imiento de dicho perjuicio como</w:t>
      </w:r>
      <w:r w:rsidRPr="0082710E">
        <w:rPr>
          <w:rFonts w:cstheme="minorHAnsi"/>
          <w:lang w:val="es-CO"/>
        </w:rPr>
        <w:t xml:space="preserve">quiera que no se encuentra acreditados que los gastos afirmados por dicho concepto sean consecuencia de los hechos demandados. Al analizar el acervo probatorio </w:t>
      </w:r>
      <w:proofErr w:type="gramStart"/>
      <w:r w:rsidRPr="0082710E">
        <w:rPr>
          <w:rFonts w:cstheme="minorHAnsi"/>
          <w:lang w:val="es-CO"/>
        </w:rPr>
        <w:t>que</w:t>
      </w:r>
      <w:proofErr w:type="gramEnd"/>
      <w:r w:rsidRPr="0082710E">
        <w:rPr>
          <w:rFonts w:cstheme="minorHAnsi"/>
          <w:lang w:val="es-CO"/>
        </w:rPr>
        <w:t xml:space="preserve"> hasta ahora obra en el expediente, es evidente que si bien los Demandantes aportaron unos documentos para tratar de acreditar el supuesto daño emergente acaecido por los hechos del 16 de octubre de 2016. Los mismos no constituyen un medio de prueba que permita demostrar la existencia de los perjuicios que dicen sufrir los Accionantes, tal y como se expuso previamente. De este modo, dado que la parte Demandante no cumplió con la carga probatoria que le es exigible, el Juzgado no tiene otra alternativa diferente que negar las pretensiones de líbelo genitor, tendientes al reconocimiento del daño emergente pretendido.</w:t>
      </w:r>
    </w:p>
    <w:p w14:paraId="16507F4E" w14:textId="77777777" w:rsidR="00452DD4" w:rsidRPr="0082710E" w:rsidRDefault="00452DD4" w:rsidP="00452DD4">
      <w:pPr>
        <w:spacing w:after="0" w:line="276" w:lineRule="auto"/>
        <w:jc w:val="both"/>
        <w:rPr>
          <w:rFonts w:cstheme="minorHAnsi"/>
          <w:lang w:val="es-CO"/>
        </w:rPr>
      </w:pPr>
    </w:p>
    <w:p w14:paraId="29308E4E" w14:textId="77777777" w:rsidR="00452DD4" w:rsidRPr="00452DD4" w:rsidRDefault="00452DD4" w:rsidP="00452DD4">
      <w:pPr>
        <w:spacing w:after="0" w:line="276" w:lineRule="auto"/>
        <w:jc w:val="both"/>
        <w:rPr>
          <w:rFonts w:cstheme="minorHAnsi"/>
          <w:lang w:val="es-CO"/>
        </w:rPr>
      </w:pPr>
      <w:r>
        <w:rPr>
          <w:rFonts w:cstheme="minorHAnsi"/>
          <w:b/>
          <w:lang w:val="es-CO"/>
        </w:rPr>
        <w:lastRenderedPageBreak/>
        <w:t xml:space="preserve">4. </w:t>
      </w:r>
      <w:r w:rsidRPr="00452DD4">
        <w:rPr>
          <w:rFonts w:cstheme="minorHAnsi"/>
          <w:b/>
          <w:lang w:val="es-CO"/>
        </w:rPr>
        <w:t>Daño a salud:</w:t>
      </w:r>
      <w:r w:rsidRPr="00452DD4">
        <w:rPr>
          <w:rFonts w:cstheme="minorHAnsi"/>
          <w:lang w:val="es-CO"/>
        </w:rPr>
        <w:t xml:space="preserve"> Este tipo de daño es improcedente en la jurisdicción civil, por lo que no hay lugar a reconocer suma alguna por el mismo, pero es posible que el Despacho lo asimile al daño a la vida de relación y lo reconozca, por ello teniendo en cuenta el tipo de lesión (fractura expuesta de pie izquierdo, Edema, Deformidad y la fractura del calcáneo), se tendrá en cuenta la suma de $20.000.000.</w:t>
      </w:r>
    </w:p>
    <w:p w14:paraId="46D01E4D" w14:textId="77777777" w:rsidR="00452DD4" w:rsidRDefault="00452DD4" w:rsidP="00452DD4">
      <w:pPr>
        <w:spacing w:after="0" w:line="276" w:lineRule="auto"/>
        <w:jc w:val="both"/>
        <w:rPr>
          <w:rFonts w:cstheme="minorHAnsi"/>
          <w:lang w:val="es-CO"/>
        </w:rPr>
      </w:pPr>
    </w:p>
    <w:p w14:paraId="39275341" w14:textId="77777777" w:rsidR="00452DD4" w:rsidRPr="00C06A88" w:rsidRDefault="00452DD4" w:rsidP="00452DD4">
      <w:pPr>
        <w:spacing w:after="0" w:line="276" w:lineRule="auto"/>
        <w:jc w:val="both"/>
        <w:rPr>
          <w:rFonts w:cstheme="minorHAnsi"/>
          <w:b/>
          <w:u w:val="single"/>
          <w:lang w:val="es-CO"/>
        </w:rPr>
      </w:pPr>
      <w:r w:rsidRPr="00C06A88">
        <w:rPr>
          <w:rFonts w:cstheme="minorHAnsi"/>
          <w:b/>
          <w:u w:val="single"/>
          <w:lang w:val="es-CO"/>
        </w:rPr>
        <w:t>TOTAL: 163.177.202</w:t>
      </w:r>
    </w:p>
    <w:p w14:paraId="34B1B1F1" w14:textId="77777777" w:rsidR="00452DD4" w:rsidRPr="00456B1F" w:rsidRDefault="00452DD4" w:rsidP="00452DD4">
      <w:pPr>
        <w:spacing w:after="0" w:line="276" w:lineRule="auto"/>
        <w:jc w:val="both"/>
        <w:rPr>
          <w:rFonts w:cstheme="minorHAnsi"/>
          <w:lang w:val="es-CO"/>
        </w:rPr>
      </w:pPr>
    </w:p>
    <w:p w14:paraId="20042F6A" w14:textId="77777777" w:rsidR="00452DD4" w:rsidRPr="00456B1F" w:rsidRDefault="00452DD4" w:rsidP="00452DD4">
      <w:pPr>
        <w:spacing w:after="0" w:line="276" w:lineRule="auto"/>
        <w:jc w:val="both"/>
        <w:rPr>
          <w:rFonts w:cstheme="minorHAnsi"/>
          <w:lang w:val="es-CO"/>
        </w:rPr>
      </w:pPr>
      <w:r w:rsidRPr="00456B1F">
        <w:rPr>
          <w:rFonts w:cstheme="minorHAnsi"/>
          <w:b/>
          <w:u w:val="single"/>
          <w:lang w:val="es-CO"/>
        </w:rPr>
        <w:t>Análisis frente a la póliza:</w:t>
      </w:r>
      <w:r w:rsidRPr="00456B1F">
        <w:rPr>
          <w:rFonts w:cstheme="minorHAnsi"/>
          <w:lang w:val="es-CO"/>
        </w:rPr>
        <w:t xml:space="preserve"> </w:t>
      </w:r>
    </w:p>
    <w:p w14:paraId="5B9BA636" w14:textId="77777777" w:rsidR="00452DD4" w:rsidRPr="0082710E" w:rsidRDefault="00452DD4" w:rsidP="00452DD4">
      <w:pPr>
        <w:spacing w:after="0" w:line="276" w:lineRule="auto"/>
        <w:jc w:val="both"/>
        <w:rPr>
          <w:rFonts w:cstheme="minorHAnsi"/>
          <w:lang w:val="es-CO"/>
        </w:rPr>
      </w:pPr>
    </w:p>
    <w:p w14:paraId="7D444200" w14:textId="77777777" w:rsidR="00452DD4" w:rsidRDefault="00452DD4" w:rsidP="00452DD4">
      <w:pPr>
        <w:spacing w:after="0" w:line="276" w:lineRule="auto"/>
        <w:jc w:val="both"/>
        <w:rPr>
          <w:rFonts w:cstheme="minorHAnsi"/>
          <w:lang w:val="es-CO"/>
        </w:rPr>
      </w:pPr>
      <w:r w:rsidRPr="00456B1F">
        <w:rPr>
          <w:rFonts w:cstheme="minorHAnsi"/>
          <w:b/>
          <w:lang w:val="es-CO"/>
        </w:rPr>
        <w:t>Deducible:</w:t>
      </w:r>
      <w:r w:rsidRPr="0082710E">
        <w:rPr>
          <w:rFonts w:cstheme="minorHAnsi"/>
          <w:lang w:val="es-CO"/>
        </w:rPr>
        <w:t xml:space="preserve"> en la póliza de seguro se pactó un deducible de $1.500.000</w:t>
      </w:r>
      <w:r>
        <w:rPr>
          <w:rFonts w:cstheme="minorHAnsi"/>
          <w:lang w:val="es-CO"/>
        </w:rPr>
        <w:t xml:space="preserve">. </w:t>
      </w:r>
      <w:r w:rsidRPr="0082710E">
        <w:rPr>
          <w:rFonts w:cstheme="minorHAnsi"/>
          <w:lang w:val="es-CO"/>
        </w:rPr>
        <w:t>Por lo que una vez descontado el deducible de $1.500.000. el valor objeti</w:t>
      </w:r>
      <w:r>
        <w:rPr>
          <w:rFonts w:cstheme="minorHAnsi"/>
          <w:lang w:val="es-CO"/>
        </w:rPr>
        <w:t>vo de la contingencia es de $161.677.202.</w:t>
      </w:r>
    </w:p>
    <w:p w14:paraId="3EA4F8C7" w14:textId="77777777" w:rsidR="00452DD4" w:rsidRDefault="00452DD4" w:rsidP="00452DD4">
      <w:pPr>
        <w:pStyle w:val="Prrafodelista"/>
        <w:spacing w:after="0" w:line="276" w:lineRule="auto"/>
        <w:ind w:left="360"/>
        <w:jc w:val="both"/>
        <w:rPr>
          <w:rFonts w:cstheme="minorHAnsi"/>
          <w:lang w:val="es-CO"/>
        </w:rPr>
      </w:pPr>
    </w:p>
    <w:p w14:paraId="27DC9CEB" w14:textId="77777777" w:rsidR="002D0173" w:rsidRDefault="002D0173" w:rsidP="00452DD4">
      <w:pPr>
        <w:pStyle w:val="Prrafodelista"/>
        <w:spacing w:after="0" w:line="276" w:lineRule="auto"/>
        <w:ind w:left="360"/>
        <w:jc w:val="both"/>
        <w:rPr>
          <w:rFonts w:cstheme="minorHAnsi"/>
          <w:lang w:val="es-CO"/>
        </w:rPr>
      </w:pPr>
    </w:p>
    <w:p w14:paraId="2A82742D" w14:textId="1577B946" w:rsidR="002D0173" w:rsidRDefault="002D0173" w:rsidP="00452DD4">
      <w:pPr>
        <w:pStyle w:val="Prrafodelista"/>
        <w:spacing w:after="0" w:line="276" w:lineRule="auto"/>
        <w:ind w:left="360"/>
        <w:jc w:val="both"/>
        <w:rPr>
          <w:rFonts w:cstheme="minorHAnsi"/>
          <w:lang w:val="es-CO"/>
        </w:rPr>
      </w:pPr>
      <w:r>
        <w:rPr>
          <w:rFonts w:cstheme="minorHAnsi"/>
          <w:lang w:val="es-CO"/>
        </w:rPr>
        <w:t>____________________________________________________________-</w:t>
      </w:r>
    </w:p>
    <w:p w14:paraId="29C721A7" w14:textId="77777777" w:rsidR="002D0173" w:rsidRDefault="002D0173" w:rsidP="00452DD4">
      <w:pPr>
        <w:pStyle w:val="Prrafodelista"/>
        <w:spacing w:after="0" w:line="276" w:lineRule="auto"/>
        <w:ind w:left="360"/>
        <w:jc w:val="both"/>
        <w:rPr>
          <w:rFonts w:cstheme="minorHAnsi"/>
          <w:lang w:val="es-CO"/>
        </w:rPr>
      </w:pPr>
    </w:p>
    <w:p w14:paraId="04745173" w14:textId="77777777" w:rsidR="002D0173" w:rsidRDefault="002D0173" w:rsidP="00452DD4">
      <w:pPr>
        <w:pStyle w:val="Prrafodelista"/>
        <w:spacing w:after="0" w:line="276" w:lineRule="auto"/>
        <w:ind w:left="360"/>
        <w:jc w:val="both"/>
        <w:rPr>
          <w:rFonts w:cstheme="minorHAnsi"/>
          <w:lang w:val="es-CO"/>
        </w:rPr>
      </w:pPr>
    </w:p>
    <w:p w14:paraId="33D063F3" w14:textId="2B08D6F3" w:rsidR="002D0173" w:rsidRDefault="002D0173" w:rsidP="002D0173">
      <w:pPr>
        <w:spacing w:after="0" w:line="276" w:lineRule="auto"/>
        <w:jc w:val="both"/>
        <w:rPr>
          <w:rFonts w:cstheme="minorHAnsi"/>
          <w:lang w:val="es-CO"/>
        </w:rPr>
      </w:pPr>
      <w:r w:rsidRPr="002D0173">
        <w:rPr>
          <w:rFonts w:cstheme="minorHAnsi"/>
          <w:lang w:val="es-CO"/>
        </w:rPr>
        <w:t xml:space="preserve">Buen día, </w:t>
      </w:r>
    </w:p>
    <w:p w14:paraId="144B487A" w14:textId="77777777" w:rsidR="002D0173" w:rsidRPr="002D0173" w:rsidRDefault="002D0173" w:rsidP="002D0173">
      <w:pPr>
        <w:spacing w:after="0" w:line="276" w:lineRule="auto"/>
        <w:jc w:val="both"/>
        <w:rPr>
          <w:rFonts w:cstheme="minorHAnsi"/>
          <w:lang w:val="es-CO"/>
        </w:rPr>
      </w:pPr>
    </w:p>
    <w:p w14:paraId="740B8E2D" w14:textId="66731064" w:rsidR="002D0173" w:rsidRPr="002D0173" w:rsidRDefault="002D0173" w:rsidP="002D0173">
      <w:pPr>
        <w:spacing w:after="0" w:line="276" w:lineRule="auto"/>
        <w:jc w:val="both"/>
        <w:rPr>
          <w:rFonts w:cstheme="minorHAnsi"/>
          <w:lang w:val="es-CO"/>
        </w:rPr>
      </w:pPr>
      <w:r w:rsidRPr="002D0173">
        <w:rPr>
          <w:rFonts w:cstheme="minorHAnsi"/>
          <w:lang w:val="es-CO"/>
        </w:rPr>
        <w:t xml:space="preserve">De este caso la firma tramita los 4 procesos judiciales, de los cuales </w:t>
      </w:r>
      <w:r>
        <w:rPr>
          <w:rFonts w:cstheme="minorHAnsi"/>
          <w:lang w:val="es-CO"/>
        </w:rPr>
        <w:t>3</w:t>
      </w:r>
      <w:r w:rsidRPr="002D0173">
        <w:rPr>
          <w:rFonts w:cstheme="minorHAnsi"/>
          <w:lang w:val="es-CO"/>
        </w:rPr>
        <w:t xml:space="preserve"> tienen fallo favorable, por lo anterior, considero que el caso debe mantenerse en Remoto</w:t>
      </w:r>
      <w:r>
        <w:rPr>
          <w:rFonts w:cstheme="minorHAnsi"/>
          <w:lang w:val="es-CO"/>
        </w:rPr>
        <w:t xml:space="preserve"> </w:t>
      </w:r>
      <w:r w:rsidRPr="002D0173">
        <w:rPr>
          <w:rFonts w:cstheme="minorHAnsi"/>
          <w:lang w:val="es-CO"/>
        </w:rPr>
        <w:t>por lo</w:t>
      </w:r>
      <w:r>
        <w:rPr>
          <w:rFonts w:cstheme="minorHAnsi"/>
          <w:lang w:val="es-CO"/>
        </w:rPr>
        <w:t>s</w:t>
      </w:r>
      <w:r w:rsidRPr="002D0173">
        <w:rPr>
          <w:rFonts w:cstheme="minorHAnsi"/>
          <w:lang w:val="es-CO"/>
        </w:rPr>
        <w:t xml:space="preserve"> antecedentes y resultados de los demás casos</w:t>
      </w:r>
      <w:r>
        <w:rPr>
          <w:rFonts w:cstheme="minorHAnsi"/>
          <w:lang w:val="es-CO"/>
        </w:rPr>
        <w:t xml:space="preserve">, faltan argumentos para el cambio de contingencia. </w:t>
      </w:r>
    </w:p>
    <w:p w14:paraId="53C80A09" w14:textId="77777777" w:rsidR="002D0173" w:rsidRDefault="002D0173" w:rsidP="00452DD4">
      <w:pPr>
        <w:pStyle w:val="Prrafodelista"/>
        <w:spacing w:after="0" w:line="276" w:lineRule="auto"/>
        <w:ind w:left="360"/>
        <w:jc w:val="both"/>
        <w:rPr>
          <w:rFonts w:cstheme="minorHAnsi"/>
          <w:lang w:val="es-CO"/>
        </w:rPr>
      </w:pPr>
    </w:p>
    <w:tbl>
      <w:tblPr>
        <w:tblStyle w:val="Tablaconcuadrcula"/>
        <w:tblW w:w="0" w:type="auto"/>
        <w:tblLook w:val="04A0" w:firstRow="1" w:lastRow="0" w:firstColumn="1" w:lastColumn="0" w:noHBand="0" w:noVBand="1"/>
      </w:tblPr>
      <w:tblGrid>
        <w:gridCol w:w="1541"/>
        <w:gridCol w:w="1211"/>
        <w:gridCol w:w="2913"/>
        <w:gridCol w:w="1198"/>
        <w:gridCol w:w="3475"/>
      </w:tblGrid>
      <w:tr w:rsidR="002D0173" w:rsidRPr="002D0173" w14:paraId="1FCBEF04" w14:textId="77777777" w:rsidTr="002D0173">
        <w:trPr>
          <w:trHeight w:val="260"/>
        </w:trPr>
        <w:tc>
          <w:tcPr>
            <w:tcW w:w="1820" w:type="dxa"/>
            <w:noWrap/>
            <w:hideMark/>
          </w:tcPr>
          <w:p w14:paraId="1FBB6208" w14:textId="77777777" w:rsidR="002D0173" w:rsidRPr="002D0173" w:rsidRDefault="002D0173" w:rsidP="002D0173">
            <w:pPr>
              <w:spacing w:after="0" w:line="276" w:lineRule="auto"/>
              <w:jc w:val="both"/>
              <w:rPr>
                <w:rFonts w:cstheme="minorHAnsi"/>
                <w:b/>
                <w:bCs/>
                <w:lang w:val="es-CO"/>
              </w:rPr>
            </w:pPr>
            <w:r w:rsidRPr="002D0173">
              <w:rPr>
                <w:rFonts w:cstheme="minorHAnsi"/>
                <w:b/>
                <w:bCs/>
              </w:rPr>
              <w:t>SINIESTRO Y APL</w:t>
            </w:r>
          </w:p>
        </w:tc>
        <w:tc>
          <w:tcPr>
            <w:tcW w:w="1420" w:type="dxa"/>
            <w:noWrap/>
            <w:hideMark/>
          </w:tcPr>
          <w:p w14:paraId="72AC87F2" w14:textId="77777777" w:rsidR="002D0173" w:rsidRPr="002D0173" w:rsidRDefault="002D0173" w:rsidP="002D0173">
            <w:pPr>
              <w:spacing w:after="0" w:line="276" w:lineRule="auto"/>
              <w:jc w:val="both"/>
              <w:rPr>
                <w:rFonts w:cstheme="minorHAnsi"/>
                <w:b/>
                <w:bCs/>
              </w:rPr>
            </w:pPr>
            <w:r w:rsidRPr="002D0173">
              <w:rPr>
                <w:rFonts w:cstheme="minorHAnsi"/>
                <w:b/>
                <w:bCs/>
              </w:rPr>
              <w:t>LEGIS</w:t>
            </w:r>
          </w:p>
        </w:tc>
        <w:tc>
          <w:tcPr>
            <w:tcW w:w="3480" w:type="dxa"/>
            <w:noWrap/>
            <w:hideMark/>
          </w:tcPr>
          <w:p w14:paraId="5FE85436" w14:textId="77777777" w:rsidR="002D0173" w:rsidRPr="002D0173" w:rsidRDefault="002D0173" w:rsidP="002D0173">
            <w:pPr>
              <w:spacing w:after="0" w:line="276" w:lineRule="auto"/>
              <w:jc w:val="both"/>
              <w:rPr>
                <w:rFonts w:cstheme="minorHAnsi"/>
                <w:b/>
                <w:bCs/>
              </w:rPr>
            </w:pPr>
            <w:r w:rsidRPr="002D0173">
              <w:rPr>
                <w:rFonts w:cstheme="minorHAnsi"/>
                <w:b/>
                <w:bCs/>
              </w:rPr>
              <w:t>RADICADO</w:t>
            </w:r>
          </w:p>
        </w:tc>
        <w:tc>
          <w:tcPr>
            <w:tcW w:w="1199" w:type="dxa"/>
            <w:noWrap/>
            <w:hideMark/>
          </w:tcPr>
          <w:p w14:paraId="6EF37AD9" w14:textId="77777777" w:rsidR="002D0173" w:rsidRPr="002D0173" w:rsidRDefault="002D0173" w:rsidP="002D0173">
            <w:pPr>
              <w:spacing w:after="0" w:line="276" w:lineRule="auto"/>
              <w:jc w:val="both"/>
              <w:rPr>
                <w:rFonts w:cstheme="minorHAnsi"/>
                <w:b/>
                <w:bCs/>
              </w:rPr>
            </w:pPr>
            <w:r w:rsidRPr="002D0173">
              <w:rPr>
                <w:rFonts w:cstheme="minorHAnsi"/>
                <w:b/>
                <w:bCs/>
              </w:rPr>
              <w:t xml:space="preserve">Clase </w:t>
            </w:r>
            <w:proofErr w:type="spellStart"/>
            <w:r w:rsidRPr="002D0173">
              <w:rPr>
                <w:rFonts w:cstheme="minorHAnsi"/>
                <w:b/>
                <w:bCs/>
              </w:rPr>
              <w:t>Contingencia</w:t>
            </w:r>
            <w:proofErr w:type="spellEnd"/>
          </w:p>
        </w:tc>
        <w:tc>
          <w:tcPr>
            <w:tcW w:w="4160" w:type="dxa"/>
            <w:noWrap/>
            <w:hideMark/>
          </w:tcPr>
          <w:p w14:paraId="0DBCD1DE" w14:textId="77777777" w:rsidR="002D0173" w:rsidRPr="002D0173" w:rsidRDefault="002D0173" w:rsidP="002D0173">
            <w:pPr>
              <w:spacing w:after="0" w:line="276" w:lineRule="auto"/>
              <w:jc w:val="both"/>
              <w:rPr>
                <w:rFonts w:cstheme="minorHAnsi"/>
                <w:b/>
                <w:bCs/>
              </w:rPr>
            </w:pPr>
            <w:r w:rsidRPr="002D0173">
              <w:rPr>
                <w:rFonts w:cstheme="minorHAnsi"/>
                <w:b/>
                <w:bCs/>
              </w:rPr>
              <w:t xml:space="preserve">Estado </w:t>
            </w:r>
            <w:proofErr w:type="spellStart"/>
            <w:r w:rsidRPr="002D0173">
              <w:rPr>
                <w:rFonts w:cstheme="minorHAnsi"/>
                <w:b/>
                <w:bCs/>
              </w:rPr>
              <w:t>proceso</w:t>
            </w:r>
            <w:proofErr w:type="spellEnd"/>
            <w:r w:rsidRPr="002D0173">
              <w:rPr>
                <w:rFonts w:cstheme="minorHAnsi"/>
                <w:b/>
                <w:bCs/>
              </w:rPr>
              <w:t xml:space="preserve"> </w:t>
            </w:r>
          </w:p>
        </w:tc>
      </w:tr>
      <w:tr w:rsidR="002D0173" w:rsidRPr="002D0173" w14:paraId="7485CCF5" w14:textId="77777777" w:rsidTr="002D0173">
        <w:trPr>
          <w:trHeight w:val="260"/>
        </w:trPr>
        <w:tc>
          <w:tcPr>
            <w:tcW w:w="1820" w:type="dxa"/>
            <w:noWrap/>
            <w:hideMark/>
          </w:tcPr>
          <w:p w14:paraId="6D9D3D39" w14:textId="77777777" w:rsidR="002D0173" w:rsidRPr="002D0173" w:rsidRDefault="002D0173" w:rsidP="002D0173">
            <w:pPr>
              <w:spacing w:after="0" w:line="276" w:lineRule="auto"/>
              <w:jc w:val="both"/>
              <w:rPr>
                <w:rFonts w:cstheme="minorHAnsi"/>
              </w:rPr>
            </w:pPr>
            <w:r w:rsidRPr="002D0173">
              <w:rPr>
                <w:rFonts w:cstheme="minorHAnsi"/>
              </w:rPr>
              <w:t>50960075-41725</w:t>
            </w:r>
          </w:p>
        </w:tc>
        <w:tc>
          <w:tcPr>
            <w:tcW w:w="1420" w:type="dxa"/>
            <w:noWrap/>
            <w:hideMark/>
          </w:tcPr>
          <w:p w14:paraId="4442AC91" w14:textId="77777777" w:rsidR="002D0173" w:rsidRPr="002D0173" w:rsidRDefault="002D0173" w:rsidP="002D0173">
            <w:pPr>
              <w:spacing w:after="0" w:line="276" w:lineRule="auto"/>
              <w:jc w:val="both"/>
              <w:rPr>
                <w:rFonts w:cstheme="minorHAnsi"/>
              </w:rPr>
            </w:pPr>
            <w:r w:rsidRPr="002D0173">
              <w:rPr>
                <w:rFonts w:cstheme="minorHAnsi"/>
              </w:rPr>
              <w:t>APJ30281</w:t>
            </w:r>
          </w:p>
        </w:tc>
        <w:tc>
          <w:tcPr>
            <w:tcW w:w="3480" w:type="dxa"/>
            <w:noWrap/>
            <w:hideMark/>
          </w:tcPr>
          <w:p w14:paraId="4CE31011" w14:textId="77777777" w:rsidR="002D0173" w:rsidRPr="002D0173" w:rsidRDefault="002D0173" w:rsidP="002D0173">
            <w:pPr>
              <w:spacing w:after="0" w:line="276" w:lineRule="auto"/>
              <w:jc w:val="both"/>
              <w:rPr>
                <w:rFonts w:cstheme="minorHAnsi"/>
              </w:rPr>
            </w:pPr>
            <w:r w:rsidRPr="002D0173">
              <w:rPr>
                <w:rFonts w:cstheme="minorHAnsi"/>
              </w:rPr>
              <w:t>27361311300120200005600</w:t>
            </w:r>
          </w:p>
        </w:tc>
        <w:tc>
          <w:tcPr>
            <w:tcW w:w="1199" w:type="dxa"/>
            <w:noWrap/>
            <w:hideMark/>
          </w:tcPr>
          <w:p w14:paraId="3DEC2A67" w14:textId="77777777" w:rsidR="002D0173" w:rsidRPr="002D0173" w:rsidRDefault="002D0173" w:rsidP="002D0173">
            <w:pPr>
              <w:spacing w:after="0" w:line="276" w:lineRule="auto"/>
              <w:jc w:val="both"/>
              <w:rPr>
                <w:rFonts w:cstheme="minorHAnsi"/>
              </w:rPr>
            </w:pPr>
            <w:proofErr w:type="spellStart"/>
            <w:r w:rsidRPr="002D0173">
              <w:rPr>
                <w:rFonts w:cstheme="minorHAnsi"/>
              </w:rPr>
              <w:t>Remota</w:t>
            </w:r>
            <w:proofErr w:type="spellEnd"/>
          </w:p>
        </w:tc>
        <w:tc>
          <w:tcPr>
            <w:tcW w:w="4160" w:type="dxa"/>
            <w:noWrap/>
            <w:hideMark/>
          </w:tcPr>
          <w:p w14:paraId="28237D2C" w14:textId="77777777" w:rsidR="002D0173" w:rsidRPr="002D0173" w:rsidRDefault="002D0173" w:rsidP="002D0173">
            <w:pPr>
              <w:spacing w:after="0" w:line="276" w:lineRule="auto"/>
              <w:jc w:val="both"/>
              <w:rPr>
                <w:rFonts w:cstheme="minorHAnsi"/>
              </w:rPr>
            </w:pPr>
            <w:r w:rsidRPr="002D0173">
              <w:rPr>
                <w:rFonts w:cstheme="minorHAnsi"/>
              </w:rPr>
              <w:t xml:space="preserve">Fallo </w:t>
            </w:r>
            <w:proofErr w:type="spellStart"/>
            <w:r w:rsidRPr="002D0173">
              <w:rPr>
                <w:rFonts w:cstheme="minorHAnsi"/>
              </w:rPr>
              <w:t>primera</w:t>
            </w:r>
            <w:proofErr w:type="spellEnd"/>
            <w:r w:rsidRPr="002D0173">
              <w:rPr>
                <w:rFonts w:cstheme="minorHAnsi"/>
              </w:rPr>
              <w:t xml:space="preserve"> </w:t>
            </w:r>
            <w:proofErr w:type="spellStart"/>
            <w:r w:rsidRPr="002D0173">
              <w:rPr>
                <w:rFonts w:cstheme="minorHAnsi"/>
              </w:rPr>
              <w:t>instancia</w:t>
            </w:r>
            <w:proofErr w:type="spellEnd"/>
            <w:r w:rsidRPr="002D0173">
              <w:rPr>
                <w:rFonts w:cstheme="minorHAnsi"/>
              </w:rPr>
              <w:t xml:space="preserve"> a favor</w:t>
            </w:r>
          </w:p>
        </w:tc>
      </w:tr>
      <w:tr w:rsidR="002D0173" w:rsidRPr="002D0173" w14:paraId="36F1D1A5" w14:textId="77777777" w:rsidTr="002D0173">
        <w:trPr>
          <w:trHeight w:val="260"/>
        </w:trPr>
        <w:tc>
          <w:tcPr>
            <w:tcW w:w="1820" w:type="dxa"/>
            <w:noWrap/>
            <w:hideMark/>
          </w:tcPr>
          <w:p w14:paraId="4C14DA40" w14:textId="77777777" w:rsidR="002D0173" w:rsidRPr="002D0173" w:rsidRDefault="002D0173" w:rsidP="002D0173">
            <w:pPr>
              <w:spacing w:after="0" w:line="276" w:lineRule="auto"/>
              <w:jc w:val="both"/>
              <w:rPr>
                <w:rFonts w:cstheme="minorHAnsi"/>
              </w:rPr>
            </w:pPr>
            <w:r w:rsidRPr="002D0173">
              <w:rPr>
                <w:rFonts w:cstheme="minorHAnsi"/>
              </w:rPr>
              <w:t>50960075-51967</w:t>
            </w:r>
          </w:p>
        </w:tc>
        <w:tc>
          <w:tcPr>
            <w:tcW w:w="1420" w:type="dxa"/>
            <w:noWrap/>
            <w:hideMark/>
          </w:tcPr>
          <w:p w14:paraId="57059DD8" w14:textId="77777777" w:rsidR="002D0173" w:rsidRPr="002D0173" w:rsidRDefault="002D0173" w:rsidP="002D0173">
            <w:pPr>
              <w:spacing w:after="0" w:line="276" w:lineRule="auto"/>
              <w:jc w:val="both"/>
              <w:rPr>
                <w:rFonts w:cstheme="minorHAnsi"/>
              </w:rPr>
            </w:pPr>
            <w:r w:rsidRPr="002D0173">
              <w:rPr>
                <w:rFonts w:cstheme="minorHAnsi"/>
              </w:rPr>
              <w:t>APJ30525</w:t>
            </w:r>
          </w:p>
        </w:tc>
        <w:tc>
          <w:tcPr>
            <w:tcW w:w="3480" w:type="dxa"/>
            <w:noWrap/>
            <w:hideMark/>
          </w:tcPr>
          <w:p w14:paraId="0D854415" w14:textId="77777777" w:rsidR="002D0173" w:rsidRPr="002D0173" w:rsidRDefault="002D0173" w:rsidP="002D0173">
            <w:pPr>
              <w:spacing w:after="0" w:line="276" w:lineRule="auto"/>
              <w:jc w:val="both"/>
              <w:rPr>
                <w:rFonts w:cstheme="minorHAnsi"/>
              </w:rPr>
            </w:pPr>
            <w:r w:rsidRPr="002D0173">
              <w:rPr>
                <w:rFonts w:cstheme="minorHAnsi"/>
              </w:rPr>
              <w:t>27361311300120200001300</w:t>
            </w:r>
          </w:p>
        </w:tc>
        <w:tc>
          <w:tcPr>
            <w:tcW w:w="1199" w:type="dxa"/>
            <w:noWrap/>
            <w:hideMark/>
          </w:tcPr>
          <w:p w14:paraId="4C91A096" w14:textId="77777777" w:rsidR="002D0173" w:rsidRPr="002D0173" w:rsidRDefault="002D0173" w:rsidP="002D0173">
            <w:pPr>
              <w:spacing w:after="0" w:line="276" w:lineRule="auto"/>
              <w:jc w:val="both"/>
              <w:rPr>
                <w:rFonts w:cstheme="minorHAnsi"/>
              </w:rPr>
            </w:pPr>
            <w:proofErr w:type="spellStart"/>
            <w:r w:rsidRPr="002D0173">
              <w:rPr>
                <w:rFonts w:cstheme="minorHAnsi"/>
              </w:rPr>
              <w:t>Remota</w:t>
            </w:r>
            <w:proofErr w:type="spellEnd"/>
          </w:p>
        </w:tc>
        <w:tc>
          <w:tcPr>
            <w:tcW w:w="4160" w:type="dxa"/>
            <w:noWrap/>
            <w:hideMark/>
          </w:tcPr>
          <w:p w14:paraId="09CA74DC" w14:textId="77777777" w:rsidR="002D0173" w:rsidRPr="002D0173" w:rsidRDefault="002D0173" w:rsidP="002D0173">
            <w:pPr>
              <w:spacing w:after="0" w:line="276" w:lineRule="auto"/>
              <w:jc w:val="both"/>
              <w:rPr>
                <w:rFonts w:cstheme="minorHAnsi"/>
              </w:rPr>
            </w:pPr>
            <w:proofErr w:type="spellStart"/>
            <w:r w:rsidRPr="002D0173">
              <w:rPr>
                <w:rFonts w:cstheme="minorHAnsi"/>
              </w:rPr>
              <w:t>Contestación</w:t>
            </w:r>
            <w:proofErr w:type="spellEnd"/>
            <w:r w:rsidRPr="002D0173">
              <w:rPr>
                <w:rFonts w:cstheme="minorHAnsi"/>
              </w:rPr>
              <w:t xml:space="preserve"> de la </w:t>
            </w:r>
            <w:proofErr w:type="spellStart"/>
            <w:r w:rsidRPr="002D0173">
              <w:rPr>
                <w:rFonts w:cstheme="minorHAnsi"/>
              </w:rPr>
              <w:t>demanda</w:t>
            </w:r>
            <w:proofErr w:type="spellEnd"/>
          </w:p>
        </w:tc>
      </w:tr>
      <w:tr w:rsidR="002D0173" w:rsidRPr="002D0173" w14:paraId="79B1BDC8" w14:textId="77777777" w:rsidTr="002D0173">
        <w:trPr>
          <w:trHeight w:val="260"/>
        </w:trPr>
        <w:tc>
          <w:tcPr>
            <w:tcW w:w="1820" w:type="dxa"/>
            <w:noWrap/>
            <w:hideMark/>
          </w:tcPr>
          <w:p w14:paraId="760489D8" w14:textId="77777777" w:rsidR="002D0173" w:rsidRPr="002D0173" w:rsidRDefault="002D0173" w:rsidP="002D0173">
            <w:pPr>
              <w:spacing w:after="0" w:line="276" w:lineRule="auto"/>
              <w:jc w:val="both"/>
              <w:rPr>
                <w:rFonts w:cstheme="minorHAnsi"/>
              </w:rPr>
            </w:pPr>
            <w:r w:rsidRPr="002D0173">
              <w:rPr>
                <w:rFonts w:cstheme="minorHAnsi"/>
              </w:rPr>
              <w:t>50960075-52214</w:t>
            </w:r>
          </w:p>
        </w:tc>
        <w:tc>
          <w:tcPr>
            <w:tcW w:w="1420" w:type="dxa"/>
            <w:noWrap/>
            <w:hideMark/>
          </w:tcPr>
          <w:p w14:paraId="27291AAE" w14:textId="77777777" w:rsidR="002D0173" w:rsidRPr="002D0173" w:rsidRDefault="002D0173" w:rsidP="002D0173">
            <w:pPr>
              <w:spacing w:after="0" w:line="276" w:lineRule="auto"/>
              <w:jc w:val="both"/>
              <w:rPr>
                <w:rFonts w:cstheme="minorHAnsi"/>
              </w:rPr>
            </w:pPr>
            <w:r w:rsidRPr="002D0173">
              <w:rPr>
                <w:rFonts w:cstheme="minorHAnsi"/>
              </w:rPr>
              <w:t>APJ30800</w:t>
            </w:r>
          </w:p>
        </w:tc>
        <w:tc>
          <w:tcPr>
            <w:tcW w:w="3480" w:type="dxa"/>
            <w:noWrap/>
            <w:hideMark/>
          </w:tcPr>
          <w:p w14:paraId="6EF15EBF" w14:textId="77777777" w:rsidR="002D0173" w:rsidRPr="002D0173" w:rsidRDefault="002D0173" w:rsidP="002D0173">
            <w:pPr>
              <w:spacing w:after="0" w:line="276" w:lineRule="auto"/>
              <w:jc w:val="both"/>
              <w:rPr>
                <w:rFonts w:cstheme="minorHAnsi"/>
              </w:rPr>
            </w:pPr>
            <w:r w:rsidRPr="002D0173">
              <w:rPr>
                <w:rFonts w:cstheme="minorHAnsi"/>
              </w:rPr>
              <w:t>27361311300220200004700</w:t>
            </w:r>
          </w:p>
        </w:tc>
        <w:tc>
          <w:tcPr>
            <w:tcW w:w="1199" w:type="dxa"/>
            <w:noWrap/>
            <w:hideMark/>
          </w:tcPr>
          <w:p w14:paraId="3CCCC7EA" w14:textId="77777777" w:rsidR="002D0173" w:rsidRPr="002D0173" w:rsidRDefault="002D0173" w:rsidP="002D0173">
            <w:pPr>
              <w:spacing w:after="0" w:line="276" w:lineRule="auto"/>
              <w:jc w:val="both"/>
              <w:rPr>
                <w:rFonts w:cstheme="minorHAnsi"/>
              </w:rPr>
            </w:pPr>
            <w:proofErr w:type="spellStart"/>
            <w:r w:rsidRPr="002D0173">
              <w:rPr>
                <w:rFonts w:cstheme="minorHAnsi"/>
              </w:rPr>
              <w:t>Remota</w:t>
            </w:r>
            <w:proofErr w:type="spellEnd"/>
          </w:p>
        </w:tc>
        <w:tc>
          <w:tcPr>
            <w:tcW w:w="4160" w:type="dxa"/>
            <w:noWrap/>
            <w:hideMark/>
          </w:tcPr>
          <w:p w14:paraId="171E1FAC" w14:textId="77777777" w:rsidR="002D0173" w:rsidRPr="002D0173" w:rsidRDefault="002D0173" w:rsidP="002D0173">
            <w:pPr>
              <w:spacing w:after="0" w:line="276" w:lineRule="auto"/>
              <w:jc w:val="both"/>
              <w:rPr>
                <w:rFonts w:cstheme="minorHAnsi"/>
              </w:rPr>
            </w:pPr>
            <w:r w:rsidRPr="002D0173">
              <w:rPr>
                <w:rFonts w:cstheme="minorHAnsi"/>
              </w:rPr>
              <w:t xml:space="preserve">Fallo </w:t>
            </w:r>
            <w:proofErr w:type="spellStart"/>
            <w:r w:rsidRPr="002D0173">
              <w:rPr>
                <w:rFonts w:cstheme="minorHAnsi"/>
              </w:rPr>
              <w:t>primera</w:t>
            </w:r>
            <w:proofErr w:type="spellEnd"/>
            <w:r w:rsidRPr="002D0173">
              <w:rPr>
                <w:rFonts w:cstheme="minorHAnsi"/>
              </w:rPr>
              <w:t xml:space="preserve"> </w:t>
            </w:r>
            <w:proofErr w:type="spellStart"/>
            <w:r w:rsidRPr="002D0173">
              <w:rPr>
                <w:rFonts w:cstheme="minorHAnsi"/>
              </w:rPr>
              <w:t>instancia</w:t>
            </w:r>
            <w:proofErr w:type="spellEnd"/>
            <w:r w:rsidRPr="002D0173">
              <w:rPr>
                <w:rFonts w:cstheme="minorHAnsi"/>
              </w:rPr>
              <w:t xml:space="preserve"> a favor</w:t>
            </w:r>
          </w:p>
        </w:tc>
      </w:tr>
      <w:tr w:rsidR="002D0173" w:rsidRPr="002D0173" w14:paraId="7C0C5534" w14:textId="77777777" w:rsidTr="002D0173">
        <w:trPr>
          <w:trHeight w:val="260"/>
        </w:trPr>
        <w:tc>
          <w:tcPr>
            <w:tcW w:w="1820" w:type="dxa"/>
            <w:noWrap/>
            <w:hideMark/>
          </w:tcPr>
          <w:p w14:paraId="32CA999E" w14:textId="77777777" w:rsidR="002D0173" w:rsidRPr="002D0173" w:rsidRDefault="002D0173" w:rsidP="002D0173">
            <w:pPr>
              <w:spacing w:after="0" w:line="276" w:lineRule="auto"/>
              <w:jc w:val="both"/>
              <w:rPr>
                <w:rFonts w:cstheme="minorHAnsi"/>
              </w:rPr>
            </w:pPr>
            <w:r w:rsidRPr="002D0173">
              <w:rPr>
                <w:rFonts w:cstheme="minorHAnsi"/>
              </w:rPr>
              <w:t>50960075-52305</w:t>
            </w:r>
          </w:p>
        </w:tc>
        <w:tc>
          <w:tcPr>
            <w:tcW w:w="1420" w:type="dxa"/>
            <w:noWrap/>
            <w:hideMark/>
          </w:tcPr>
          <w:p w14:paraId="217414E6" w14:textId="77777777" w:rsidR="002D0173" w:rsidRPr="002D0173" w:rsidRDefault="002D0173" w:rsidP="002D0173">
            <w:pPr>
              <w:spacing w:after="0" w:line="276" w:lineRule="auto"/>
              <w:jc w:val="both"/>
              <w:rPr>
                <w:rFonts w:cstheme="minorHAnsi"/>
              </w:rPr>
            </w:pPr>
            <w:r w:rsidRPr="002D0173">
              <w:rPr>
                <w:rFonts w:cstheme="minorHAnsi"/>
              </w:rPr>
              <w:t>APJ30879</w:t>
            </w:r>
          </w:p>
        </w:tc>
        <w:tc>
          <w:tcPr>
            <w:tcW w:w="3480" w:type="dxa"/>
            <w:noWrap/>
            <w:hideMark/>
          </w:tcPr>
          <w:p w14:paraId="7D526E81" w14:textId="77777777" w:rsidR="002D0173" w:rsidRPr="002D0173" w:rsidRDefault="002D0173" w:rsidP="002D0173">
            <w:pPr>
              <w:spacing w:after="0" w:line="276" w:lineRule="auto"/>
              <w:jc w:val="both"/>
              <w:rPr>
                <w:rFonts w:cstheme="minorHAnsi"/>
              </w:rPr>
            </w:pPr>
            <w:r w:rsidRPr="002D0173">
              <w:rPr>
                <w:rFonts w:cstheme="minorHAnsi"/>
              </w:rPr>
              <w:t>27361311200120210009000</w:t>
            </w:r>
          </w:p>
        </w:tc>
        <w:tc>
          <w:tcPr>
            <w:tcW w:w="1199" w:type="dxa"/>
            <w:noWrap/>
            <w:hideMark/>
          </w:tcPr>
          <w:p w14:paraId="5E66387B" w14:textId="77777777" w:rsidR="002D0173" w:rsidRPr="002D0173" w:rsidRDefault="002D0173" w:rsidP="002D0173">
            <w:pPr>
              <w:spacing w:after="0" w:line="276" w:lineRule="auto"/>
              <w:jc w:val="both"/>
              <w:rPr>
                <w:rFonts w:cstheme="minorHAnsi"/>
              </w:rPr>
            </w:pPr>
            <w:proofErr w:type="spellStart"/>
            <w:r w:rsidRPr="002D0173">
              <w:rPr>
                <w:rFonts w:cstheme="minorHAnsi"/>
              </w:rPr>
              <w:t>Remota</w:t>
            </w:r>
            <w:proofErr w:type="spellEnd"/>
          </w:p>
        </w:tc>
        <w:tc>
          <w:tcPr>
            <w:tcW w:w="4160" w:type="dxa"/>
            <w:noWrap/>
            <w:hideMark/>
          </w:tcPr>
          <w:p w14:paraId="1291BD00" w14:textId="77777777" w:rsidR="002D0173" w:rsidRPr="002D0173" w:rsidRDefault="002D0173" w:rsidP="002D0173">
            <w:pPr>
              <w:spacing w:after="0" w:line="276" w:lineRule="auto"/>
              <w:jc w:val="both"/>
              <w:rPr>
                <w:rFonts w:cstheme="minorHAnsi"/>
              </w:rPr>
            </w:pPr>
            <w:proofErr w:type="spellStart"/>
            <w:r w:rsidRPr="002D0173">
              <w:rPr>
                <w:rFonts w:cstheme="minorHAnsi"/>
              </w:rPr>
              <w:t>fallo</w:t>
            </w:r>
            <w:proofErr w:type="spellEnd"/>
            <w:r w:rsidRPr="002D0173">
              <w:rPr>
                <w:rFonts w:cstheme="minorHAnsi"/>
              </w:rPr>
              <w:t xml:space="preserve"> de </w:t>
            </w:r>
            <w:proofErr w:type="spellStart"/>
            <w:r w:rsidRPr="002D0173">
              <w:rPr>
                <w:rFonts w:cstheme="minorHAnsi"/>
              </w:rPr>
              <w:t>primera</w:t>
            </w:r>
            <w:proofErr w:type="spellEnd"/>
            <w:r w:rsidRPr="002D0173">
              <w:rPr>
                <w:rFonts w:cstheme="minorHAnsi"/>
              </w:rPr>
              <w:t xml:space="preserve"> </w:t>
            </w:r>
            <w:proofErr w:type="spellStart"/>
            <w:r w:rsidRPr="002D0173">
              <w:rPr>
                <w:rFonts w:cstheme="minorHAnsi"/>
              </w:rPr>
              <w:t>instancia</w:t>
            </w:r>
            <w:proofErr w:type="spellEnd"/>
            <w:r w:rsidRPr="002D0173">
              <w:rPr>
                <w:rFonts w:cstheme="minorHAnsi"/>
              </w:rPr>
              <w:t xml:space="preserve"> a favor</w:t>
            </w:r>
          </w:p>
        </w:tc>
      </w:tr>
    </w:tbl>
    <w:p w14:paraId="38A4C05B" w14:textId="36174E81" w:rsidR="002D0173" w:rsidRDefault="002D0173" w:rsidP="002D0173">
      <w:pPr>
        <w:spacing w:after="0" w:line="276" w:lineRule="auto"/>
        <w:jc w:val="both"/>
        <w:rPr>
          <w:rFonts w:cstheme="minorHAnsi"/>
          <w:lang w:val="es-CO"/>
        </w:rPr>
      </w:pPr>
    </w:p>
    <w:p w14:paraId="30EA699A" w14:textId="77777777" w:rsidR="002D0173" w:rsidRDefault="002D0173" w:rsidP="002D0173">
      <w:pPr>
        <w:spacing w:after="0" w:line="276" w:lineRule="auto"/>
        <w:jc w:val="both"/>
        <w:rPr>
          <w:rFonts w:cstheme="minorHAnsi"/>
          <w:lang w:val="es-CO"/>
        </w:rPr>
      </w:pPr>
    </w:p>
    <w:p w14:paraId="16CA2ACE" w14:textId="2EEDAD71" w:rsidR="002D0173" w:rsidRPr="002D0173" w:rsidRDefault="002D0173" w:rsidP="002D0173">
      <w:pPr>
        <w:spacing w:after="0" w:line="276" w:lineRule="auto"/>
        <w:jc w:val="both"/>
        <w:rPr>
          <w:rFonts w:cstheme="minorHAnsi"/>
          <w:lang w:val="es-CO"/>
        </w:rPr>
      </w:pPr>
      <w:r>
        <w:rPr>
          <w:rFonts w:cstheme="minorHAnsi"/>
          <w:lang w:val="es-CO"/>
        </w:rPr>
        <w:t xml:space="preserve">Se actualiza la tasación objetivada. </w:t>
      </w:r>
    </w:p>
    <w:sectPr w:rsidR="002D0173" w:rsidRPr="002D0173" w:rsidSect="00DE2886">
      <w:headerReference w:type="even" r:id="rId7"/>
      <w:headerReference w:type="default" r:id="rId8"/>
      <w:headerReference w:type="first" r:id="rId9"/>
      <w:pgSz w:w="12240" w:h="15840"/>
      <w:pgMar w:top="709" w:right="104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6ECC" w14:textId="77777777" w:rsidR="00DE2886" w:rsidRDefault="00DE2886" w:rsidP="002D0173">
      <w:pPr>
        <w:spacing w:after="0" w:line="240" w:lineRule="auto"/>
      </w:pPr>
      <w:r>
        <w:separator/>
      </w:r>
    </w:p>
  </w:endnote>
  <w:endnote w:type="continuationSeparator" w:id="0">
    <w:p w14:paraId="11C45695" w14:textId="77777777" w:rsidR="00DE2886" w:rsidRDefault="00DE2886" w:rsidP="002D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FCE8" w14:textId="77777777" w:rsidR="00DE2886" w:rsidRDefault="00DE2886" w:rsidP="002D0173">
      <w:pPr>
        <w:spacing w:after="0" w:line="240" w:lineRule="auto"/>
      </w:pPr>
      <w:r>
        <w:separator/>
      </w:r>
    </w:p>
  </w:footnote>
  <w:footnote w:type="continuationSeparator" w:id="0">
    <w:p w14:paraId="1670CAA3" w14:textId="77777777" w:rsidR="00DE2886" w:rsidRDefault="00DE2886" w:rsidP="002D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C3F8" w14:textId="4638D2A1" w:rsidR="002D0173" w:rsidRDefault="002D0173">
    <w:pPr>
      <w:pStyle w:val="Encabezado"/>
    </w:pPr>
    <w:r>
      <w:rPr>
        <w:noProof/>
      </w:rPr>
      <mc:AlternateContent>
        <mc:Choice Requires="wps">
          <w:drawing>
            <wp:anchor distT="0" distB="0" distL="0" distR="0" simplePos="0" relativeHeight="251659264" behindDoc="0" locked="0" layoutInCell="1" allowOverlap="1" wp14:anchorId="0CF54022" wp14:editId="07BC94F3">
              <wp:simplePos x="635" y="635"/>
              <wp:positionH relativeFrom="page">
                <wp:align>center</wp:align>
              </wp:positionH>
              <wp:positionV relativeFrom="page">
                <wp:align>top</wp:align>
              </wp:positionV>
              <wp:extent cx="443865" cy="443865"/>
              <wp:effectExtent l="0" t="0" r="13335" b="4445"/>
              <wp:wrapNone/>
              <wp:docPr id="557076140"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3A5E3" w14:textId="045FC69E" w:rsidR="002D0173" w:rsidRPr="002D0173" w:rsidRDefault="002D0173" w:rsidP="002D0173">
                          <w:pPr>
                            <w:spacing w:after="0"/>
                            <w:rPr>
                              <w:rFonts w:ascii="Calibri" w:eastAsia="Calibri" w:hAnsi="Calibri" w:cs="Calibri"/>
                              <w:noProof/>
                              <w:color w:val="000000"/>
                              <w:sz w:val="20"/>
                              <w:szCs w:val="20"/>
                            </w:rPr>
                          </w:pPr>
                          <w:r w:rsidRPr="002D0173">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F54022"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CE3A5E3" w14:textId="045FC69E" w:rsidR="002D0173" w:rsidRPr="002D0173" w:rsidRDefault="002D0173" w:rsidP="002D0173">
                    <w:pPr>
                      <w:spacing w:after="0"/>
                      <w:rPr>
                        <w:rFonts w:ascii="Calibri" w:eastAsia="Calibri" w:hAnsi="Calibri" w:cs="Calibri"/>
                        <w:noProof/>
                        <w:color w:val="000000"/>
                        <w:sz w:val="20"/>
                        <w:szCs w:val="20"/>
                      </w:rPr>
                    </w:pPr>
                    <w:r w:rsidRPr="002D0173">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4FBA" w14:textId="7F3BD3ED" w:rsidR="002D0173" w:rsidRDefault="002D0173">
    <w:pPr>
      <w:pStyle w:val="Encabezado"/>
    </w:pPr>
    <w:r>
      <w:rPr>
        <w:noProof/>
      </w:rPr>
      <mc:AlternateContent>
        <mc:Choice Requires="wps">
          <w:drawing>
            <wp:anchor distT="0" distB="0" distL="0" distR="0" simplePos="0" relativeHeight="251660288" behindDoc="0" locked="0" layoutInCell="1" allowOverlap="1" wp14:anchorId="353E369D" wp14:editId="5DF63D4C">
              <wp:simplePos x="542925" y="447675"/>
              <wp:positionH relativeFrom="page">
                <wp:align>center</wp:align>
              </wp:positionH>
              <wp:positionV relativeFrom="page">
                <wp:align>top</wp:align>
              </wp:positionV>
              <wp:extent cx="443865" cy="443865"/>
              <wp:effectExtent l="0" t="0" r="13335" b="4445"/>
              <wp:wrapNone/>
              <wp:docPr id="25261113"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F5E82" w14:textId="53194CAF" w:rsidR="002D0173" w:rsidRPr="002D0173" w:rsidRDefault="002D0173" w:rsidP="002D0173">
                          <w:pPr>
                            <w:spacing w:after="0"/>
                            <w:rPr>
                              <w:rFonts w:ascii="Calibri" w:eastAsia="Calibri" w:hAnsi="Calibri" w:cs="Calibri"/>
                              <w:noProof/>
                              <w:color w:val="000000"/>
                              <w:sz w:val="20"/>
                              <w:szCs w:val="20"/>
                            </w:rPr>
                          </w:pPr>
                          <w:r w:rsidRPr="002D0173">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369D"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D3F5E82" w14:textId="53194CAF" w:rsidR="002D0173" w:rsidRPr="002D0173" w:rsidRDefault="002D0173" w:rsidP="002D0173">
                    <w:pPr>
                      <w:spacing w:after="0"/>
                      <w:rPr>
                        <w:rFonts w:ascii="Calibri" w:eastAsia="Calibri" w:hAnsi="Calibri" w:cs="Calibri"/>
                        <w:noProof/>
                        <w:color w:val="000000"/>
                        <w:sz w:val="20"/>
                        <w:szCs w:val="20"/>
                      </w:rPr>
                    </w:pPr>
                    <w:r w:rsidRPr="002D0173">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BB66" w14:textId="516AC5B0" w:rsidR="002D0173" w:rsidRDefault="002D0173">
    <w:pPr>
      <w:pStyle w:val="Encabezado"/>
    </w:pPr>
    <w:r>
      <w:rPr>
        <w:noProof/>
      </w:rPr>
      <mc:AlternateContent>
        <mc:Choice Requires="wps">
          <w:drawing>
            <wp:anchor distT="0" distB="0" distL="0" distR="0" simplePos="0" relativeHeight="251658240" behindDoc="0" locked="0" layoutInCell="1" allowOverlap="1" wp14:anchorId="082EDF03" wp14:editId="6A057E05">
              <wp:simplePos x="635" y="635"/>
              <wp:positionH relativeFrom="page">
                <wp:align>center</wp:align>
              </wp:positionH>
              <wp:positionV relativeFrom="page">
                <wp:align>top</wp:align>
              </wp:positionV>
              <wp:extent cx="443865" cy="443865"/>
              <wp:effectExtent l="0" t="0" r="13335" b="4445"/>
              <wp:wrapNone/>
              <wp:docPr id="1863332335"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4403B" w14:textId="042111CC" w:rsidR="002D0173" w:rsidRPr="002D0173" w:rsidRDefault="002D0173" w:rsidP="002D0173">
                          <w:pPr>
                            <w:spacing w:after="0"/>
                            <w:rPr>
                              <w:rFonts w:ascii="Calibri" w:eastAsia="Calibri" w:hAnsi="Calibri" w:cs="Calibri"/>
                              <w:noProof/>
                              <w:color w:val="000000"/>
                              <w:sz w:val="20"/>
                              <w:szCs w:val="20"/>
                            </w:rPr>
                          </w:pPr>
                          <w:r w:rsidRPr="002D0173">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EDF03"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E04403B" w14:textId="042111CC" w:rsidR="002D0173" w:rsidRPr="002D0173" w:rsidRDefault="002D0173" w:rsidP="002D0173">
                    <w:pPr>
                      <w:spacing w:after="0"/>
                      <w:rPr>
                        <w:rFonts w:ascii="Calibri" w:eastAsia="Calibri" w:hAnsi="Calibri" w:cs="Calibri"/>
                        <w:noProof/>
                        <w:color w:val="000000"/>
                        <w:sz w:val="20"/>
                        <w:szCs w:val="20"/>
                      </w:rPr>
                    </w:pPr>
                    <w:r w:rsidRPr="002D0173">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826DF4"/>
    <w:multiLevelType w:val="hybridMultilevel"/>
    <w:tmpl w:val="C268A062"/>
    <w:lvl w:ilvl="0" w:tplc="2BF23DCA">
      <w:start w:val="1"/>
      <w:numFmt w:val="decimal"/>
      <w:lvlText w:val="%1."/>
      <w:lvlJc w:val="left"/>
      <w:pPr>
        <w:ind w:left="360" w:hanging="360"/>
      </w:pPr>
      <w:rPr>
        <w:rFonts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838420951">
    <w:abstractNumId w:val="0"/>
  </w:num>
  <w:num w:numId="2" w16cid:durableId="192479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D4"/>
    <w:rsid w:val="002638C1"/>
    <w:rsid w:val="002D0173"/>
    <w:rsid w:val="003F39D0"/>
    <w:rsid w:val="00452DD4"/>
    <w:rsid w:val="005673F4"/>
    <w:rsid w:val="00B401B9"/>
    <w:rsid w:val="00BD5A64"/>
    <w:rsid w:val="00D5765E"/>
    <w:rsid w:val="00DE2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CAC3"/>
  <w15:chartTrackingRefBased/>
  <w15:docId w15:val="{0CD80555-38FF-49BC-A5BD-A30EDD8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DD4"/>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2DD4"/>
    <w:pPr>
      <w:ind w:left="720"/>
      <w:contextualSpacing/>
    </w:pPr>
  </w:style>
  <w:style w:type="paragraph" w:styleId="NormalWeb">
    <w:name w:val="Normal (Web)"/>
    <w:basedOn w:val="Normal"/>
    <w:uiPriority w:val="99"/>
    <w:unhideWhenUsed/>
    <w:rsid w:val="00452DD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2D01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173"/>
    <w:rPr>
      <w:lang w:val="en-US"/>
    </w:rPr>
  </w:style>
  <w:style w:type="table" w:styleId="Tablaconcuadrcula">
    <w:name w:val="Table Grid"/>
    <w:basedOn w:val="Tablanormal"/>
    <w:uiPriority w:val="39"/>
    <w:rsid w:val="002D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1382</Words>
  <Characters>7602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GARCIA QUINTERO, GINA PAOLA (ALLIANZ COLOMBIA)</cp:lastModifiedBy>
  <cp:revision>2</cp:revision>
  <dcterms:created xsi:type="dcterms:W3CDTF">2024-03-02T10:08:00Z</dcterms:created>
  <dcterms:modified xsi:type="dcterms:W3CDTF">2024-03-02T10:08:00Z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6f1031ef,21344eac,1817439</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2024-03-02T10:01:47Z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7af58f36-88cc-4eff-bb38-ed1b7bb25615</vt:lpwstr>
  </property>
  <property fmtid="{D5CDD505-2E9C-101B-9397-08002B2CF9AE}" pid="11" name="MSIP_Label_863bc15e-e7bf-41c1-bdb3-03882d8a2e2c_ContentBits">
    <vt:lpwstr>1</vt:lpwstr>
  </property>
</Properties>
</file>