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4B98" w14:textId="507E81D3" w:rsidR="00990DFA" w:rsidRDefault="00990DFA" w:rsidP="00DA7F7C">
      <w:pPr>
        <w:pStyle w:val="Default"/>
        <w:jc w:val="center"/>
      </w:pPr>
      <w:r>
        <w:t>REPÚBLICA DE COLOMBIA</w:t>
      </w:r>
    </w:p>
    <w:p w14:paraId="4E70C947" w14:textId="20476321" w:rsidR="00990DFA" w:rsidRDefault="00990DFA" w:rsidP="00DA7F7C">
      <w:pPr>
        <w:pStyle w:val="Default"/>
        <w:jc w:val="center"/>
        <w:rPr>
          <w:sz w:val="23"/>
          <w:szCs w:val="23"/>
        </w:rPr>
      </w:pPr>
      <w:r>
        <w:rPr>
          <w:b/>
          <w:bCs/>
          <w:sz w:val="23"/>
          <w:szCs w:val="23"/>
        </w:rPr>
        <w:t>RAMA JUDICIAL DEL PODER PÚBLICO</w:t>
      </w:r>
    </w:p>
    <w:p w14:paraId="57E6986F" w14:textId="6DB2BCE8" w:rsidR="00990DFA" w:rsidRDefault="00990DFA" w:rsidP="00DA7F7C">
      <w:pPr>
        <w:pStyle w:val="Default"/>
        <w:jc w:val="center"/>
        <w:rPr>
          <w:sz w:val="26"/>
          <w:szCs w:val="26"/>
        </w:rPr>
      </w:pPr>
      <w:r>
        <w:rPr>
          <w:b/>
          <w:bCs/>
          <w:sz w:val="26"/>
          <w:szCs w:val="26"/>
        </w:rPr>
        <w:t>TRIBUNAL SUPERIOR DEL DISTRITO JUDICIAL DE BOGOTÁ</w:t>
      </w:r>
    </w:p>
    <w:p w14:paraId="4472CCE4" w14:textId="7D05FAE7" w:rsidR="00990DFA" w:rsidRDefault="00990DFA" w:rsidP="00DA7F7C">
      <w:pPr>
        <w:pStyle w:val="Default"/>
        <w:jc w:val="center"/>
        <w:rPr>
          <w:b/>
          <w:bCs/>
          <w:sz w:val="26"/>
          <w:szCs w:val="26"/>
        </w:rPr>
      </w:pPr>
      <w:r>
        <w:rPr>
          <w:b/>
          <w:bCs/>
          <w:sz w:val="26"/>
          <w:szCs w:val="26"/>
        </w:rPr>
        <w:t>SALA DE DECISIÓN CIVIL</w:t>
      </w:r>
    </w:p>
    <w:p w14:paraId="14F32FD4" w14:textId="77777777" w:rsidR="00DA7F7C" w:rsidRDefault="00DA7F7C" w:rsidP="00990DFA">
      <w:pPr>
        <w:pStyle w:val="Default"/>
        <w:rPr>
          <w:sz w:val="26"/>
          <w:szCs w:val="26"/>
        </w:rPr>
      </w:pPr>
    </w:p>
    <w:p w14:paraId="573E2A51" w14:textId="06EA5227" w:rsidR="00DA7F7C" w:rsidRDefault="00DA7F7C" w:rsidP="00990DFA">
      <w:pPr>
        <w:pStyle w:val="Default"/>
        <w:rPr>
          <w:sz w:val="26"/>
          <w:szCs w:val="26"/>
        </w:rPr>
      </w:pPr>
      <w:r>
        <w:rPr>
          <w:sz w:val="26"/>
          <w:szCs w:val="26"/>
        </w:rPr>
        <w:t>Bogotá D.C., primero (1º) de abril de dos mil veinticuatro (2024)</w:t>
      </w:r>
    </w:p>
    <w:p w14:paraId="2312C9AB" w14:textId="77777777" w:rsidR="00DA7F7C" w:rsidRDefault="00DA7F7C" w:rsidP="00990DFA">
      <w:pPr>
        <w:pStyle w:val="Default"/>
        <w:rPr>
          <w:sz w:val="26"/>
          <w:szCs w:val="2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84"/>
        <w:gridCol w:w="5404"/>
      </w:tblGrid>
      <w:tr w:rsidR="00990DFA" w14:paraId="0028F357" w14:textId="77777777" w:rsidTr="00CF7713">
        <w:tblPrEx>
          <w:tblCellMar>
            <w:top w:w="0" w:type="dxa"/>
            <w:bottom w:w="0" w:type="dxa"/>
          </w:tblCellMar>
        </w:tblPrEx>
        <w:trPr>
          <w:trHeight w:val="93"/>
        </w:trPr>
        <w:tc>
          <w:tcPr>
            <w:tcW w:w="2784" w:type="dxa"/>
            <w:tcBorders>
              <w:top w:val="none" w:sz="6" w:space="0" w:color="auto"/>
              <w:bottom w:val="none" w:sz="6" w:space="0" w:color="auto"/>
              <w:right w:val="none" w:sz="6" w:space="0" w:color="auto"/>
            </w:tcBorders>
          </w:tcPr>
          <w:p w14:paraId="032B1642" w14:textId="0B5940B0" w:rsidR="00990DFA" w:rsidRDefault="00990DFA">
            <w:pPr>
              <w:pStyle w:val="Default"/>
              <w:rPr>
                <w:sz w:val="20"/>
                <w:szCs w:val="20"/>
              </w:rPr>
            </w:pPr>
            <w:r>
              <w:rPr>
                <w:b/>
                <w:bCs/>
                <w:sz w:val="20"/>
                <w:szCs w:val="20"/>
              </w:rPr>
              <w:t xml:space="preserve">PROCESO </w:t>
            </w:r>
          </w:p>
        </w:tc>
        <w:tc>
          <w:tcPr>
            <w:tcW w:w="5404" w:type="dxa"/>
            <w:tcBorders>
              <w:top w:val="none" w:sz="6" w:space="0" w:color="auto"/>
              <w:left w:val="none" w:sz="6" w:space="0" w:color="auto"/>
              <w:bottom w:val="none" w:sz="6" w:space="0" w:color="auto"/>
            </w:tcBorders>
          </w:tcPr>
          <w:p w14:paraId="270183C5" w14:textId="77777777" w:rsidR="00990DFA" w:rsidRDefault="00990DFA">
            <w:pPr>
              <w:pStyle w:val="Default"/>
              <w:rPr>
                <w:sz w:val="20"/>
                <w:szCs w:val="20"/>
              </w:rPr>
            </w:pPr>
            <w:r>
              <w:rPr>
                <w:sz w:val="20"/>
                <w:szCs w:val="20"/>
              </w:rPr>
              <w:t xml:space="preserve">Verbal </w:t>
            </w:r>
          </w:p>
        </w:tc>
      </w:tr>
      <w:tr w:rsidR="00990DFA" w14:paraId="066B7E24" w14:textId="77777777" w:rsidTr="00CF7713">
        <w:tblPrEx>
          <w:tblCellMar>
            <w:top w:w="0" w:type="dxa"/>
            <w:bottom w:w="0" w:type="dxa"/>
          </w:tblCellMar>
        </w:tblPrEx>
        <w:trPr>
          <w:trHeight w:val="93"/>
        </w:trPr>
        <w:tc>
          <w:tcPr>
            <w:tcW w:w="2784" w:type="dxa"/>
            <w:tcBorders>
              <w:top w:val="none" w:sz="6" w:space="0" w:color="auto"/>
              <w:bottom w:val="none" w:sz="6" w:space="0" w:color="auto"/>
              <w:right w:val="none" w:sz="6" w:space="0" w:color="auto"/>
            </w:tcBorders>
          </w:tcPr>
          <w:p w14:paraId="3E0C01C2" w14:textId="77777777" w:rsidR="00990DFA" w:rsidRDefault="00990DFA">
            <w:pPr>
              <w:pStyle w:val="Default"/>
              <w:rPr>
                <w:sz w:val="20"/>
                <w:szCs w:val="20"/>
              </w:rPr>
            </w:pPr>
            <w:r>
              <w:rPr>
                <w:b/>
                <w:bCs/>
                <w:sz w:val="20"/>
                <w:szCs w:val="20"/>
              </w:rPr>
              <w:t xml:space="preserve">DEMANDANTE </w:t>
            </w:r>
          </w:p>
        </w:tc>
        <w:tc>
          <w:tcPr>
            <w:tcW w:w="5404" w:type="dxa"/>
            <w:tcBorders>
              <w:top w:val="none" w:sz="6" w:space="0" w:color="auto"/>
              <w:left w:val="none" w:sz="6" w:space="0" w:color="auto"/>
              <w:bottom w:val="none" w:sz="6" w:space="0" w:color="auto"/>
            </w:tcBorders>
          </w:tcPr>
          <w:p w14:paraId="6DAC4F4F" w14:textId="77777777" w:rsidR="00990DFA" w:rsidRDefault="00990DFA">
            <w:pPr>
              <w:pStyle w:val="Default"/>
              <w:rPr>
                <w:sz w:val="20"/>
                <w:szCs w:val="20"/>
              </w:rPr>
            </w:pPr>
            <w:r>
              <w:rPr>
                <w:sz w:val="20"/>
                <w:szCs w:val="20"/>
              </w:rPr>
              <w:t xml:space="preserve">Transportes Frigoríficos Andinos S.A.S. </w:t>
            </w:r>
          </w:p>
        </w:tc>
      </w:tr>
      <w:tr w:rsidR="00990DFA" w14:paraId="4E28090F" w14:textId="77777777" w:rsidTr="00CF7713">
        <w:tblPrEx>
          <w:tblCellMar>
            <w:top w:w="0" w:type="dxa"/>
            <w:bottom w:w="0" w:type="dxa"/>
          </w:tblCellMar>
        </w:tblPrEx>
        <w:trPr>
          <w:trHeight w:val="93"/>
        </w:trPr>
        <w:tc>
          <w:tcPr>
            <w:tcW w:w="2784" w:type="dxa"/>
            <w:tcBorders>
              <w:top w:val="none" w:sz="6" w:space="0" w:color="auto"/>
              <w:bottom w:val="none" w:sz="6" w:space="0" w:color="auto"/>
              <w:right w:val="none" w:sz="6" w:space="0" w:color="auto"/>
            </w:tcBorders>
          </w:tcPr>
          <w:p w14:paraId="64D2E90B" w14:textId="77777777" w:rsidR="00990DFA" w:rsidRDefault="00990DFA">
            <w:pPr>
              <w:pStyle w:val="Default"/>
              <w:rPr>
                <w:sz w:val="20"/>
                <w:szCs w:val="20"/>
              </w:rPr>
            </w:pPr>
            <w:r>
              <w:rPr>
                <w:b/>
                <w:bCs/>
                <w:sz w:val="20"/>
                <w:szCs w:val="20"/>
              </w:rPr>
              <w:t xml:space="preserve">DEMANDADA </w:t>
            </w:r>
          </w:p>
        </w:tc>
        <w:tc>
          <w:tcPr>
            <w:tcW w:w="5404" w:type="dxa"/>
            <w:tcBorders>
              <w:top w:val="none" w:sz="6" w:space="0" w:color="auto"/>
              <w:left w:val="none" w:sz="6" w:space="0" w:color="auto"/>
              <w:bottom w:val="none" w:sz="6" w:space="0" w:color="auto"/>
            </w:tcBorders>
          </w:tcPr>
          <w:p w14:paraId="0A432D28" w14:textId="77777777" w:rsidR="00990DFA" w:rsidRDefault="00990DFA">
            <w:pPr>
              <w:pStyle w:val="Default"/>
              <w:rPr>
                <w:sz w:val="20"/>
                <w:szCs w:val="20"/>
              </w:rPr>
            </w:pPr>
            <w:r>
              <w:rPr>
                <w:sz w:val="20"/>
                <w:szCs w:val="20"/>
              </w:rPr>
              <w:t xml:space="preserve">Allianz Seguros S.A.S. </w:t>
            </w:r>
          </w:p>
        </w:tc>
      </w:tr>
      <w:tr w:rsidR="00990DFA" w14:paraId="7A74DD70" w14:textId="77777777" w:rsidTr="00CF7713">
        <w:tblPrEx>
          <w:tblCellMar>
            <w:top w:w="0" w:type="dxa"/>
            <w:bottom w:w="0" w:type="dxa"/>
          </w:tblCellMar>
        </w:tblPrEx>
        <w:trPr>
          <w:trHeight w:val="93"/>
        </w:trPr>
        <w:tc>
          <w:tcPr>
            <w:tcW w:w="2784" w:type="dxa"/>
            <w:tcBorders>
              <w:top w:val="none" w:sz="6" w:space="0" w:color="auto"/>
              <w:bottom w:val="none" w:sz="6" w:space="0" w:color="auto"/>
              <w:right w:val="none" w:sz="6" w:space="0" w:color="auto"/>
            </w:tcBorders>
          </w:tcPr>
          <w:p w14:paraId="70F060C2" w14:textId="77777777" w:rsidR="00990DFA" w:rsidRDefault="00990DFA">
            <w:pPr>
              <w:pStyle w:val="Default"/>
              <w:rPr>
                <w:sz w:val="20"/>
                <w:szCs w:val="20"/>
              </w:rPr>
            </w:pPr>
            <w:r>
              <w:rPr>
                <w:b/>
                <w:bCs/>
                <w:sz w:val="20"/>
                <w:szCs w:val="20"/>
              </w:rPr>
              <w:t xml:space="preserve">RADICADO </w:t>
            </w:r>
          </w:p>
        </w:tc>
        <w:tc>
          <w:tcPr>
            <w:tcW w:w="5404" w:type="dxa"/>
            <w:tcBorders>
              <w:top w:val="none" w:sz="6" w:space="0" w:color="auto"/>
              <w:left w:val="none" w:sz="6" w:space="0" w:color="auto"/>
              <w:bottom w:val="none" w:sz="6" w:space="0" w:color="auto"/>
            </w:tcBorders>
          </w:tcPr>
          <w:p w14:paraId="50BCEA49" w14:textId="77777777" w:rsidR="00990DFA" w:rsidRDefault="00990DFA">
            <w:pPr>
              <w:pStyle w:val="Default"/>
              <w:rPr>
                <w:sz w:val="20"/>
                <w:szCs w:val="20"/>
              </w:rPr>
            </w:pPr>
            <w:r>
              <w:rPr>
                <w:sz w:val="20"/>
                <w:szCs w:val="20"/>
              </w:rPr>
              <w:t xml:space="preserve">110013103 012 2020 00118 01 </w:t>
            </w:r>
          </w:p>
        </w:tc>
      </w:tr>
      <w:tr w:rsidR="00990DFA" w14:paraId="29EE4772" w14:textId="77777777" w:rsidTr="00CF7713">
        <w:tblPrEx>
          <w:tblCellMar>
            <w:top w:w="0" w:type="dxa"/>
            <w:bottom w:w="0" w:type="dxa"/>
          </w:tblCellMar>
        </w:tblPrEx>
        <w:trPr>
          <w:trHeight w:val="94"/>
        </w:trPr>
        <w:tc>
          <w:tcPr>
            <w:tcW w:w="2784" w:type="dxa"/>
            <w:tcBorders>
              <w:top w:val="none" w:sz="6" w:space="0" w:color="auto"/>
              <w:bottom w:val="none" w:sz="6" w:space="0" w:color="auto"/>
              <w:right w:val="none" w:sz="6" w:space="0" w:color="auto"/>
            </w:tcBorders>
          </w:tcPr>
          <w:p w14:paraId="7060199B" w14:textId="77777777" w:rsidR="00990DFA" w:rsidRDefault="00990DFA">
            <w:pPr>
              <w:pStyle w:val="Default"/>
              <w:rPr>
                <w:sz w:val="20"/>
                <w:szCs w:val="20"/>
              </w:rPr>
            </w:pPr>
            <w:r>
              <w:rPr>
                <w:b/>
                <w:bCs/>
                <w:sz w:val="20"/>
                <w:szCs w:val="20"/>
              </w:rPr>
              <w:t xml:space="preserve">INSTANCIA </w:t>
            </w:r>
          </w:p>
        </w:tc>
        <w:tc>
          <w:tcPr>
            <w:tcW w:w="5404" w:type="dxa"/>
            <w:tcBorders>
              <w:top w:val="none" w:sz="6" w:space="0" w:color="auto"/>
              <w:left w:val="none" w:sz="6" w:space="0" w:color="auto"/>
              <w:bottom w:val="none" w:sz="6" w:space="0" w:color="auto"/>
            </w:tcBorders>
          </w:tcPr>
          <w:p w14:paraId="31C33C55" w14:textId="77777777" w:rsidR="00990DFA" w:rsidRDefault="00990DFA">
            <w:pPr>
              <w:pStyle w:val="Default"/>
              <w:rPr>
                <w:sz w:val="20"/>
                <w:szCs w:val="20"/>
              </w:rPr>
            </w:pPr>
            <w:r>
              <w:rPr>
                <w:sz w:val="20"/>
                <w:szCs w:val="20"/>
              </w:rPr>
              <w:t xml:space="preserve">Segunda </w:t>
            </w:r>
            <w:r>
              <w:rPr>
                <w:i/>
                <w:iCs/>
                <w:sz w:val="20"/>
                <w:szCs w:val="20"/>
              </w:rPr>
              <w:t xml:space="preserve">–apelación sentencia - </w:t>
            </w:r>
          </w:p>
        </w:tc>
      </w:tr>
      <w:tr w:rsidR="00990DFA" w14:paraId="321ADF63" w14:textId="77777777" w:rsidTr="00CF7713">
        <w:tblPrEx>
          <w:tblCellMar>
            <w:top w:w="0" w:type="dxa"/>
            <w:bottom w:w="0" w:type="dxa"/>
          </w:tblCellMar>
        </w:tblPrEx>
        <w:trPr>
          <w:trHeight w:val="93"/>
        </w:trPr>
        <w:tc>
          <w:tcPr>
            <w:tcW w:w="2784" w:type="dxa"/>
            <w:tcBorders>
              <w:top w:val="none" w:sz="6" w:space="0" w:color="auto"/>
              <w:bottom w:val="none" w:sz="6" w:space="0" w:color="auto"/>
              <w:right w:val="none" w:sz="6" w:space="0" w:color="auto"/>
            </w:tcBorders>
          </w:tcPr>
          <w:p w14:paraId="3537AD97" w14:textId="6B0A488F" w:rsidR="00990DFA" w:rsidRDefault="00DA7F7C">
            <w:pPr>
              <w:pStyle w:val="Default"/>
              <w:rPr>
                <w:sz w:val="20"/>
                <w:szCs w:val="20"/>
              </w:rPr>
            </w:pPr>
            <w:r>
              <w:rPr>
                <w:b/>
                <w:bCs/>
                <w:sz w:val="20"/>
                <w:szCs w:val="20"/>
              </w:rPr>
              <w:t>D</w:t>
            </w:r>
            <w:r w:rsidR="00990DFA">
              <w:rPr>
                <w:b/>
                <w:bCs/>
                <w:sz w:val="20"/>
                <w:szCs w:val="20"/>
              </w:rPr>
              <w:t xml:space="preserve">ECISIÓN </w:t>
            </w:r>
          </w:p>
        </w:tc>
        <w:tc>
          <w:tcPr>
            <w:tcW w:w="5404" w:type="dxa"/>
            <w:tcBorders>
              <w:top w:val="none" w:sz="6" w:space="0" w:color="auto"/>
              <w:left w:val="none" w:sz="6" w:space="0" w:color="auto"/>
              <w:bottom w:val="none" w:sz="6" w:space="0" w:color="auto"/>
            </w:tcBorders>
          </w:tcPr>
          <w:p w14:paraId="340B5724" w14:textId="77777777" w:rsidR="00990DFA" w:rsidRDefault="00990DFA">
            <w:pPr>
              <w:pStyle w:val="Default"/>
              <w:rPr>
                <w:sz w:val="20"/>
                <w:szCs w:val="20"/>
              </w:rPr>
            </w:pPr>
            <w:r>
              <w:rPr>
                <w:sz w:val="20"/>
                <w:szCs w:val="20"/>
              </w:rPr>
              <w:t xml:space="preserve">Ordena devolver </w:t>
            </w:r>
          </w:p>
        </w:tc>
      </w:tr>
    </w:tbl>
    <w:p w14:paraId="4690C254" w14:textId="77777777" w:rsidR="00B9243D" w:rsidRDefault="00B9243D"/>
    <w:p w14:paraId="40ED83D5" w14:textId="77777777" w:rsidR="00C73F68" w:rsidRDefault="00C73F68" w:rsidP="00C73F68">
      <w:pPr>
        <w:pStyle w:val="Default"/>
        <w:jc w:val="both"/>
        <w:rPr>
          <w:sz w:val="23"/>
          <w:szCs w:val="23"/>
        </w:rPr>
      </w:pPr>
      <w:r>
        <w:rPr>
          <w:sz w:val="27"/>
          <w:szCs w:val="27"/>
        </w:rPr>
        <w:t xml:space="preserve">Se resuelve lo pertinente acerca del informe secretarial que precede, en el cual se consignó: </w:t>
      </w:r>
      <w:r>
        <w:rPr>
          <w:i/>
          <w:iCs/>
          <w:sz w:val="23"/>
          <w:szCs w:val="23"/>
        </w:rPr>
        <w:t>“</w:t>
      </w:r>
      <w:r>
        <w:rPr>
          <w:i/>
          <w:iCs/>
          <w:color w:val="1F1F1E"/>
          <w:sz w:val="23"/>
          <w:szCs w:val="23"/>
        </w:rPr>
        <w:t xml:space="preserve">(…) para el trámite que corresponda y en firme la providencia anterior por la cual la magistrada Stella María </w:t>
      </w:r>
      <w:proofErr w:type="spellStart"/>
      <w:r>
        <w:rPr>
          <w:i/>
          <w:iCs/>
          <w:color w:val="1F1F1E"/>
          <w:sz w:val="23"/>
          <w:szCs w:val="23"/>
        </w:rPr>
        <w:t>Ayazo</w:t>
      </w:r>
      <w:proofErr w:type="spellEnd"/>
      <w:r>
        <w:rPr>
          <w:i/>
          <w:iCs/>
          <w:color w:val="1F1F1E"/>
          <w:sz w:val="23"/>
          <w:szCs w:val="23"/>
        </w:rPr>
        <w:t xml:space="preserve"> </w:t>
      </w:r>
      <w:proofErr w:type="spellStart"/>
      <w:r>
        <w:rPr>
          <w:i/>
          <w:iCs/>
          <w:color w:val="1F1F1E"/>
          <w:sz w:val="23"/>
          <w:szCs w:val="23"/>
        </w:rPr>
        <w:t>Perneth</w:t>
      </w:r>
      <w:proofErr w:type="spellEnd"/>
      <w:r>
        <w:rPr>
          <w:i/>
          <w:iCs/>
          <w:color w:val="1F1F1E"/>
          <w:sz w:val="23"/>
          <w:szCs w:val="23"/>
        </w:rPr>
        <w:t xml:space="preserve"> ordena la remisión por derrota de ponencia</w:t>
      </w:r>
      <w:r>
        <w:rPr>
          <w:color w:val="1F1F1E"/>
          <w:sz w:val="23"/>
          <w:szCs w:val="23"/>
        </w:rPr>
        <w:t xml:space="preserve">”. Al efecto, se expone: </w:t>
      </w:r>
    </w:p>
    <w:p w14:paraId="48387D21" w14:textId="77777777" w:rsidR="00CF7713" w:rsidRDefault="00CF7713" w:rsidP="00C73F68">
      <w:pPr>
        <w:pStyle w:val="Default"/>
        <w:jc w:val="both"/>
        <w:rPr>
          <w:b/>
          <w:bCs/>
          <w:color w:val="1F1F1E"/>
          <w:sz w:val="27"/>
          <w:szCs w:val="27"/>
        </w:rPr>
      </w:pPr>
    </w:p>
    <w:p w14:paraId="72E75998" w14:textId="09096370" w:rsidR="00C73F68" w:rsidRDefault="00C73F68" w:rsidP="00C73F68">
      <w:pPr>
        <w:pStyle w:val="Default"/>
        <w:jc w:val="both"/>
        <w:rPr>
          <w:sz w:val="26"/>
          <w:szCs w:val="26"/>
        </w:rPr>
      </w:pPr>
      <w:r>
        <w:rPr>
          <w:b/>
          <w:bCs/>
          <w:color w:val="1F1F1E"/>
          <w:sz w:val="27"/>
          <w:szCs w:val="27"/>
        </w:rPr>
        <w:t xml:space="preserve">1. </w:t>
      </w:r>
      <w:r>
        <w:rPr>
          <w:color w:val="1F1F1E"/>
          <w:sz w:val="27"/>
          <w:szCs w:val="27"/>
        </w:rPr>
        <w:t>E</w:t>
      </w:r>
      <w:r>
        <w:rPr>
          <w:sz w:val="27"/>
          <w:szCs w:val="27"/>
        </w:rPr>
        <w:t xml:space="preserve">l </w:t>
      </w:r>
      <w:r>
        <w:rPr>
          <w:sz w:val="26"/>
          <w:szCs w:val="26"/>
        </w:rPr>
        <w:t xml:space="preserve">artículo 12 de la Ley 2213 de 2022, en lo pertinente, estatuye que: </w:t>
      </w:r>
      <w:r>
        <w:rPr>
          <w:i/>
          <w:iCs/>
          <w:sz w:val="23"/>
          <w:szCs w:val="23"/>
        </w:rPr>
        <w:t>“[e]</w:t>
      </w:r>
      <w:proofErr w:type="spellStart"/>
      <w:r>
        <w:rPr>
          <w:i/>
          <w:iCs/>
          <w:sz w:val="23"/>
          <w:szCs w:val="23"/>
        </w:rPr>
        <w:t>jecutoriado</w:t>
      </w:r>
      <w:proofErr w:type="spellEnd"/>
      <w:r>
        <w:rPr>
          <w:i/>
          <w:iCs/>
          <w:sz w:val="23"/>
          <w:szCs w:val="23"/>
        </w:rPr>
        <w:t xml:space="preserve"> </w:t>
      </w:r>
      <w:r>
        <w:rPr>
          <w:b/>
          <w:bCs/>
          <w:i/>
          <w:iCs/>
          <w:sz w:val="23"/>
          <w:szCs w:val="23"/>
        </w:rPr>
        <w:t xml:space="preserve">el auto que admite el recurso </w:t>
      </w:r>
      <w:r>
        <w:rPr>
          <w:i/>
          <w:iCs/>
          <w:sz w:val="23"/>
          <w:szCs w:val="23"/>
        </w:rPr>
        <w:t xml:space="preserve">o el que niega la solicitud de pruebas, el apelante </w:t>
      </w:r>
      <w:r>
        <w:rPr>
          <w:b/>
          <w:bCs/>
          <w:i/>
          <w:iCs/>
          <w:sz w:val="23"/>
          <w:szCs w:val="23"/>
        </w:rPr>
        <w:t>deberá sustentar el recurso a más tardar dentro de los cinco (5) días siguientes</w:t>
      </w:r>
      <w:r>
        <w:rPr>
          <w:i/>
          <w:iCs/>
          <w:sz w:val="23"/>
          <w:szCs w:val="23"/>
        </w:rPr>
        <w:t xml:space="preserve">. De la sustentación se correrá traslado a la parte contraria por el término de cinco (5) días. Vencido el término de traslado se proferirá sentencia escrita que se notificará por estado. Si no se sustenta oportunamente el recurso, </w:t>
      </w:r>
      <w:r>
        <w:rPr>
          <w:b/>
          <w:bCs/>
          <w:i/>
          <w:iCs/>
          <w:sz w:val="23"/>
          <w:szCs w:val="23"/>
        </w:rPr>
        <w:t>se declarará desierto</w:t>
      </w:r>
      <w:r>
        <w:rPr>
          <w:i/>
          <w:iCs/>
          <w:sz w:val="23"/>
          <w:szCs w:val="23"/>
        </w:rPr>
        <w:t xml:space="preserve">” </w:t>
      </w:r>
      <w:r>
        <w:rPr>
          <w:sz w:val="26"/>
          <w:szCs w:val="26"/>
        </w:rPr>
        <w:t xml:space="preserve">(destacado propio). </w:t>
      </w:r>
    </w:p>
    <w:p w14:paraId="4017FE4F" w14:textId="77777777" w:rsidR="00CF7713" w:rsidRDefault="00CF7713" w:rsidP="00C73F68">
      <w:pPr>
        <w:pStyle w:val="Default"/>
        <w:jc w:val="both"/>
        <w:rPr>
          <w:sz w:val="26"/>
          <w:szCs w:val="26"/>
        </w:rPr>
      </w:pPr>
    </w:p>
    <w:p w14:paraId="6E9A1864" w14:textId="429404F3" w:rsidR="00C73F68" w:rsidRDefault="00C73F68" w:rsidP="00CF7713">
      <w:pPr>
        <w:pStyle w:val="Default"/>
        <w:jc w:val="both"/>
        <w:rPr>
          <w:color w:val="auto"/>
          <w:sz w:val="26"/>
          <w:szCs w:val="26"/>
        </w:rPr>
      </w:pPr>
      <w:r>
        <w:rPr>
          <w:sz w:val="26"/>
          <w:szCs w:val="26"/>
        </w:rPr>
        <w:t xml:space="preserve">Revisado el expediente se advierte que en el particular se inobservó el específico procedimiento que diseñó el legislador, en aras de verificar si la parte apelante satisfizo su carga de sustentar en segunda instancia, puesto que no se corrió traslado para ello en esta sede, lo que impide aplicar las consecuencias jurídicas de una </w:t>
      </w:r>
      <w:r>
        <w:rPr>
          <w:rFonts w:cstheme="minorBidi"/>
          <w:color w:val="auto"/>
          <w:sz w:val="26"/>
          <w:szCs w:val="26"/>
        </w:rPr>
        <w:t xml:space="preserve">u otra conducta, esto es, que sustente o se abstenga de hacerlo ante el </w:t>
      </w:r>
      <w:r>
        <w:rPr>
          <w:i/>
          <w:iCs/>
          <w:color w:val="auto"/>
          <w:sz w:val="26"/>
          <w:szCs w:val="26"/>
        </w:rPr>
        <w:t xml:space="preserve">ad </w:t>
      </w:r>
      <w:proofErr w:type="spellStart"/>
      <w:r>
        <w:rPr>
          <w:i/>
          <w:iCs/>
          <w:color w:val="auto"/>
          <w:sz w:val="26"/>
          <w:szCs w:val="26"/>
        </w:rPr>
        <w:t>quem</w:t>
      </w:r>
      <w:proofErr w:type="spellEnd"/>
      <w:r>
        <w:rPr>
          <w:color w:val="auto"/>
          <w:sz w:val="26"/>
          <w:szCs w:val="26"/>
        </w:rPr>
        <w:t xml:space="preserve">. </w:t>
      </w:r>
    </w:p>
    <w:p w14:paraId="55B8B144" w14:textId="77777777" w:rsidR="00CF7713" w:rsidRDefault="00CF7713" w:rsidP="00CF7713">
      <w:pPr>
        <w:pStyle w:val="Default"/>
        <w:jc w:val="both"/>
        <w:rPr>
          <w:color w:val="auto"/>
          <w:sz w:val="26"/>
          <w:szCs w:val="26"/>
        </w:rPr>
      </w:pPr>
    </w:p>
    <w:p w14:paraId="28A69F54" w14:textId="77777777" w:rsidR="00C73F68" w:rsidRDefault="00C73F68" w:rsidP="00C73F68">
      <w:pPr>
        <w:pStyle w:val="Default"/>
        <w:jc w:val="both"/>
        <w:rPr>
          <w:color w:val="auto"/>
          <w:sz w:val="26"/>
          <w:szCs w:val="26"/>
        </w:rPr>
      </w:pPr>
      <w:r>
        <w:rPr>
          <w:b/>
          <w:bCs/>
          <w:color w:val="auto"/>
          <w:sz w:val="26"/>
          <w:szCs w:val="26"/>
        </w:rPr>
        <w:t xml:space="preserve">2. </w:t>
      </w:r>
      <w:r>
        <w:rPr>
          <w:color w:val="auto"/>
          <w:sz w:val="26"/>
          <w:szCs w:val="26"/>
        </w:rPr>
        <w:t xml:space="preserve">Así las cosas, para evitar futuras nulidades, se dispondrá remitir el plenario al despacho que precede para se sirva adoptar la decisión que estime. </w:t>
      </w:r>
    </w:p>
    <w:p w14:paraId="7489C236" w14:textId="77777777" w:rsidR="00A42E6E" w:rsidRDefault="00A42E6E" w:rsidP="00C73F68">
      <w:pPr>
        <w:pStyle w:val="Default"/>
        <w:jc w:val="both"/>
        <w:rPr>
          <w:b/>
          <w:bCs/>
          <w:color w:val="auto"/>
          <w:sz w:val="27"/>
          <w:szCs w:val="27"/>
        </w:rPr>
      </w:pPr>
    </w:p>
    <w:p w14:paraId="1B3B1BAE" w14:textId="4E8F8FBA" w:rsidR="00C73F68" w:rsidRDefault="00C73F68" w:rsidP="00C73F68">
      <w:pPr>
        <w:pStyle w:val="Default"/>
        <w:jc w:val="both"/>
        <w:rPr>
          <w:color w:val="auto"/>
          <w:sz w:val="27"/>
          <w:szCs w:val="27"/>
        </w:rPr>
      </w:pPr>
      <w:r>
        <w:rPr>
          <w:b/>
          <w:bCs/>
          <w:color w:val="auto"/>
          <w:sz w:val="27"/>
          <w:szCs w:val="27"/>
        </w:rPr>
        <w:t xml:space="preserve">3. </w:t>
      </w:r>
      <w:r>
        <w:rPr>
          <w:color w:val="auto"/>
          <w:sz w:val="27"/>
          <w:szCs w:val="27"/>
        </w:rPr>
        <w:t xml:space="preserve">En mérito de lo expuesto, el magistrado sustanciador de la Sala Civil del Tribunal Superior del Distrito Judicial de Bogotá, </w:t>
      </w:r>
    </w:p>
    <w:p w14:paraId="1675781E" w14:textId="77777777" w:rsidR="00CF7713" w:rsidRDefault="00CF7713" w:rsidP="00C73F68">
      <w:pPr>
        <w:pStyle w:val="Default"/>
        <w:jc w:val="both"/>
        <w:rPr>
          <w:b/>
          <w:bCs/>
          <w:color w:val="auto"/>
          <w:sz w:val="27"/>
          <w:szCs w:val="27"/>
        </w:rPr>
      </w:pPr>
    </w:p>
    <w:p w14:paraId="45A1A499" w14:textId="29755CCA" w:rsidR="00C73F68" w:rsidRDefault="00C73F68" w:rsidP="00C73F68">
      <w:pPr>
        <w:pStyle w:val="Default"/>
        <w:jc w:val="both"/>
        <w:rPr>
          <w:color w:val="auto"/>
          <w:sz w:val="27"/>
          <w:szCs w:val="27"/>
        </w:rPr>
      </w:pPr>
      <w:r>
        <w:rPr>
          <w:b/>
          <w:bCs/>
          <w:color w:val="auto"/>
          <w:sz w:val="27"/>
          <w:szCs w:val="27"/>
        </w:rPr>
        <w:t xml:space="preserve">RESUELVE </w:t>
      </w:r>
    </w:p>
    <w:p w14:paraId="644B7782" w14:textId="77777777" w:rsidR="00CF7713" w:rsidRDefault="00CF7713" w:rsidP="00C73F68">
      <w:pPr>
        <w:pStyle w:val="Default"/>
        <w:jc w:val="both"/>
        <w:rPr>
          <w:color w:val="auto"/>
          <w:sz w:val="27"/>
          <w:szCs w:val="27"/>
        </w:rPr>
      </w:pPr>
    </w:p>
    <w:p w14:paraId="653458DF" w14:textId="338DDC5C" w:rsidR="00C73F68" w:rsidRDefault="00C73F68" w:rsidP="00C73F68">
      <w:pPr>
        <w:pStyle w:val="Default"/>
        <w:jc w:val="both"/>
        <w:rPr>
          <w:color w:val="auto"/>
          <w:sz w:val="27"/>
          <w:szCs w:val="27"/>
        </w:rPr>
      </w:pPr>
      <w:r>
        <w:rPr>
          <w:color w:val="auto"/>
          <w:sz w:val="27"/>
          <w:szCs w:val="27"/>
        </w:rPr>
        <w:t xml:space="preserve">Remitir el expediente al despacho de la Magistrada Stella María </w:t>
      </w:r>
      <w:proofErr w:type="spellStart"/>
      <w:r>
        <w:rPr>
          <w:color w:val="auto"/>
          <w:sz w:val="27"/>
          <w:szCs w:val="27"/>
        </w:rPr>
        <w:t>Ayazo</w:t>
      </w:r>
      <w:proofErr w:type="spellEnd"/>
      <w:r>
        <w:rPr>
          <w:color w:val="auto"/>
          <w:sz w:val="27"/>
          <w:szCs w:val="27"/>
        </w:rPr>
        <w:t xml:space="preserve"> </w:t>
      </w:r>
      <w:proofErr w:type="spellStart"/>
      <w:r>
        <w:rPr>
          <w:color w:val="auto"/>
          <w:sz w:val="27"/>
          <w:szCs w:val="27"/>
        </w:rPr>
        <w:t>Perneth</w:t>
      </w:r>
      <w:proofErr w:type="spellEnd"/>
      <w:r>
        <w:rPr>
          <w:color w:val="auto"/>
          <w:sz w:val="27"/>
          <w:szCs w:val="27"/>
        </w:rPr>
        <w:t xml:space="preserve">, para que imprima el trámite que considere pertinente. </w:t>
      </w:r>
    </w:p>
    <w:p w14:paraId="02B86025" w14:textId="77777777" w:rsidR="00CF7713" w:rsidRDefault="00CF7713" w:rsidP="00C73F68">
      <w:pPr>
        <w:pStyle w:val="Default"/>
        <w:jc w:val="both"/>
        <w:rPr>
          <w:color w:val="auto"/>
          <w:sz w:val="26"/>
          <w:szCs w:val="26"/>
        </w:rPr>
      </w:pPr>
    </w:p>
    <w:p w14:paraId="2442544E" w14:textId="3E349802" w:rsidR="00C73F68" w:rsidRDefault="00C73F68" w:rsidP="00C73F68">
      <w:pPr>
        <w:pStyle w:val="Default"/>
        <w:jc w:val="both"/>
        <w:rPr>
          <w:color w:val="auto"/>
          <w:sz w:val="26"/>
          <w:szCs w:val="26"/>
        </w:rPr>
      </w:pPr>
      <w:r>
        <w:rPr>
          <w:color w:val="auto"/>
          <w:sz w:val="26"/>
          <w:szCs w:val="26"/>
        </w:rPr>
        <w:t xml:space="preserve">Déjense las constancias de rigor. </w:t>
      </w:r>
    </w:p>
    <w:p w14:paraId="055D896F" w14:textId="77777777" w:rsidR="00CF7713" w:rsidRDefault="00CF7713" w:rsidP="00C73F68">
      <w:pPr>
        <w:pStyle w:val="Default"/>
        <w:jc w:val="both"/>
        <w:rPr>
          <w:b/>
          <w:bCs/>
          <w:color w:val="auto"/>
          <w:sz w:val="26"/>
          <w:szCs w:val="26"/>
        </w:rPr>
      </w:pPr>
    </w:p>
    <w:p w14:paraId="1FA90064" w14:textId="764D0FA1" w:rsidR="00C73F68" w:rsidRDefault="00C73F68" w:rsidP="00C73F68">
      <w:pPr>
        <w:pStyle w:val="Default"/>
        <w:jc w:val="both"/>
        <w:rPr>
          <w:color w:val="auto"/>
          <w:sz w:val="26"/>
          <w:szCs w:val="26"/>
        </w:rPr>
      </w:pPr>
      <w:r>
        <w:rPr>
          <w:b/>
          <w:bCs/>
          <w:color w:val="auto"/>
          <w:sz w:val="26"/>
          <w:szCs w:val="26"/>
        </w:rPr>
        <w:t xml:space="preserve">Notifíquese. </w:t>
      </w:r>
    </w:p>
    <w:p w14:paraId="482CDCFE" w14:textId="77777777" w:rsidR="00CF7713" w:rsidRDefault="00CF7713" w:rsidP="00C73F68">
      <w:pPr>
        <w:pStyle w:val="Default"/>
        <w:jc w:val="both"/>
        <w:rPr>
          <w:b/>
          <w:bCs/>
          <w:color w:val="auto"/>
          <w:sz w:val="26"/>
          <w:szCs w:val="26"/>
        </w:rPr>
      </w:pPr>
    </w:p>
    <w:p w14:paraId="3180BDD1" w14:textId="706E07C4" w:rsidR="00C73F68" w:rsidRDefault="00C73F68" w:rsidP="00C73F68">
      <w:pPr>
        <w:pStyle w:val="Default"/>
        <w:jc w:val="both"/>
        <w:rPr>
          <w:color w:val="auto"/>
          <w:sz w:val="26"/>
          <w:szCs w:val="26"/>
        </w:rPr>
      </w:pPr>
      <w:r>
        <w:rPr>
          <w:b/>
          <w:bCs/>
          <w:color w:val="auto"/>
          <w:sz w:val="26"/>
          <w:szCs w:val="26"/>
        </w:rPr>
        <w:t xml:space="preserve">JAIME CHAVARRO MAHECHA </w:t>
      </w:r>
    </w:p>
    <w:p w14:paraId="32FECB53" w14:textId="77777777" w:rsidR="00C73F68" w:rsidRDefault="00C73F68" w:rsidP="00C73F68">
      <w:pPr>
        <w:pStyle w:val="Default"/>
        <w:jc w:val="both"/>
        <w:rPr>
          <w:color w:val="auto"/>
          <w:sz w:val="26"/>
          <w:szCs w:val="26"/>
        </w:rPr>
      </w:pPr>
      <w:r>
        <w:rPr>
          <w:color w:val="auto"/>
          <w:sz w:val="26"/>
          <w:szCs w:val="26"/>
        </w:rPr>
        <w:t xml:space="preserve">Magistrado </w:t>
      </w:r>
    </w:p>
    <w:p w14:paraId="7A835619" w14:textId="77777777" w:rsidR="00CF7713" w:rsidRDefault="00CF7713" w:rsidP="00C73F68">
      <w:pPr>
        <w:pStyle w:val="Default"/>
        <w:jc w:val="both"/>
        <w:rPr>
          <w:rFonts w:ascii="Arial" w:hAnsi="Arial" w:cs="Arial"/>
          <w:color w:val="auto"/>
          <w:sz w:val="16"/>
          <w:szCs w:val="16"/>
        </w:rPr>
      </w:pPr>
    </w:p>
    <w:p w14:paraId="73CB052B" w14:textId="7C26E099"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4E92308A"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Jaime Chavarro Mahecha Magistrado </w:t>
      </w:r>
    </w:p>
    <w:p w14:paraId="595D09F4"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6153BE17"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64B05A23"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5C7ECC20"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0769D88C"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02A51C13"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94fe7c0d7270bed9009bd539e32f323b4b83f9f9e175a045c4bfb283b395913c </w:t>
      </w:r>
    </w:p>
    <w:p w14:paraId="1332B4A2" w14:textId="77777777" w:rsidR="00C73F68" w:rsidRDefault="00C73F68" w:rsidP="00C73F68">
      <w:pPr>
        <w:pStyle w:val="Default"/>
        <w:jc w:val="both"/>
        <w:rPr>
          <w:rFonts w:ascii="Arial" w:hAnsi="Arial" w:cs="Arial"/>
          <w:color w:val="auto"/>
          <w:sz w:val="16"/>
          <w:szCs w:val="16"/>
        </w:rPr>
      </w:pPr>
      <w:r>
        <w:rPr>
          <w:rFonts w:ascii="Arial" w:hAnsi="Arial" w:cs="Arial"/>
          <w:color w:val="auto"/>
          <w:sz w:val="16"/>
          <w:szCs w:val="16"/>
        </w:rPr>
        <w:t xml:space="preserve">Documento generado en 01/04/2024 11:42:53 AM </w:t>
      </w:r>
    </w:p>
    <w:p w14:paraId="1B487962" w14:textId="77777777" w:rsidR="00C73F68" w:rsidRDefault="00C73F68" w:rsidP="00C73F68">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5B271963" w14:textId="46655681" w:rsidR="00C73F68" w:rsidRDefault="00C73F68" w:rsidP="00C73F68">
      <w:pPr>
        <w:jc w:val="both"/>
      </w:pPr>
      <w:r>
        <w:rPr>
          <w:rFonts w:ascii="Arial" w:hAnsi="Arial" w:cs="Arial"/>
          <w:sz w:val="20"/>
          <w:szCs w:val="20"/>
        </w:rPr>
        <w:t>https://procesojudicial.ramajudicial.gov.co/FirmaElectronica</w:t>
      </w:r>
    </w:p>
    <w:p w14:paraId="6AD8C24C" w14:textId="77777777" w:rsidR="00DA7F7C" w:rsidRDefault="00DA7F7C" w:rsidP="00C73F68">
      <w:pPr>
        <w:jc w:val="both"/>
      </w:pPr>
    </w:p>
    <w:p w14:paraId="35E0230A" w14:textId="77777777" w:rsidR="00DA7F7C" w:rsidRDefault="00DA7F7C" w:rsidP="00C73F68">
      <w:pPr>
        <w:jc w:val="both"/>
      </w:pPr>
    </w:p>
    <w:p w14:paraId="72D3F558" w14:textId="77777777" w:rsidR="00DA7F7C" w:rsidRDefault="00DA7F7C" w:rsidP="00C73F68">
      <w:pPr>
        <w:jc w:val="both"/>
      </w:pPr>
    </w:p>
    <w:p w14:paraId="74AB2E7D" w14:textId="77777777" w:rsidR="00990DFA" w:rsidRDefault="00990DFA" w:rsidP="00C73F68">
      <w:pPr>
        <w:jc w:val="both"/>
      </w:pPr>
    </w:p>
    <w:p w14:paraId="75830B8B" w14:textId="77777777" w:rsidR="00990DFA" w:rsidRDefault="00990DFA" w:rsidP="00C73F68">
      <w:pPr>
        <w:jc w:val="both"/>
      </w:pPr>
    </w:p>
    <w:sectPr w:rsidR="00990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FA"/>
    <w:rsid w:val="00737460"/>
    <w:rsid w:val="00990DFA"/>
    <w:rsid w:val="00A42E6E"/>
    <w:rsid w:val="00B9243D"/>
    <w:rsid w:val="00C322CB"/>
    <w:rsid w:val="00C73F68"/>
    <w:rsid w:val="00CF7713"/>
    <w:rsid w:val="00DA03DC"/>
    <w:rsid w:val="00DA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1DD9"/>
  <w15:chartTrackingRefBased/>
  <w15:docId w15:val="{241F8CA3-49B1-47AC-92B6-48A52F3F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DFA"/>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2024-04-03T12:55:00Z</dcterms:created>
  <dcterms:modified xsi:type="dcterms:W3CDTF">2024-04-03T13:13:00Z</dcterms:modified>
</cp:coreProperties>
</file>