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CDE3" w14:textId="77777777" w:rsidR="00753F51" w:rsidRDefault="00657B8F" w:rsidP="00657B8F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R.I. 16418 </w:t>
      </w:r>
    </w:p>
    <w:p w14:paraId="175235BA" w14:textId="77777777" w:rsidR="00753F51" w:rsidRDefault="00753F51" w:rsidP="00657B8F">
      <w:pPr>
        <w:pStyle w:val="Default"/>
        <w:rPr>
          <w:b/>
          <w:bCs/>
          <w:sz w:val="18"/>
          <w:szCs w:val="18"/>
        </w:rPr>
      </w:pPr>
    </w:p>
    <w:p w14:paraId="7FD59764" w14:textId="77777777" w:rsidR="000906A4" w:rsidRDefault="000906A4" w:rsidP="00753F51">
      <w:pPr>
        <w:pStyle w:val="Default"/>
        <w:jc w:val="center"/>
        <w:rPr>
          <w:b/>
          <w:bCs/>
          <w:sz w:val="26"/>
          <w:szCs w:val="26"/>
        </w:rPr>
      </w:pPr>
    </w:p>
    <w:p w14:paraId="0540E398" w14:textId="7A3FE232" w:rsidR="00E81290" w:rsidRDefault="00657B8F" w:rsidP="00753F5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República de Colombia </w:t>
      </w:r>
    </w:p>
    <w:p w14:paraId="20BE3F2E" w14:textId="77777777" w:rsidR="00E81290" w:rsidRDefault="00657B8F" w:rsidP="00753F5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Rama Judicial del Poder Público </w:t>
      </w:r>
    </w:p>
    <w:p w14:paraId="0E8D2938" w14:textId="2567F8BD" w:rsidR="00657B8F" w:rsidRDefault="00657B8F" w:rsidP="00753F5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TRIBUNAL SUPERIOR DEL DISTRITO JUDICIAL DE BOGOTÁ SALA CIVIL</w:t>
      </w:r>
    </w:p>
    <w:p w14:paraId="642B8A64" w14:textId="77777777" w:rsidR="00753F51" w:rsidRDefault="00753F51" w:rsidP="00657B8F">
      <w:pPr>
        <w:pStyle w:val="Default"/>
        <w:rPr>
          <w:color w:val="auto"/>
          <w:sz w:val="26"/>
          <w:szCs w:val="26"/>
        </w:rPr>
      </w:pPr>
    </w:p>
    <w:p w14:paraId="1F9DA465" w14:textId="5935E213" w:rsidR="00657B8F" w:rsidRDefault="00657B8F" w:rsidP="00753F51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Bogotá D.C.,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veintiséis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(26) de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abril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dos mil veinticuatro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(2024)</w:t>
      </w:r>
    </w:p>
    <w:p w14:paraId="2C56EB0B" w14:textId="77777777" w:rsidR="00753F51" w:rsidRDefault="00657B8F" w:rsidP="00753F51">
      <w:pPr>
        <w:pStyle w:val="Default"/>
        <w:jc w:val="center"/>
        <w:rPr>
          <w:rFonts w:cstheme="minorBidi"/>
          <w:b/>
          <w:bCs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Rad. 11001-3103-012-2020-00118-01</w:t>
      </w:r>
    </w:p>
    <w:p w14:paraId="3CCBC3FE" w14:textId="6984F279" w:rsidR="00657B8F" w:rsidRDefault="00657B8F" w:rsidP="00657B8F">
      <w:pPr>
        <w:pStyle w:val="Default"/>
        <w:rPr>
          <w:rFonts w:cstheme="minorBidi"/>
          <w:b/>
          <w:bCs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 </w:t>
      </w:r>
    </w:p>
    <w:p w14:paraId="09C37724" w14:textId="77777777" w:rsidR="00E81290" w:rsidRDefault="00E81290" w:rsidP="00657B8F">
      <w:pPr>
        <w:pStyle w:val="Default"/>
        <w:rPr>
          <w:rFonts w:cstheme="minorBidi"/>
          <w:color w:val="auto"/>
          <w:sz w:val="26"/>
          <w:szCs w:val="26"/>
        </w:rPr>
      </w:pPr>
    </w:p>
    <w:p w14:paraId="1DC00C2B" w14:textId="5CF91F53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Revisadas las actuaciones en el expediente digital aportado,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en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atención a que mediante auto de 24 de noviembre de 2023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esta sede </w:t>
      </w:r>
    </w:p>
    <w:p w14:paraId="6E72FD3E" w14:textId="1BB0E49A" w:rsidR="00753F51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judicial admitió el recurso de alzada impetrado por la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parte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</w:t>
      </w:r>
      <w:r w:rsidR="00753F51">
        <w:rPr>
          <w:color w:val="auto"/>
          <w:sz w:val="26"/>
          <w:szCs w:val="26"/>
        </w:rPr>
        <w:t>m</w:t>
      </w:r>
      <w:r>
        <w:rPr>
          <w:color w:val="auto"/>
          <w:sz w:val="26"/>
          <w:szCs w:val="26"/>
        </w:rPr>
        <w:t>andante contra sentencia proferida el 11 de agosto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2023 por el Juzgado Doce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Civil del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Circuito de esta ciudad,</w:t>
      </w:r>
      <w:r w:rsidR="00753F51">
        <w:rPr>
          <w:color w:val="auto"/>
          <w:sz w:val="26"/>
          <w:szCs w:val="26"/>
        </w:rPr>
        <w:t xml:space="preserve"> </w:t>
      </w:r>
      <w:r>
        <w:rPr>
          <w:color w:val="auto"/>
          <w:sz w:val="25"/>
          <w:szCs w:val="25"/>
        </w:rPr>
        <w:t>pero no otorgó el termino al recurrente para sustentar sus reparos</w:t>
      </w:r>
      <w:r w:rsidR="00753F51">
        <w:rPr>
          <w:color w:val="auto"/>
          <w:sz w:val="25"/>
          <w:szCs w:val="25"/>
        </w:rPr>
        <w:t xml:space="preserve"> </w:t>
      </w:r>
      <w:r>
        <w:rPr>
          <w:color w:val="auto"/>
          <w:sz w:val="25"/>
          <w:szCs w:val="25"/>
        </w:rPr>
        <w:t>de alzada,</w:t>
      </w:r>
      <w:r w:rsidR="00753F51">
        <w:rPr>
          <w:color w:val="auto"/>
          <w:sz w:val="25"/>
          <w:szCs w:val="25"/>
        </w:rPr>
        <w:t xml:space="preserve"> </w:t>
      </w:r>
      <w:r>
        <w:rPr>
          <w:color w:val="auto"/>
          <w:sz w:val="26"/>
          <w:szCs w:val="26"/>
        </w:rPr>
        <w:t>el Tribunal,</w:t>
      </w:r>
    </w:p>
    <w:p w14:paraId="5125AAEC" w14:textId="48834175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2D1AF694" w14:textId="77777777" w:rsidR="00657B8F" w:rsidRDefault="00657B8F" w:rsidP="00E81290">
      <w:pPr>
        <w:pStyle w:val="Default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DISPONE: </w:t>
      </w:r>
    </w:p>
    <w:p w14:paraId="629DFFFF" w14:textId="77777777" w:rsidR="00E81290" w:rsidRDefault="00E81290" w:rsidP="00E81290">
      <w:pPr>
        <w:pStyle w:val="Default"/>
        <w:jc w:val="both"/>
        <w:rPr>
          <w:rFonts w:cstheme="minorBidi"/>
          <w:b/>
          <w:bCs/>
          <w:color w:val="auto"/>
          <w:sz w:val="26"/>
          <w:szCs w:val="26"/>
        </w:rPr>
      </w:pPr>
    </w:p>
    <w:p w14:paraId="5EEB6B6F" w14:textId="327533E7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PRIMERO:</w:t>
      </w:r>
      <w:r w:rsidR="00E81290">
        <w:rPr>
          <w:rFonts w:cstheme="minorBidi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conformidad con el inciso 3° del artículo 12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de la Ley </w:t>
      </w:r>
    </w:p>
    <w:p w14:paraId="473542E7" w14:textId="5687F2F0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2213 de 2022, se corre traslado por el término de cinco (5) días al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apelante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para que sustente los reparos que, de manera concreta formuló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contra la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sentencia del</w:t>
      </w:r>
      <w:r w:rsidR="00E81290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A </w:t>
      </w:r>
      <w:proofErr w:type="gramStart"/>
      <w:r>
        <w:rPr>
          <w:i/>
          <w:iCs/>
          <w:color w:val="auto"/>
          <w:sz w:val="26"/>
          <w:szCs w:val="26"/>
        </w:rPr>
        <w:t>quo</w:t>
      </w:r>
      <w:r w:rsidR="00E81290">
        <w:rPr>
          <w:i/>
          <w:iCs/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 so</w:t>
      </w:r>
      <w:proofErr w:type="gramEnd"/>
      <w:r>
        <w:rPr>
          <w:color w:val="auto"/>
          <w:sz w:val="26"/>
          <w:szCs w:val="26"/>
        </w:rPr>
        <w:t xml:space="preserve"> pena de declararse desierto el recurso. Una </w:t>
      </w:r>
      <w:proofErr w:type="gramStart"/>
      <w:r>
        <w:rPr>
          <w:color w:val="auto"/>
          <w:sz w:val="26"/>
          <w:szCs w:val="26"/>
        </w:rPr>
        <w:t xml:space="preserve">vez 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presentado</w:t>
      </w:r>
      <w:proofErr w:type="gramEnd"/>
      <w:r>
        <w:rPr>
          <w:color w:val="auto"/>
          <w:sz w:val="26"/>
          <w:szCs w:val="26"/>
        </w:rPr>
        <w:t xml:space="preserve"> el escrito, córrase traslado al extremo contrario por el término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antes indicado. </w:t>
      </w:r>
    </w:p>
    <w:p w14:paraId="1A308AF2" w14:textId="77777777" w:rsidR="00E81290" w:rsidRDefault="00E81290" w:rsidP="00657B8F">
      <w:pPr>
        <w:pStyle w:val="Default"/>
        <w:rPr>
          <w:rFonts w:cstheme="minorBidi"/>
          <w:b/>
          <w:bCs/>
          <w:color w:val="auto"/>
          <w:sz w:val="26"/>
          <w:szCs w:val="26"/>
        </w:rPr>
      </w:pPr>
    </w:p>
    <w:p w14:paraId="232275DE" w14:textId="1F5FE4DD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SEGUNDO:</w:t>
      </w:r>
      <w:r w:rsidR="00E81290">
        <w:rPr>
          <w:rFonts w:cstheme="minorBidi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Si bien es cierto la suscrita Magistrada en otros asuntos </w:t>
      </w:r>
    </w:p>
    <w:p w14:paraId="5272C44F" w14:textId="7CE77DED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de idénticas 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circunstancias fácticas, venía sosteniendo la tesis de aceptar los reparos que se hicieran ante el juez de primer grado, para omitir la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carga de sustentar la alzada frente el juzgador</w:t>
      </w:r>
      <w:r w:rsidR="00E81290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ad</w:t>
      </w:r>
      <w:r w:rsidR="00E81290">
        <w:rPr>
          <w:i/>
          <w:iCs/>
          <w:color w:val="auto"/>
          <w:sz w:val="26"/>
          <w:szCs w:val="26"/>
        </w:rPr>
        <w:t xml:space="preserve"> - </w:t>
      </w:r>
      <w:proofErr w:type="spellStart"/>
      <w:r>
        <w:rPr>
          <w:i/>
          <w:iCs/>
          <w:color w:val="auto"/>
          <w:sz w:val="26"/>
          <w:szCs w:val="26"/>
        </w:rPr>
        <w:t>quem</w:t>
      </w:r>
      <w:proofErr w:type="spellEnd"/>
      <w:r>
        <w:rPr>
          <w:color w:val="auto"/>
          <w:sz w:val="26"/>
          <w:szCs w:val="26"/>
        </w:rPr>
        <w:t>, es evidente que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una de las modificaciones que al régimen de las impugnaciones en materia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civil implementó el Código General del Proceso y que, de paso, acabó con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discusiones en torno a la</w:t>
      </w:r>
      <w:r w:rsidR="00E81290">
        <w:rPr>
          <w:color w:val="auto"/>
          <w:sz w:val="26"/>
          <w:szCs w:val="26"/>
        </w:rPr>
        <w:t xml:space="preserve"> i</w:t>
      </w:r>
      <w:r>
        <w:rPr>
          <w:color w:val="auto"/>
          <w:sz w:val="26"/>
          <w:szCs w:val="26"/>
        </w:rPr>
        <w:t xml:space="preserve">nstancia en la cual el apelante debía defender sus embates, fue justamente la contenida en su artículo 322, al disponer el cumplimiento de dos cargas bien diferenciadas. </w:t>
      </w:r>
    </w:p>
    <w:p w14:paraId="5D79FE8E" w14:textId="77777777" w:rsidR="00E81290" w:rsidRDefault="00E81290" w:rsidP="00E81290">
      <w:pPr>
        <w:pStyle w:val="Default"/>
        <w:jc w:val="both"/>
        <w:rPr>
          <w:color w:val="auto"/>
          <w:sz w:val="26"/>
          <w:szCs w:val="26"/>
        </w:rPr>
      </w:pPr>
    </w:p>
    <w:p w14:paraId="00B0D5DD" w14:textId="30565503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La </w:t>
      </w:r>
      <w:r>
        <w:rPr>
          <w:rFonts w:cstheme="minorBidi"/>
          <w:b/>
          <w:bCs/>
          <w:color w:val="auto"/>
          <w:sz w:val="26"/>
          <w:szCs w:val="26"/>
        </w:rPr>
        <w:t>primera</w:t>
      </w:r>
      <w:r>
        <w:rPr>
          <w:color w:val="auto"/>
          <w:sz w:val="26"/>
          <w:szCs w:val="26"/>
        </w:rPr>
        <w:t xml:space="preserve">, que al interponer el recurso el impugnante exprese ante </w:t>
      </w:r>
    </w:p>
    <w:p w14:paraId="71650718" w14:textId="6C2FB411" w:rsidR="00657B8F" w:rsidRDefault="00657B8F" w:rsidP="00E812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el juzgado de conocimiento “</w:t>
      </w:r>
      <w:r>
        <w:rPr>
          <w:i/>
          <w:iCs/>
          <w:color w:val="auto"/>
          <w:sz w:val="26"/>
          <w:szCs w:val="26"/>
        </w:rPr>
        <w:t xml:space="preserve">los reparos </w:t>
      </w:r>
      <w:proofErr w:type="gramStart"/>
      <w:r>
        <w:rPr>
          <w:i/>
          <w:iCs/>
          <w:color w:val="auto"/>
          <w:sz w:val="26"/>
          <w:szCs w:val="26"/>
        </w:rPr>
        <w:t>concretos</w:t>
      </w:r>
      <w:r w:rsidR="00E81290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”</w:t>
      </w:r>
      <w:proofErr w:type="gramEnd"/>
      <w:r>
        <w:rPr>
          <w:color w:val="auto"/>
          <w:sz w:val="26"/>
          <w:szCs w:val="26"/>
        </w:rPr>
        <w:t xml:space="preserve"> sobre los cuales versará la sustentación, la cual podrá cumplirse inmediatamente si la decisión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se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toma en audiencia o dentro de los tres (3) días siguientes </w:t>
      </w:r>
      <w:r>
        <w:rPr>
          <w:color w:val="auto"/>
          <w:sz w:val="26"/>
          <w:szCs w:val="26"/>
        </w:rPr>
        <w:lastRenderedPageBreak/>
        <w:t xml:space="preserve">a su realización, ora a la notificación de la que se hubiera dictado por fuera de esta. La </w:t>
      </w:r>
      <w:r>
        <w:rPr>
          <w:rFonts w:cstheme="minorBidi"/>
          <w:b/>
          <w:bCs/>
          <w:color w:val="auto"/>
          <w:sz w:val="26"/>
          <w:szCs w:val="26"/>
        </w:rPr>
        <w:t>segunda</w:t>
      </w:r>
      <w:r>
        <w:rPr>
          <w:color w:val="auto"/>
          <w:sz w:val="26"/>
          <w:szCs w:val="26"/>
        </w:rPr>
        <w:t>, que es la nos ocupa, la de acudir ante el juez de segundo grado a realizar la sustentación, so</w:t>
      </w:r>
      <w:r w:rsidR="00E8129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pena de acarrear la sanción del inciso tercero, numeral tres, esto es, “</w:t>
      </w:r>
      <w:r>
        <w:rPr>
          <w:i/>
          <w:iCs/>
          <w:color w:val="auto"/>
          <w:sz w:val="23"/>
          <w:szCs w:val="23"/>
        </w:rPr>
        <w:t xml:space="preserve">El juez de segunda instancia declarará desierto el recurso de apelación contra una sentencia que no hubiere sido </w:t>
      </w:r>
      <w:proofErr w:type="gramStart"/>
      <w:r>
        <w:rPr>
          <w:i/>
          <w:iCs/>
          <w:color w:val="auto"/>
          <w:sz w:val="23"/>
          <w:szCs w:val="23"/>
        </w:rPr>
        <w:t>sustentado</w:t>
      </w:r>
      <w:r w:rsidR="00E81290"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6"/>
          <w:szCs w:val="26"/>
        </w:rPr>
        <w:t>”</w:t>
      </w:r>
      <w:proofErr w:type="gramEnd"/>
      <w:r>
        <w:rPr>
          <w:color w:val="auto"/>
          <w:sz w:val="26"/>
          <w:szCs w:val="26"/>
        </w:rPr>
        <w:t xml:space="preserve">. </w:t>
      </w:r>
    </w:p>
    <w:p w14:paraId="32B3B8A4" w14:textId="77777777" w:rsidR="00E81290" w:rsidRDefault="00E81290" w:rsidP="00657B8F">
      <w:pPr>
        <w:pStyle w:val="Default"/>
        <w:rPr>
          <w:color w:val="auto"/>
          <w:sz w:val="26"/>
          <w:szCs w:val="26"/>
        </w:rPr>
      </w:pPr>
    </w:p>
    <w:p w14:paraId="34575F4E" w14:textId="77777777" w:rsidR="009726F5" w:rsidRDefault="00657B8F" w:rsidP="009726F5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Incluso, esa dualidad de actuaciones no fue objeto de modificación</w:t>
      </w:r>
      <w:r w:rsidR="009726F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con la Ley 2213 de 2022, pues ésta, en orden al recurso de apelación en materia civil y de familia, dispuso en su artículo 12 que “</w:t>
      </w:r>
      <w:r>
        <w:rPr>
          <w:i/>
          <w:iCs/>
          <w:color w:val="auto"/>
          <w:sz w:val="23"/>
          <w:szCs w:val="23"/>
        </w:rPr>
        <w:t>Ejecutoriado el auto que admite el recurso o el que niega la solicitud de pruebas, el apelante deberá</w:t>
      </w:r>
      <w:r w:rsidR="00E81290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sustentar el</w:t>
      </w:r>
      <w:r w:rsidR="00E81290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recurso a más tardar dentro de los cinco (5) días siguientes. </w:t>
      </w:r>
    </w:p>
    <w:p w14:paraId="134D1C7A" w14:textId="77777777" w:rsidR="009726F5" w:rsidRDefault="009726F5" w:rsidP="009726F5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28FE1E62" w14:textId="0C22AAA4" w:rsidR="009726F5" w:rsidRDefault="00657B8F" w:rsidP="009A4B36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3"/>
          <w:szCs w:val="23"/>
        </w:rPr>
        <w:t xml:space="preserve">De la sustentación se correrá traslado a la parte contraria por el término de cinco (5) días. Vencido el término de traslado se proferirá sentencia escrita que se notificará por estado. </w:t>
      </w:r>
      <w:r>
        <w:rPr>
          <w:b/>
          <w:bCs/>
          <w:i/>
          <w:iCs/>
          <w:color w:val="auto"/>
          <w:sz w:val="23"/>
          <w:szCs w:val="23"/>
        </w:rPr>
        <w:t>Si no se sustenta oportunamente el recurso, se declarará</w:t>
      </w:r>
      <w:r w:rsidR="009726F5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desierto</w:t>
      </w:r>
      <w:r>
        <w:rPr>
          <w:color w:val="auto"/>
          <w:sz w:val="26"/>
          <w:szCs w:val="26"/>
        </w:rPr>
        <w:t>”.</w:t>
      </w:r>
    </w:p>
    <w:p w14:paraId="680132A1" w14:textId="1DE30331" w:rsidR="00657B8F" w:rsidRDefault="00657B8F" w:rsidP="009A4B3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11004B98" w14:textId="771EF5C3" w:rsidR="00657B8F" w:rsidRDefault="00657B8F" w:rsidP="009A4B3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Sobra precisar, que el tópico venido de anunciar no ha sido pacifico</w:t>
      </w:r>
      <w:r w:rsidR="009A4B36">
        <w:rPr>
          <w:color w:val="auto"/>
          <w:sz w:val="26"/>
          <w:szCs w:val="26"/>
        </w:rPr>
        <w:t xml:space="preserve"> </w:t>
      </w:r>
    </w:p>
    <w:p w14:paraId="5360B86B" w14:textId="18EDDAD1" w:rsidR="00657B8F" w:rsidRDefault="00657B8F" w:rsidP="009A4B3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en la Corte Suprema de Justicia, pero la Sala Laboral, ya tiene</w:t>
      </w:r>
      <w:r w:rsidR="009A4B36">
        <w:rPr>
          <w:color w:val="auto"/>
          <w:sz w:val="26"/>
          <w:szCs w:val="26"/>
        </w:rPr>
        <w:t xml:space="preserve"> d</w:t>
      </w:r>
      <w:r>
        <w:rPr>
          <w:color w:val="auto"/>
          <w:sz w:val="26"/>
          <w:szCs w:val="26"/>
        </w:rPr>
        <w:t xml:space="preserve">efinido: </w:t>
      </w:r>
    </w:p>
    <w:p w14:paraId="550BC1C7" w14:textId="77777777" w:rsidR="009A4B36" w:rsidRDefault="009A4B36" w:rsidP="009A4B36">
      <w:pPr>
        <w:pStyle w:val="Default"/>
        <w:jc w:val="both"/>
        <w:rPr>
          <w:color w:val="auto"/>
          <w:sz w:val="26"/>
          <w:szCs w:val="26"/>
        </w:rPr>
      </w:pPr>
    </w:p>
    <w:p w14:paraId="790887AD" w14:textId="357E73FA" w:rsidR="00657B8F" w:rsidRDefault="00657B8F" w:rsidP="009A4B36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6"/>
          <w:szCs w:val="26"/>
        </w:rPr>
        <w:t>“</w:t>
      </w:r>
      <w:r w:rsidR="009A4B36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(...)</w:t>
      </w:r>
      <w:proofErr w:type="gramEnd"/>
      <w:r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3"/>
          <w:szCs w:val="23"/>
        </w:rPr>
        <w:t>al realizar un nuevo estudio del artículo</w:t>
      </w:r>
      <w:r w:rsidR="009A4B36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322 del Código General del</w:t>
      </w:r>
      <w:r w:rsidR="009A4B36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Proceso, </w:t>
      </w:r>
      <w:r>
        <w:rPr>
          <w:b/>
          <w:bCs/>
          <w:i/>
          <w:iCs/>
          <w:color w:val="auto"/>
          <w:sz w:val="23"/>
          <w:szCs w:val="23"/>
        </w:rPr>
        <w:t>considera que en efecto la consecuencia de la no sustentación del recurso de apelación en segunda instancia, al margen de que los reparos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concretos se hubieren presentado en la audiencia y la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sustentación se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haya hecho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 xml:space="preserve">por escrito ante el juez singular, es la declaratoria de desierto 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 la alzada</w:t>
      </w:r>
      <w:r>
        <w:rPr>
          <w:i/>
          <w:iCs/>
          <w:color w:val="auto"/>
          <w:sz w:val="23"/>
          <w:szCs w:val="23"/>
        </w:rPr>
        <w:t xml:space="preserve">, pues así lo dejó consagrado el legislador cuando dijo en la referida norma: </w:t>
      </w:r>
    </w:p>
    <w:p w14:paraId="45756C07" w14:textId="77777777" w:rsidR="009A4B36" w:rsidRDefault="009A4B36" w:rsidP="009A4B36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32761F1C" w14:textId="2BF9E3B8" w:rsidR="00657B8F" w:rsidRDefault="00657B8F" w:rsidP="009A4B36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“Cuando se apele una sentencia, el apelante, al momento de interponer el</w:t>
      </w:r>
      <w:r w:rsidR="009A4B36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recurso en la audiencia,</w:t>
      </w:r>
      <w:r w:rsidR="009A4B36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si hubiere sido proferida en ella, o dentro de los tres (3) días siguientes a su finalización o a la notificación de la que hubiere sido dictada por fuera de audiencia, deberá precisar, de manera breve, los reparos concretos</w:t>
      </w:r>
      <w:r w:rsidR="009A4B36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que le hace a la decisión, sobre los cuales versará la sustentación que hará ante el superior”. (subrayas para resaltar). </w:t>
      </w:r>
    </w:p>
    <w:p w14:paraId="13F17B0F" w14:textId="77777777" w:rsidR="009A4B36" w:rsidRDefault="009A4B36" w:rsidP="009A4B36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78944677" w14:textId="1D77B1EC" w:rsidR="00657B8F" w:rsidRDefault="00657B8F" w:rsidP="00657B8F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(...) </w:t>
      </w:r>
    </w:p>
    <w:p w14:paraId="6114A32D" w14:textId="77777777" w:rsidR="009A4B36" w:rsidRDefault="009A4B36" w:rsidP="00657B8F">
      <w:pPr>
        <w:pStyle w:val="Default"/>
        <w:rPr>
          <w:i/>
          <w:iCs/>
          <w:color w:val="auto"/>
          <w:sz w:val="23"/>
          <w:szCs w:val="23"/>
        </w:rPr>
      </w:pPr>
    </w:p>
    <w:p w14:paraId="18A54BA9" w14:textId="563EBBF4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3"/>
          <w:szCs w:val="23"/>
        </w:rPr>
        <w:t>Además, no puede pasar desapercibido que el artículo 12 de la Ley 2213 de</w:t>
      </w:r>
      <w:r w:rsidR="00760FD3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2022 </w:t>
      </w:r>
      <w:r>
        <w:rPr>
          <w:b/>
          <w:bCs/>
          <w:i/>
          <w:iCs/>
          <w:color w:val="auto"/>
          <w:sz w:val="23"/>
          <w:szCs w:val="23"/>
        </w:rPr>
        <w:t>ratificó que «si no se sustenta oportunamente el recurso, se declarará</w:t>
      </w:r>
      <w:r w:rsidR="009A4B36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desierto</w:t>
      </w:r>
      <w:proofErr w:type="gramStart"/>
      <w:r>
        <w:rPr>
          <w:i/>
          <w:iCs/>
          <w:color w:val="auto"/>
          <w:sz w:val="23"/>
          <w:szCs w:val="23"/>
        </w:rPr>
        <w:t>»</w:t>
      </w:r>
      <w:r w:rsidR="00760FD3"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6"/>
          <w:szCs w:val="26"/>
        </w:rPr>
        <w:t>”</w:t>
      </w:r>
      <w:proofErr w:type="gramEnd"/>
      <w:r>
        <w:rPr>
          <w:color w:val="auto"/>
          <w:sz w:val="26"/>
          <w:szCs w:val="26"/>
        </w:rPr>
        <w:t xml:space="preserve">. (Negrillas fuera del texto) </w:t>
      </w:r>
    </w:p>
    <w:p w14:paraId="438103BB" w14:textId="77777777" w:rsidR="00760FD3" w:rsidRDefault="00760FD3" w:rsidP="00760FD3">
      <w:pPr>
        <w:pStyle w:val="Default"/>
        <w:jc w:val="both"/>
        <w:rPr>
          <w:color w:val="auto"/>
          <w:sz w:val="26"/>
          <w:szCs w:val="26"/>
        </w:rPr>
      </w:pPr>
    </w:p>
    <w:p w14:paraId="18545529" w14:textId="3155CC07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Así que, si la ley en comento, norma de índole procesal de imperioso </w:t>
      </w:r>
    </w:p>
    <w:p w14:paraId="78B10F15" w14:textId="77777777" w:rsidR="00760FD3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cumplimiento, impone, en forma clara la sustentación de la alzada ante la</w:t>
      </w:r>
      <w:r w:rsidR="00760FD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segunda instancia, en la oportunidad señalada debe cumplirse tal precepto</w:t>
      </w:r>
      <w:r w:rsidR="00760FD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so pena de rechazo como se ha reiterado.</w:t>
      </w:r>
    </w:p>
    <w:p w14:paraId="40CC91E7" w14:textId="24CA1C6C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1D837ABD" w14:textId="3B9C8D25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Cumplido lo anterior ingrese las diligencias al Despacho para continuar con el trámite correspondiente. </w:t>
      </w:r>
    </w:p>
    <w:p w14:paraId="3DA3260A" w14:textId="77777777" w:rsidR="00760FD3" w:rsidRDefault="00760FD3" w:rsidP="00760FD3">
      <w:pPr>
        <w:pStyle w:val="Default"/>
        <w:jc w:val="both"/>
        <w:rPr>
          <w:color w:val="auto"/>
          <w:sz w:val="26"/>
          <w:szCs w:val="26"/>
        </w:rPr>
      </w:pPr>
    </w:p>
    <w:p w14:paraId="58085D62" w14:textId="7FDF894C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Notifíquese, </w:t>
      </w:r>
    </w:p>
    <w:p w14:paraId="431999F9" w14:textId="77777777" w:rsidR="00760FD3" w:rsidRDefault="00760FD3" w:rsidP="00760FD3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14:paraId="53F35656" w14:textId="36F72A2C" w:rsidR="00657B8F" w:rsidRDefault="00657B8F" w:rsidP="00760FD3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(firma electrónica) </w:t>
      </w:r>
    </w:p>
    <w:p w14:paraId="39440400" w14:textId="77777777" w:rsidR="00657B8F" w:rsidRDefault="00657B8F" w:rsidP="00760FD3">
      <w:pPr>
        <w:pStyle w:val="Default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STELLA MARÍA AYAZO PERNETH </w:t>
      </w:r>
    </w:p>
    <w:p w14:paraId="015A36EA" w14:textId="77777777" w:rsidR="00657B8F" w:rsidRDefault="00657B8F" w:rsidP="00760FD3">
      <w:pPr>
        <w:pStyle w:val="Default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Magistrada </w:t>
      </w:r>
    </w:p>
    <w:p w14:paraId="55ECE01D" w14:textId="77777777" w:rsidR="00760FD3" w:rsidRDefault="00760FD3" w:rsidP="00760FD3">
      <w:pPr>
        <w:pStyle w:val="Default"/>
        <w:jc w:val="both"/>
        <w:rPr>
          <w:color w:val="auto"/>
          <w:sz w:val="20"/>
          <w:szCs w:val="20"/>
        </w:rPr>
      </w:pPr>
    </w:p>
    <w:p w14:paraId="77D72AE3" w14:textId="77777777" w:rsidR="00760FD3" w:rsidRDefault="00760FD3" w:rsidP="00760FD3">
      <w:pPr>
        <w:pStyle w:val="Default"/>
        <w:jc w:val="both"/>
        <w:rPr>
          <w:color w:val="auto"/>
          <w:sz w:val="20"/>
          <w:szCs w:val="20"/>
        </w:rPr>
      </w:pPr>
    </w:p>
    <w:p w14:paraId="743B7944" w14:textId="149539C8" w:rsidR="00657B8F" w:rsidRDefault="00657B8F" w:rsidP="00657B8F">
      <w:pPr>
        <w:pStyle w:val="Default"/>
        <w:rPr>
          <w:color w:val="auto"/>
          <w:sz w:val="20"/>
          <w:szCs w:val="20"/>
        </w:rPr>
      </w:pPr>
    </w:p>
    <w:p w14:paraId="28A80CBB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51FD327B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Stella Maria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Ayazo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Perneth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79867CA2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Magistrada </w:t>
      </w:r>
    </w:p>
    <w:p w14:paraId="37685EE5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04 Civil Tribunal Superior De Bogotá, D.C. - Bogotá D.C., </w:t>
      </w:r>
    </w:p>
    <w:p w14:paraId="3A0D3D66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28F95377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0003B4CE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293BFBA2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befcd649f31f2b29d10e2351a2158fa0e7bd700713a24033c718146cc6c91d07 </w:t>
      </w:r>
    </w:p>
    <w:p w14:paraId="7D31438D" w14:textId="77777777" w:rsidR="00657B8F" w:rsidRDefault="00657B8F" w:rsidP="00657B8F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26/04/2024 12:43:14 PM </w:t>
      </w:r>
    </w:p>
    <w:p w14:paraId="65F96DBF" w14:textId="77777777" w:rsidR="00657B8F" w:rsidRDefault="00657B8F" w:rsidP="00657B8F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652F567C" w14:textId="2CF421D0" w:rsidR="00B9243D" w:rsidRDefault="00657B8F" w:rsidP="00657B8F"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8F"/>
    <w:rsid w:val="000906A4"/>
    <w:rsid w:val="00656DA2"/>
    <w:rsid w:val="00657B8F"/>
    <w:rsid w:val="00737460"/>
    <w:rsid w:val="00753F51"/>
    <w:rsid w:val="00760FD3"/>
    <w:rsid w:val="0077633E"/>
    <w:rsid w:val="009726F5"/>
    <w:rsid w:val="009A4B36"/>
    <w:rsid w:val="00B9243D"/>
    <w:rsid w:val="00DA03DC"/>
    <w:rsid w:val="00E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0171"/>
  <w15:chartTrackingRefBased/>
  <w15:docId w15:val="{1AFD5941-6DFC-415F-80FF-A773871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7B8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11</cp:revision>
  <dcterms:created xsi:type="dcterms:W3CDTF">2024-04-29T22:14:00Z</dcterms:created>
  <dcterms:modified xsi:type="dcterms:W3CDTF">2024-04-29T22:28:00Z</dcterms:modified>
</cp:coreProperties>
</file>