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8A08F" w14:textId="4A18BE65" w:rsidR="001336B0" w:rsidRPr="00880C34" w:rsidRDefault="001336B0" w:rsidP="00ED7ED7">
      <w:pPr>
        <w:pStyle w:val="Prrafodelista"/>
        <w:numPr>
          <w:ilvl w:val="0"/>
          <w:numId w:val="1"/>
        </w:numPr>
        <w:jc w:val="both"/>
        <w:rPr>
          <w:b/>
          <w:bCs/>
        </w:rPr>
      </w:pPr>
      <w:r>
        <w:rPr>
          <w:b/>
          <w:bCs/>
        </w:rPr>
        <w:t xml:space="preserve">Verificación de Quórum: </w:t>
      </w:r>
      <w:r>
        <w:t>Se verifica la asistencia de las personas que deben asistir para conformar el quórum.</w:t>
      </w:r>
    </w:p>
    <w:p w14:paraId="4BEC7D52" w14:textId="672E1960" w:rsidR="001336B0" w:rsidRPr="001336B0" w:rsidRDefault="001336B0" w:rsidP="00ED7ED7">
      <w:pPr>
        <w:pStyle w:val="Prrafodelista"/>
        <w:numPr>
          <w:ilvl w:val="0"/>
          <w:numId w:val="1"/>
        </w:numPr>
        <w:jc w:val="both"/>
        <w:rPr>
          <w:b/>
          <w:bCs/>
        </w:rPr>
      </w:pPr>
      <w:r>
        <w:rPr>
          <w:b/>
          <w:bCs/>
        </w:rPr>
        <w:t xml:space="preserve">Presentación del Acta No. 005: </w:t>
      </w:r>
      <w:r>
        <w:t>No se recibieron observaciones al acta.</w:t>
      </w:r>
    </w:p>
    <w:p w14:paraId="1E0EF7D2" w14:textId="77777777" w:rsidR="001336B0" w:rsidRPr="001336B0" w:rsidRDefault="001336B0" w:rsidP="00ED7ED7">
      <w:pPr>
        <w:pStyle w:val="Prrafodelista"/>
        <w:jc w:val="both"/>
        <w:rPr>
          <w:b/>
          <w:bCs/>
        </w:rPr>
      </w:pPr>
    </w:p>
    <w:p w14:paraId="12A8B9D9" w14:textId="1A9EDF09" w:rsidR="001336B0" w:rsidRPr="00ED7ED7" w:rsidRDefault="001336B0" w:rsidP="00ED7ED7">
      <w:pPr>
        <w:pStyle w:val="Prrafodelista"/>
        <w:numPr>
          <w:ilvl w:val="0"/>
          <w:numId w:val="1"/>
        </w:numPr>
        <w:jc w:val="both"/>
        <w:rPr>
          <w:b/>
          <w:bCs/>
        </w:rPr>
      </w:pPr>
      <w:r>
        <w:rPr>
          <w:b/>
          <w:bCs/>
        </w:rPr>
        <w:t xml:space="preserve">Proyecto de Acuerdo del Comité de Pagos No. 1 </w:t>
      </w:r>
    </w:p>
    <w:p w14:paraId="2F5555E2" w14:textId="457AAF3E" w:rsidR="001336B0" w:rsidRPr="00ED7ED7" w:rsidRDefault="001336B0" w:rsidP="00ED7ED7">
      <w:pPr>
        <w:pStyle w:val="Prrafodelista"/>
        <w:jc w:val="both"/>
      </w:pPr>
      <w:r w:rsidRPr="00ED7ED7">
        <w:t xml:space="preserve">Corresponde al pago que le harían a la UNIÓN TEMPORAL UT UCI. </w:t>
      </w:r>
    </w:p>
    <w:p w14:paraId="1B9933F4" w14:textId="77777777" w:rsidR="00ED7ED7" w:rsidRDefault="00ED7ED7" w:rsidP="00ED7ED7">
      <w:pPr>
        <w:pStyle w:val="Prrafodelista"/>
        <w:jc w:val="both"/>
      </w:pPr>
    </w:p>
    <w:p w14:paraId="7F92A187" w14:textId="178BDBF3" w:rsidR="001336B0" w:rsidRPr="00ED7ED7" w:rsidRDefault="001336B0" w:rsidP="00ED7ED7">
      <w:pPr>
        <w:pStyle w:val="Prrafodelista"/>
        <w:jc w:val="both"/>
      </w:pPr>
      <w:r w:rsidRPr="00ED7ED7">
        <w:t>Se aprueba la programación del pago. Se aprueba la certificación de los recursos.</w:t>
      </w:r>
      <w:r w:rsidR="00880C34">
        <w:t xml:space="preserve"> C</w:t>
      </w:r>
      <w:r w:rsidR="00880C34">
        <w:t>orresponde al pago de los excedentes de liquidez de la vigencia 2024</w:t>
      </w:r>
      <w:r w:rsidR="00880C34">
        <w:t>.</w:t>
      </w:r>
    </w:p>
    <w:p w14:paraId="384E6CBF" w14:textId="77777777" w:rsidR="001336B0" w:rsidRDefault="001336B0" w:rsidP="00ED7ED7">
      <w:pPr>
        <w:pStyle w:val="Prrafodelista"/>
        <w:jc w:val="both"/>
        <w:rPr>
          <w:b/>
          <w:bCs/>
        </w:rPr>
      </w:pPr>
    </w:p>
    <w:p w14:paraId="6580E5BB" w14:textId="6AB0240E" w:rsidR="001336B0" w:rsidRDefault="001336B0" w:rsidP="00ED7ED7">
      <w:pPr>
        <w:pStyle w:val="Prrafodelista"/>
        <w:jc w:val="both"/>
      </w:pPr>
      <w:r>
        <w:t>Aún falta un paso en la secuencia que se debe llevar a cabo, y es llevar el acuerdo a la junta directiva, una vez se logre la aprobación, se realizará el pago efectivo de los recursos</w:t>
      </w:r>
      <w:r w:rsidR="00880C34">
        <w:t xml:space="preserve">. </w:t>
      </w:r>
      <w:r>
        <w:t xml:space="preserve"> </w:t>
      </w:r>
    </w:p>
    <w:p w14:paraId="5AF1556D" w14:textId="77777777" w:rsidR="001336B0" w:rsidRPr="001336B0" w:rsidRDefault="001336B0" w:rsidP="00ED7ED7">
      <w:pPr>
        <w:pStyle w:val="Prrafodelista"/>
        <w:jc w:val="both"/>
      </w:pPr>
    </w:p>
    <w:p w14:paraId="4F4B43E8" w14:textId="3A57F8F7" w:rsidR="001336B0" w:rsidRPr="00ED7ED7" w:rsidRDefault="001336B0" w:rsidP="00ED7ED7">
      <w:pPr>
        <w:pStyle w:val="Prrafodelista"/>
        <w:numPr>
          <w:ilvl w:val="0"/>
          <w:numId w:val="1"/>
        </w:numPr>
        <w:jc w:val="both"/>
        <w:rPr>
          <w:b/>
          <w:bCs/>
        </w:rPr>
      </w:pPr>
      <w:r>
        <w:rPr>
          <w:b/>
          <w:bCs/>
        </w:rPr>
        <w:t xml:space="preserve">Proposiciones y varios. </w:t>
      </w:r>
      <w:r>
        <w:t xml:space="preserve">Respecto a la situación de los pagos a los demás acreedores. </w:t>
      </w:r>
      <w:r w:rsidR="00ED7ED7">
        <w:t xml:space="preserve">Indican que se está cumpliendo con lo pactado en el programa, que se esta trabajando para mejorar las finanzas y generar un mayor excedente en el ejercicio de 2025. Deben seguir generando recursos para pagar esas obligaciones. </w:t>
      </w:r>
    </w:p>
    <w:p w14:paraId="1F274DC3" w14:textId="77777777" w:rsidR="00ED7ED7" w:rsidRDefault="00ED7ED7" w:rsidP="00ED7ED7">
      <w:pPr>
        <w:pStyle w:val="Prrafodelista"/>
        <w:jc w:val="both"/>
        <w:rPr>
          <w:b/>
          <w:bCs/>
        </w:rPr>
      </w:pPr>
    </w:p>
    <w:p w14:paraId="21D90607" w14:textId="05C3E677" w:rsidR="00ED7ED7" w:rsidRDefault="00ED7ED7" w:rsidP="00ED7ED7">
      <w:pPr>
        <w:pStyle w:val="Prrafodelista"/>
        <w:jc w:val="both"/>
      </w:pPr>
      <w:r>
        <w:t xml:space="preserve">Indica uno de los miembros del comité de pagos que no debería de tenerse en cuenta únicamente los excedentes, sino también los dineros que han recibido por parte del Estado para pagos de acreedores. </w:t>
      </w:r>
    </w:p>
    <w:p w14:paraId="3C4F8EFB" w14:textId="77777777" w:rsidR="00ED7ED7" w:rsidRDefault="00ED7ED7" w:rsidP="00ED7ED7">
      <w:pPr>
        <w:pStyle w:val="Prrafodelista"/>
        <w:jc w:val="both"/>
      </w:pPr>
    </w:p>
    <w:p w14:paraId="037EA3AA" w14:textId="1EB70E2F" w:rsidR="00ED7ED7" w:rsidRDefault="00ED7ED7" w:rsidP="00ED7ED7">
      <w:pPr>
        <w:pStyle w:val="Prrafodelista"/>
        <w:jc w:val="both"/>
      </w:pPr>
      <w:r>
        <w:t>Responde la E.S.E.: Indica que se trata de recursos que son pago de deuda para la operación del Hospital, no son recursos que puedan ser encaminados a este tipo de acuerdos de pagos, porque no corresponde al pago de apalancamientos.</w:t>
      </w:r>
    </w:p>
    <w:p w14:paraId="1965A350" w14:textId="77777777" w:rsidR="00ED7ED7" w:rsidRDefault="00ED7ED7" w:rsidP="00ED7ED7">
      <w:pPr>
        <w:pStyle w:val="Prrafodelista"/>
        <w:jc w:val="both"/>
      </w:pPr>
    </w:p>
    <w:p w14:paraId="3FB93C6D" w14:textId="15BE0FB5" w:rsidR="00ED7ED7" w:rsidRDefault="00ED7ED7" w:rsidP="00ED7ED7">
      <w:pPr>
        <w:pStyle w:val="Prrafodelista"/>
        <w:jc w:val="both"/>
      </w:pPr>
      <w:r>
        <w:t xml:space="preserve">Indican </w:t>
      </w:r>
      <w:proofErr w:type="gramStart"/>
      <w:r>
        <w:t>que</w:t>
      </w:r>
      <w:proofErr w:type="gramEnd"/>
      <w:r>
        <w:t xml:space="preserve"> si bien se han recibido recursos por recuperación de cartera, pero son utilizados para garantizar el gasto de funcionamiento y no generar nuevos pasivos, generando excedentes que permitan apalancar para pagar las acreencias que se encuentran en programa de saneamiento fiscal y financiero. Respecto a la posibilidad de aumentar el plazo para los pagos, es una competencia que le corresponde al Ministerio de Hacienda. El Comité de Pagos únicamente se encarga de velar por el pago de estas acreencias. Ya la lista va a comenzar a moverse más, porque los primeros dos acreedores tenían una acreencia mucho más grande que las demás. </w:t>
      </w:r>
    </w:p>
    <w:p w14:paraId="7881FC34" w14:textId="77777777" w:rsidR="00ED7ED7" w:rsidRDefault="00ED7ED7" w:rsidP="00ED7ED7">
      <w:pPr>
        <w:pStyle w:val="Prrafodelista"/>
        <w:jc w:val="both"/>
      </w:pPr>
    </w:p>
    <w:p w14:paraId="1ECFDD01" w14:textId="22107747" w:rsidR="00ED7ED7" w:rsidRDefault="00ED7ED7" w:rsidP="00ED7ED7">
      <w:pPr>
        <w:pStyle w:val="Prrafodelista"/>
        <w:jc w:val="both"/>
      </w:pPr>
      <w:r>
        <w:t xml:space="preserve">Se da por terminada la sesión. </w:t>
      </w:r>
    </w:p>
    <w:p w14:paraId="22EC92F7" w14:textId="77777777" w:rsidR="00ED7ED7" w:rsidRDefault="00ED7ED7" w:rsidP="00ED7ED7">
      <w:pPr>
        <w:pStyle w:val="Prrafodelista"/>
        <w:jc w:val="both"/>
      </w:pPr>
    </w:p>
    <w:p w14:paraId="61A85F77" w14:textId="7DF15896" w:rsidR="00ED7ED7" w:rsidRDefault="00ED7ED7" w:rsidP="00ED7ED7">
      <w:pPr>
        <w:pStyle w:val="Prrafodelista"/>
        <w:jc w:val="both"/>
      </w:pPr>
    </w:p>
    <w:p w14:paraId="4B96758F" w14:textId="77777777" w:rsidR="00ED7ED7" w:rsidRDefault="00ED7ED7" w:rsidP="00ED7ED7">
      <w:pPr>
        <w:pStyle w:val="Prrafodelista"/>
        <w:jc w:val="both"/>
      </w:pPr>
    </w:p>
    <w:p w14:paraId="47410CD2" w14:textId="77777777" w:rsidR="00ED7ED7" w:rsidRPr="001336B0" w:rsidRDefault="00ED7ED7" w:rsidP="00ED7ED7">
      <w:pPr>
        <w:pStyle w:val="Prrafodelista"/>
        <w:jc w:val="both"/>
        <w:rPr>
          <w:b/>
          <w:bCs/>
        </w:rPr>
      </w:pPr>
    </w:p>
    <w:sectPr w:rsidR="00ED7ED7" w:rsidRPr="001336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B6C"/>
    <w:multiLevelType w:val="hybridMultilevel"/>
    <w:tmpl w:val="2982D5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277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48"/>
    <w:rsid w:val="00037935"/>
    <w:rsid w:val="00104A52"/>
    <w:rsid w:val="001336B0"/>
    <w:rsid w:val="002C4348"/>
    <w:rsid w:val="004A53D4"/>
    <w:rsid w:val="00555313"/>
    <w:rsid w:val="00880C34"/>
    <w:rsid w:val="00CB5A05"/>
    <w:rsid w:val="00E40014"/>
    <w:rsid w:val="00ED7E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923B"/>
  <w15:chartTrackingRefBased/>
  <w15:docId w15:val="{76AB66EE-BC1D-496B-9474-5E0F8715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43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C43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C434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C434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C434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C43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43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43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43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434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C434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C434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C434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C434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C43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43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43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4348"/>
    <w:rPr>
      <w:rFonts w:eastAsiaTheme="majorEastAsia" w:cstheme="majorBidi"/>
      <w:color w:val="272727" w:themeColor="text1" w:themeTint="D8"/>
    </w:rPr>
  </w:style>
  <w:style w:type="paragraph" w:styleId="Ttulo">
    <w:name w:val="Title"/>
    <w:basedOn w:val="Normal"/>
    <w:next w:val="Normal"/>
    <w:link w:val="TtuloCar"/>
    <w:uiPriority w:val="10"/>
    <w:qFormat/>
    <w:rsid w:val="002C4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43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43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43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4348"/>
    <w:pPr>
      <w:spacing w:before="160"/>
      <w:jc w:val="center"/>
    </w:pPr>
    <w:rPr>
      <w:i/>
      <w:iCs/>
      <w:color w:val="404040" w:themeColor="text1" w:themeTint="BF"/>
    </w:rPr>
  </w:style>
  <w:style w:type="character" w:customStyle="1" w:styleId="CitaCar">
    <w:name w:val="Cita Car"/>
    <w:basedOn w:val="Fuentedeprrafopredeter"/>
    <w:link w:val="Cita"/>
    <w:uiPriority w:val="29"/>
    <w:rsid w:val="002C4348"/>
    <w:rPr>
      <w:i/>
      <w:iCs/>
      <w:color w:val="404040" w:themeColor="text1" w:themeTint="BF"/>
    </w:rPr>
  </w:style>
  <w:style w:type="paragraph" w:styleId="Prrafodelista">
    <w:name w:val="List Paragraph"/>
    <w:basedOn w:val="Normal"/>
    <w:uiPriority w:val="34"/>
    <w:qFormat/>
    <w:rsid w:val="002C4348"/>
    <w:pPr>
      <w:ind w:left="720"/>
      <w:contextualSpacing/>
    </w:pPr>
  </w:style>
  <w:style w:type="character" w:styleId="nfasisintenso">
    <w:name w:val="Intense Emphasis"/>
    <w:basedOn w:val="Fuentedeprrafopredeter"/>
    <w:uiPriority w:val="21"/>
    <w:qFormat/>
    <w:rsid w:val="002C4348"/>
    <w:rPr>
      <w:i/>
      <w:iCs/>
      <w:color w:val="2F5496" w:themeColor="accent1" w:themeShade="BF"/>
    </w:rPr>
  </w:style>
  <w:style w:type="paragraph" w:styleId="Citadestacada">
    <w:name w:val="Intense Quote"/>
    <w:basedOn w:val="Normal"/>
    <w:next w:val="Normal"/>
    <w:link w:val="CitadestacadaCar"/>
    <w:uiPriority w:val="30"/>
    <w:qFormat/>
    <w:rsid w:val="002C4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C4348"/>
    <w:rPr>
      <w:i/>
      <w:iCs/>
      <w:color w:val="2F5496" w:themeColor="accent1" w:themeShade="BF"/>
    </w:rPr>
  </w:style>
  <w:style w:type="character" w:styleId="Referenciaintensa">
    <w:name w:val="Intense Reference"/>
    <w:basedOn w:val="Fuentedeprrafopredeter"/>
    <w:uiPriority w:val="32"/>
    <w:qFormat/>
    <w:rsid w:val="002C4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317</Words>
  <Characters>1747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2025-06-16T12:59:00Z</dcterms:created>
  <dcterms:modified xsi:type="dcterms:W3CDTF">2025-06-16T14:09:00Z</dcterms:modified>
</cp:coreProperties>
</file>