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A97B9E" w:rsidRDefault="001C281E" w:rsidP="00A97B9E">
      <w:pPr>
        <w:jc w:val="both"/>
        <w:rPr>
          <w:rFonts w:ascii="Arial" w:hAnsi="Arial" w:cs="Arial"/>
          <w:b/>
          <w:bCs/>
          <w:sz w:val="22"/>
          <w:szCs w:val="22"/>
        </w:rPr>
      </w:pPr>
      <w:r w:rsidRPr="00A97B9E">
        <w:rPr>
          <w:rFonts w:ascii="Arial" w:hAnsi="Arial" w:cs="Arial"/>
          <w:b/>
          <w:bCs/>
          <w:sz w:val="22"/>
          <w:szCs w:val="22"/>
        </w:rPr>
        <w:t>FORMATO PROCESO NUEVO – RESUMEN INICIAL</w:t>
      </w:r>
    </w:p>
    <w:p w14:paraId="7AA9A987" w14:textId="05731379" w:rsidR="00B977DA" w:rsidRPr="00A97B9E" w:rsidRDefault="00B977DA" w:rsidP="00A97B9E">
      <w:pPr>
        <w:jc w:val="both"/>
        <w:rPr>
          <w:rFonts w:ascii="Arial" w:hAnsi="Arial" w:cs="Arial"/>
          <w:b/>
          <w:bCs/>
          <w:sz w:val="22"/>
          <w:szCs w:val="22"/>
        </w:rPr>
      </w:pPr>
      <w:r w:rsidRPr="00A97B9E">
        <w:rPr>
          <w:rFonts w:ascii="Arial" w:hAnsi="Arial" w:cs="Arial"/>
          <w:b/>
          <w:bCs/>
          <w:sz w:val="22"/>
          <w:szCs w:val="22"/>
        </w:rPr>
        <w:br/>
      </w:r>
    </w:p>
    <w:p w14:paraId="45A36DE7" w14:textId="0A118AF8" w:rsidR="00672B99" w:rsidRPr="00A97B9E" w:rsidRDefault="001C281E" w:rsidP="00A97B9E">
      <w:pPr>
        <w:jc w:val="both"/>
        <w:rPr>
          <w:rFonts w:ascii="Arial" w:hAnsi="Arial" w:cs="Arial"/>
          <w:sz w:val="22"/>
          <w:szCs w:val="22"/>
        </w:rPr>
      </w:pPr>
      <w:r w:rsidRPr="00A97B9E">
        <w:rPr>
          <w:rFonts w:ascii="Arial" w:hAnsi="Arial" w:cs="Arial"/>
          <w:b/>
          <w:bCs/>
          <w:sz w:val="22"/>
          <w:szCs w:val="22"/>
        </w:rPr>
        <w:t>Destina</w:t>
      </w:r>
      <w:r w:rsidR="00734BD8" w:rsidRPr="00A97B9E">
        <w:rPr>
          <w:rFonts w:ascii="Arial" w:hAnsi="Arial" w:cs="Arial"/>
          <w:b/>
          <w:bCs/>
          <w:sz w:val="22"/>
          <w:szCs w:val="22"/>
        </w:rPr>
        <w:t>ta</w:t>
      </w:r>
      <w:r w:rsidRPr="00A97B9E">
        <w:rPr>
          <w:rFonts w:ascii="Arial" w:hAnsi="Arial" w:cs="Arial"/>
          <w:b/>
          <w:bCs/>
          <w:sz w:val="22"/>
          <w:szCs w:val="22"/>
        </w:rPr>
        <w:t xml:space="preserve">rio: </w:t>
      </w:r>
      <w:r w:rsidRPr="00A97B9E">
        <w:rPr>
          <w:rFonts w:ascii="Arial" w:hAnsi="Arial" w:cs="Arial"/>
          <w:b/>
          <w:bCs/>
          <w:sz w:val="22"/>
          <w:szCs w:val="22"/>
        </w:rPr>
        <w:tab/>
      </w:r>
      <w:r w:rsidRPr="00A97B9E">
        <w:rPr>
          <w:rFonts w:ascii="Arial" w:hAnsi="Arial" w:cs="Arial"/>
          <w:b/>
          <w:bCs/>
          <w:sz w:val="22"/>
          <w:szCs w:val="22"/>
        </w:rPr>
        <w:tab/>
      </w:r>
      <w:r w:rsidR="000401A8" w:rsidRPr="00A97B9E">
        <w:rPr>
          <w:rFonts w:ascii="Arial" w:hAnsi="Arial" w:cs="Arial"/>
          <w:b/>
          <w:bCs/>
          <w:sz w:val="22"/>
          <w:szCs w:val="22"/>
        </w:rPr>
        <w:tab/>
      </w:r>
      <w:r w:rsidR="000401A8" w:rsidRPr="00A97B9E">
        <w:rPr>
          <w:rFonts w:ascii="Arial" w:hAnsi="Arial" w:cs="Arial"/>
          <w:b/>
          <w:bCs/>
          <w:sz w:val="22"/>
          <w:szCs w:val="22"/>
        </w:rPr>
        <w:tab/>
      </w:r>
      <w:r w:rsidRPr="00A97B9E">
        <w:rPr>
          <w:rFonts w:ascii="Arial" w:hAnsi="Arial" w:cs="Arial"/>
          <w:sz w:val="22"/>
          <w:szCs w:val="22"/>
        </w:rPr>
        <w:t xml:space="preserve">Dirección </w:t>
      </w:r>
      <w:r w:rsidR="00F94E43" w:rsidRPr="00A97B9E">
        <w:rPr>
          <w:rFonts w:ascii="Arial" w:hAnsi="Arial" w:cs="Arial"/>
          <w:sz w:val="22"/>
          <w:szCs w:val="22"/>
        </w:rPr>
        <w:t>Asuntos Legales</w:t>
      </w:r>
      <w:r w:rsidRPr="00A97B9E">
        <w:rPr>
          <w:rFonts w:ascii="Arial" w:hAnsi="Arial" w:cs="Arial"/>
          <w:sz w:val="22"/>
          <w:szCs w:val="22"/>
        </w:rPr>
        <w:t xml:space="preserve"> </w:t>
      </w:r>
      <w:r w:rsidR="004803E3" w:rsidRPr="00A97B9E">
        <w:rPr>
          <w:rFonts w:ascii="Arial" w:hAnsi="Arial" w:cs="Arial"/>
          <w:sz w:val="22"/>
          <w:szCs w:val="22"/>
        </w:rPr>
        <w:t xml:space="preserve">Occidente </w:t>
      </w:r>
    </w:p>
    <w:p w14:paraId="2B6C631D" w14:textId="61B407B1" w:rsidR="000401A8" w:rsidRPr="00A97B9E" w:rsidRDefault="000401A8" w:rsidP="00A97B9E">
      <w:pPr>
        <w:jc w:val="both"/>
        <w:rPr>
          <w:rFonts w:ascii="Arial" w:hAnsi="Arial" w:cs="Arial"/>
          <w:sz w:val="22"/>
          <w:szCs w:val="22"/>
        </w:rPr>
      </w:pPr>
      <w:r w:rsidRPr="00A97B9E">
        <w:rPr>
          <w:rFonts w:ascii="Arial" w:hAnsi="Arial" w:cs="Arial"/>
          <w:b/>
          <w:bCs/>
          <w:sz w:val="22"/>
          <w:szCs w:val="22"/>
        </w:rPr>
        <w:t>Abogado externo responsable:</w:t>
      </w:r>
      <w:r w:rsidRPr="00A97B9E">
        <w:rPr>
          <w:rFonts w:ascii="Arial" w:hAnsi="Arial" w:cs="Arial"/>
          <w:b/>
          <w:bCs/>
          <w:sz w:val="22"/>
          <w:szCs w:val="22"/>
        </w:rPr>
        <w:tab/>
      </w:r>
      <w:r w:rsidR="00522B60" w:rsidRPr="00A97B9E">
        <w:rPr>
          <w:rFonts w:ascii="Arial" w:hAnsi="Arial" w:cs="Arial"/>
          <w:iCs/>
          <w:sz w:val="22"/>
          <w:szCs w:val="22"/>
        </w:rPr>
        <w:t xml:space="preserve">Gustavo Alberto Herrera Ávila </w:t>
      </w:r>
    </w:p>
    <w:p w14:paraId="3A8F7659" w14:textId="77B1801D" w:rsidR="00672B99" w:rsidRPr="00A97B9E" w:rsidRDefault="00672B99" w:rsidP="00A97B9E">
      <w:pPr>
        <w:jc w:val="both"/>
        <w:rPr>
          <w:rFonts w:ascii="Arial" w:hAnsi="Arial" w:cs="Arial"/>
          <w:sz w:val="22"/>
          <w:szCs w:val="22"/>
        </w:rPr>
      </w:pPr>
    </w:p>
    <w:p w14:paraId="23433B3B" w14:textId="77777777" w:rsidR="00734BD8" w:rsidRPr="00A97B9E" w:rsidRDefault="00734BD8" w:rsidP="00A97B9E">
      <w:pPr>
        <w:jc w:val="both"/>
        <w:rPr>
          <w:rFonts w:ascii="Arial" w:hAnsi="Arial" w:cs="Arial"/>
          <w:sz w:val="22"/>
          <w:szCs w:val="22"/>
        </w:rPr>
      </w:pPr>
    </w:p>
    <w:p w14:paraId="40E0D8BA" w14:textId="501DD362" w:rsidR="00672B99" w:rsidRPr="00A97B9E" w:rsidRDefault="00247E08" w:rsidP="00A97B9E">
      <w:pPr>
        <w:jc w:val="both"/>
        <w:rPr>
          <w:rFonts w:ascii="Arial" w:hAnsi="Arial" w:cs="Arial"/>
          <w:b/>
          <w:bCs/>
          <w:sz w:val="22"/>
          <w:szCs w:val="22"/>
        </w:rPr>
      </w:pPr>
      <w:r w:rsidRPr="00A97B9E">
        <w:rPr>
          <w:rFonts w:ascii="Arial" w:hAnsi="Arial" w:cs="Arial"/>
          <w:b/>
          <w:bCs/>
          <w:sz w:val="22"/>
          <w:szCs w:val="22"/>
        </w:rPr>
        <w:t xml:space="preserve">Datos </w:t>
      </w:r>
      <w:r w:rsidR="00FF66F3" w:rsidRPr="00A97B9E">
        <w:rPr>
          <w:rFonts w:ascii="Arial" w:hAnsi="Arial" w:cs="Arial"/>
          <w:b/>
          <w:bCs/>
          <w:sz w:val="22"/>
          <w:szCs w:val="22"/>
        </w:rPr>
        <w:t>generales del</w:t>
      </w:r>
      <w:r w:rsidRPr="00A97B9E">
        <w:rPr>
          <w:rFonts w:ascii="Arial" w:hAnsi="Arial" w:cs="Arial"/>
          <w:b/>
          <w:bCs/>
          <w:sz w:val="22"/>
          <w:szCs w:val="22"/>
        </w:rPr>
        <w:t xml:space="preserve"> proceso</w:t>
      </w:r>
    </w:p>
    <w:p w14:paraId="509B5BEA" w14:textId="77777777" w:rsidR="00E028BD" w:rsidRPr="00A97B9E" w:rsidRDefault="00E028BD" w:rsidP="00A97B9E">
      <w:pPr>
        <w:jc w:val="both"/>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A97B9E" w14:paraId="361F998D" w14:textId="77777777" w:rsidTr="008F3801">
        <w:trPr>
          <w:trHeight w:val="340"/>
        </w:trPr>
        <w:tc>
          <w:tcPr>
            <w:tcW w:w="2338" w:type="dxa"/>
            <w:shd w:val="clear" w:color="auto" w:fill="0033A0"/>
            <w:vAlign w:val="center"/>
          </w:tcPr>
          <w:p w14:paraId="39820FDF" w14:textId="2DE0FE6C" w:rsidR="00AB7CA0" w:rsidRPr="00A97B9E" w:rsidRDefault="006F1BB7" w:rsidP="00A97B9E">
            <w:pPr>
              <w:jc w:val="both"/>
              <w:rPr>
                <w:rFonts w:ascii="Arial" w:hAnsi="Arial" w:cs="Arial"/>
                <w:b/>
                <w:sz w:val="22"/>
                <w:szCs w:val="22"/>
              </w:rPr>
            </w:pPr>
            <w:r w:rsidRPr="00A97B9E">
              <w:rPr>
                <w:rFonts w:ascii="Arial" w:hAnsi="Arial" w:cs="Arial"/>
                <w:b/>
                <w:sz w:val="22"/>
                <w:szCs w:val="22"/>
              </w:rPr>
              <w:t>Compañía vinculada</w:t>
            </w:r>
          </w:p>
        </w:tc>
        <w:tc>
          <w:tcPr>
            <w:tcW w:w="7512" w:type="dxa"/>
            <w:gridSpan w:val="3"/>
            <w:vAlign w:val="center"/>
          </w:tcPr>
          <w:p w14:paraId="4DA7B6E0" w14:textId="360C44D4" w:rsidR="00AB7CA0" w:rsidRPr="00A97B9E" w:rsidRDefault="00037812" w:rsidP="00A97B9E">
            <w:pPr>
              <w:pStyle w:val="Ttulo4"/>
              <w:rPr>
                <w:rFonts w:ascii="Arial" w:hAnsi="Arial" w:cs="Arial"/>
                <w:b w:val="0"/>
                <w:iCs/>
                <w:szCs w:val="22"/>
                <w:lang w:val="es-CO"/>
              </w:rPr>
            </w:pPr>
            <w:r w:rsidRPr="00A97B9E">
              <w:rPr>
                <w:rFonts w:ascii="Arial" w:hAnsi="Arial" w:cs="Arial"/>
                <w:b w:val="0"/>
                <w:iCs/>
                <w:szCs w:val="22"/>
                <w:lang w:val="es-CO"/>
              </w:rPr>
              <w:t xml:space="preserve">Seguros Generales Suramericana </w:t>
            </w:r>
            <w:r w:rsidR="00655F2D" w:rsidRPr="00A97B9E">
              <w:rPr>
                <w:rFonts w:ascii="Arial" w:hAnsi="Arial" w:cs="Arial"/>
                <w:b w:val="0"/>
                <w:iCs/>
                <w:szCs w:val="22"/>
                <w:lang w:val="es-CO"/>
              </w:rPr>
              <w:t>S.A.</w:t>
            </w:r>
          </w:p>
        </w:tc>
      </w:tr>
      <w:tr w:rsidR="00611F74" w:rsidRPr="00A97B9E" w14:paraId="1D5C2B9E" w14:textId="77777777" w:rsidTr="008F3801">
        <w:trPr>
          <w:trHeight w:val="340"/>
        </w:trPr>
        <w:tc>
          <w:tcPr>
            <w:tcW w:w="2338" w:type="dxa"/>
            <w:shd w:val="clear" w:color="auto" w:fill="0033A0"/>
            <w:vAlign w:val="center"/>
          </w:tcPr>
          <w:p w14:paraId="71926149" w14:textId="08884289" w:rsidR="00611F74" w:rsidRPr="00A97B9E" w:rsidRDefault="00611F74" w:rsidP="00A97B9E">
            <w:pPr>
              <w:jc w:val="both"/>
              <w:rPr>
                <w:rFonts w:ascii="Arial" w:hAnsi="Arial" w:cs="Arial"/>
                <w:b/>
                <w:sz w:val="22"/>
                <w:szCs w:val="22"/>
              </w:rPr>
            </w:pPr>
            <w:r w:rsidRPr="00A97B9E">
              <w:rPr>
                <w:rFonts w:ascii="Arial" w:hAnsi="Arial" w:cs="Arial"/>
                <w:b/>
                <w:sz w:val="22"/>
                <w:szCs w:val="22"/>
              </w:rPr>
              <w:t>Tipo de vinculación</w:t>
            </w:r>
          </w:p>
        </w:tc>
        <w:tc>
          <w:tcPr>
            <w:tcW w:w="7512" w:type="dxa"/>
            <w:gridSpan w:val="3"/>
            <w:vAlign w:val="center"/>
          </w:tcPr>
          <w:p w14:paraId="17AB2FF9" w14:textId="2C7A2A30" w:rsidR="00611F74" w:rsidRPr="00A97B9E" w:rsidRDefault="00A97B9E" w:rsidP="00A97B9E">
            <w:pPr>
              <w:pStyle w:val="Ttulo4"/>
              <w:rPr>
                <w:rFonts w:ascii="Arial" w:hAnsi="Arial" w:cs="Arial"/>
                <w:b w:val="0"/>
                <w:iCs/>
                <w:szCs w:val="22"/>
                <w:lang w:val="es-CO"/>
              </w:rPr>
            </w:pPr>
            <w:r w:rsidRPr="00A97B9E">
              <w:rPr>
                <w:rFonts w:ascii="Arial" w:hAnsi="Arial" w:cs="Arial"/>
                <w:b w:val="0"/>
                <w:iCs/>
                <w:szCs w:val="22"/>
                <w:lang w:val="es-CO"/>
              </w:rPr>
              <w:t>Tercero civilmente responsable</w:t>
            </w:r>
          </w:p>
        </w:tc>
      </w:tr>
      <w:tr w:rsidR="00314784" w:rsidRPr="00A97B9E" w14:paraId="034F2DF5" w14:textId="77777777" w:rsidTr="008F3801">
        <w:trPr>
          <w:trHeight w:val="340"/>
        </w:trPr>
        <w:tc>
          <w:tcPr>
            <w:tcW w:w="2338" w:type="dxa"/>
            <w:shd w:val="clear" w:color="auto" w:fill="0033A0"/>
            <w:vAlign w:val="center"/>
          </w:tcPr>
          <w:p w14:paraId="75527875" w14:textId="0D08D2BA" w:rsidR="00314784" w:rsidRPr="00A97B9E" w:rsidRDefault="00314784" w:rsidP="00A97B9E">
            <w:pPr>
              <w:jc w:val="both"/>
              <w:rPr>
                <w:rFonts w:ascii="Arial" w:hAnsi="Arial" w:cs="Arial"/>
                <w:b/>
                <w:sz w:val="22"/>
                <w:szCs w:val="22"/>
              </w:rPr>
            </w:pPr>
            <w:r w:rsidRPr="00A97B9E">
              <w:rPr>
                <w:rFonts w:ascii="Arial" w:hAnsi="Arial" w:cs="Arial"/>
                <w:b/>
                <w:sz w:val="22"/>
                <w:szCs w:val="22"/>
              </w:rPr>
              <w:t>Jurisdicción</w:t>
            </w:r>
          </w:p>
        </w:tc>
        <w:tc>
          <w:tcPr>
            <w:tcW w:w="3402" w:type="dxa"/>
            <w:vAlign w:val="center"/>
          </w:tcPr>
          <w:p w14:paraId="36469FA3" w14:textId="17A0654F" w:rsidR="00314784" w:rsidRPr="00A97B9E" w:rsidRDefault="00A97B9E" w:rsidP="00A97B9E">
            <w:pPr>
              <w:jc w:val="both"/>
              <w:rPr>
                <w:rFonts w:ascii="Arial" w:hAnsi="Arial" w:cs="Arial"/>
                <w:iCs/>
                <w:sz w:val="22"/>
                <w:szCs w:val="22"/>
              </w:rPr>
            </w:pPr>
            <w:r w:rsidRPr="00A97B9E">
              <w:rPr>
                <w:rFonts w:ascii="Arial" w:hAnsi="Arial" w:cs="Arial"/>
                <w:iCs/>
                <w:sz w:val="22"/>
                <w:szCs w:val="22"/>
              </w:rPr>
              <w:t>Administrativa</w:t>
            </w:r>
          </w:p>
        </w:tc>
        <w:tc>
          <w:tcPr>
            <w:tcW w:w="1701" w:type="dxa"/>
            <w:tcBorders>
              <w:top w:val="single" w:sz="4" w:space="0" w:color="auto"/>
            </w:tcBorders>
            <w:shd w:val="clear" w:color="auto" w:fill="0033A0"/>
            <w:vAlign w:val="center"/>
          </w:tcPr>
          <w:p w14:paraId="4E66F66C" w14:textId="19E62604" w:rsidR="00314784" w:rsidRPr="00A97B9E" w:rsidRDefault="00FD7619" w:rsidP="00A97B9E">
            <w:pPr>
              <w:jc w:val="both"/>
              <w:rPr>
                <w:rFonts w:ascii="Arial" w:hAnsi="Arial" w:cs="Arial"/>
                <w:b/>
                <w:sz w:val="22"/>
                <w:szCs w:val="22"/>
                <w:highlight w:val="yellow"/>
              </w:rPr>
            </w:pPr>
            <w:r w:rsidRPr="00A97B9E">
              <w:rPr>
                <w:rFonts w:ascii="Arial" w:hAnsi="Arial" w:cs="Arial"/>
                <w:b/>
                <w:sz w:val="22"/>
                <w:szCs w:val="22"/>
              </w:rPr>
              <w:t>Tipo de proceso</w:t>
            </w:r>
          </w:p>
        </w:tc>
        <w:tc>
          <w:tcPr>
            <w:tcW w:w="2409" w:type="dxa"/>
            <w:vAlign w:val="center"/>
          </w:tcPr>
          <w:p w14:paraId="77E41038" w14:textId="4A9DFD0D" w:rsidR="00314784" w:rsidRPr="00A97B9E" w:rsidRDefault="00A97B9E" w:rsidP="00A97B9E">
            <w:pPr>
              <w:jc w:val="both"/>
              <w:rPr>
                <w:rFonts w:ascii="Arial" w:hAnsi="Arial" w:cs="Arial"/>
                <w:iCs/>
                <w:sz w:val="22"/>
                <w:szCs w:val="22"/>
              </w:rPr>
            </w:pPr>
            <w:r w:rsidRPr="00A97B9E">
              <w:rPr>
                <w:rFonts w:ascii="Arial" w:hAnsi="Arial" w:cs="Arial"/>
                <w:iCs/>
                <w:sz w:val="22"/>
                <w:szCs w:val="22"/>
              </w:rPr>
              <w:t>Proceso de responsabilidad fiscal</w:t>
            </w:r>
          </w:p>
        </w:tc>
      </w:tr>
      <w:tr w:rsidR="001C4AB7" w:rsidRPr="00A97B9E" w14:paraId="57977954" w14:textId="77777777" w:rsidTr="008F3801">
        <w:trPr>
          <w:trHeight w:val="340"/>
        </w:trPr>
        <w:tc>
          <w:tcPr>
            <w:tcW w:w="2338" w:type="dxa"/>
            <w:shd w:val="clear" w:color="auto" w:fill="0033A0"/>
            <w:vAlign w:val="center"/>
          </w:tcPr>
          <w:p w14:paraId="2D4749EF" w14:textId="01E5A1BD" w:rsidR="001C4AB7" w:rsidRPr="00A97B9E" w:rsidRDefault="001C4AB7" w:rsidP="00A97B9E">
            <w:pPr>
              <w:jc w:val="both"/>
              <w:rPr>
                <w:rFonts w:ascii="Arial" w:hAnsi="Arial" w:cs="Arial"/>
                <w:b/>
                <w:sz w:val="22"/>
                <w:szCs w:val="22"/>
              </w:rPr>
            </w:pPr>
            <w:r w:rsidRPr="00A97B9E">
              <w:rPr>
                <w:rFonts w:ascii="Arial" w:hAnsi="Arial" w:cs="Arial"/>
                <w:b/>
                <w:sz w:val="22"/>
                <w:szCs w:val="22"/>
              </w:rPr>
              <w:t>Instancia</w:t>
            </w:r>
          </w:p>
        </w:tc>
        <w:tc>
          <w:tcPr>
            <w:tcW w:w="7512" w:type="dxa"/>
            <w:gridSpan w:val="3"/>
            <w:vAlign w:val="center"/>
          </w:tcPr>
          <w:p w14:paraId="22EC2015" w14:textId="4F1A5862" w:rsidR="001C4AB7" w:rsidRPr="00A97B9E" w:rsidRDefault="00037812" w:rsidP="00A97B9E">
            <w:pPr>
              <w:pStyle w:val="Ttulo4"/>
              <w:rPr>
                <w:rFonts w:ascii="Arial" w:hAnsi="Arial" w:cs="Arial"/>
                <w:b w:val="0"/>
                <w:iCs/>
                <w:szCs w:val="22"/>
                <w:lang w:val="es-CO"/>
              </w:rPr>
            </w:pPr>
            <w:r w:rsidRPr="00A97B9E">
              <w:rPr>
                <w:rFonts w:ascii="Arial" w:hAnsi="Arial" w:cs="Arial"/>
                <w:b w:val="0"/>
                <w:iCs/>
                <w:szCs w:val="22"/>
                <w:lang w:val="es-CO"/>
              </w:rPr>
              <w:t>Primera Instancia</w:t>
            </w:r>
          </w:p>
        </w:tc>
      </w:tr>
      <w:tr w:rsidR="00AB7CA0" w:rsidRPr="00A97B9E" w14:paraId="23C82D5B" w14:textId="77777777" w:rsidTr="008F3801">
        <w:trPr>
          <w:trHeight w:val="340"/>
        </w:trPr>
        <w:tc>
          <w:tcPr>
            <w:tcW w:w="2338" w:type="dxa"/>
            <w:shd w:val="clear" w:color="auto" w:fill="0033A0"/>
            <w:vAlign w:val="center"/>
          </w:tcPr>
          <w:p w14:paraId="69174905" w14:textId="6B29FFBA" w:rsidR="00AB7CA0" w:rsidRPr="00A97B9E" w:rsidRDefault="00AB7CA0" w:rsidP="00A97B9E">
            <w:pPr>
              <w:jc w:val="both"/>
              <w:rPr>
                <w:rFonts w:ascii="Arial" w:hAnsi="Arial" w:cs="Arial"/>
                <w:b/>
                <w:sz w:val="22"/>
                <w:szCs w:val="22"/>
              </w:rPr>
            </w:pPr>
            <w:r w:rsidRPr="00A97B9E">
              <w:rPr>
                <w:rFonts w:ascii="Arial" w:hAnsi="Arial" w:cs="Arial"/>
                <w:b/>
                <w:sz w:val="22"/>
                <w:szCs w:val="22"/>
              </w:rPr>
              <w:t xml:space="preserve">Fecha de </w:t>
            </w:r>
            <w:r w:rsidR="00475D6D" w:rsidRPr="00A97B9E">
              <w:rPr>
                <w:rFonts w:ascii="Arial" w:hAnsi="Arial" w:cs="Arial"/>
                <w:b/>
                <w:sz w:val="22"/>
                <w:szCs w:val="22"/>
              </w:rPr>
              <w:t>notificación</w:t>
            </w:r>
          </w:p>
        </w:tc>
        <w:tc>
          <w:tcPr>
            <w:tcW w:w="7512" w:type="dxa"/>
            <w:gridSpan w:val="3"/>
            <w:vAlign w:val="center"/>
          </w:tcPr>
          <w:p w14:paraId="3D593EBA" w14:textId="14BE6738" w:rsidR="00AB7CA0" w:rsidRPr="00A97B9E" w:rsidRDefault="0047255F" w:rsidP="00A97B9E">
            <w:pPr>
              <w:jc w:val="both"/>
              <w:rPr>
                <w:rFonts w:ascii="Arial" w:hAnsi="Arial" w:cs="Arial"/>
                <w:iCs/>
                <w:sz w:val="22"/>
                <w:szCs w:val="22"/>
              </w:rPr>
            </w:pPr>
            <w:r>
              <w:rPr>
                <w:rFonts w:ascii="Arial" w:hAnsi="Arial" w:cs="Arial"/>
                <w:iCs/>
                <w:sz w:val="22"/>
                <w:szCs w:val="22"/>
              </w:rPr>
              <w:t>13 de marzo de 2024.</w:t>
            </w:r>
          </w:p>
        </w:tc>
      </w:tr>
      <w:tr w:rsidR="001C4AB7" w:rsidRPr="00A97B9E" w14:paraId="3DB10669" w14:textId="77777777" w:rsidTr="008F3801">
        <w:trPr>
          <w:trHeight w:val="340"/>
        </w:trPr>
        <w:tc>
          <w:tcPr>
            <w:tcW w:w="2338" w:type="dxa"/>
            <w:shd w:val="clear" w:color="auto" w:fill="0033A0"/>
            <w:vAlign w:val="center"/>
          </w:tcPr>
          <w:p w14:paraId="184540C8" w14:textId="704D403B" w:rsidR="001C4AB7" w:rsidRPr="00A97B9E" w:rsidRDefault="001C4AB7" w:rsidP="00A97B9E">
            <w:pPr>
              <w:jc w:val="both"/>
              <w:rPr>
                <w:rFonts w:ascii="Arial" w:hAnsi="Arial" w:cs="Arial"/>
                <w:b/>
                <w:sz w:val="22"/>
                <w:szCs w:val="22"/>
              </w:rPr>
            </w:pPr>
            <w:r w:rsidRPr="00A97B9E">
              <w:rPr>
                <w:rFonts w:ascii="Arial" w:hAnsi="Arial" w:cs="Arial"/>
                <w:b/>
                <w:sz w:val="22"/>
                <w:szCs w:val="22"/>
              </w:rPr>
              <w:t>Abogado demandante</w:t>
            </w:r>
          </w:p>
        </w:tc>
        <w:tc>
          <w:tcPr>
            <w:tcW w:w="3402" w:type="dxa"/>
            <w:vAlign w:val="center"/>
          </w:tcPr>
          <w:p w14:paraId="17CC82B4" w14:textId="721E79B3" w:rsidR="001C4AB7" w:rsidRPr="00A97B9E" w:rsidRDefault="00A97B9E" w:rsidP="00A97B9E">
            <w:pPr>
              <w:jc w:val="both"/>
              <w:rPr>
                <w:rFonts w:ascii="Arial" w:hAnsi="Arial" w:cs="Arial"/>
                <w:iCs/>
                <w:sz w:val="22"/>
                <w:szCs w:val="22"/>
              </w:rPr>
            </w:pPr>
            <w:r w:rsidRPr="00A97B9E">
              <w:rPr>
                <w:rFonts w:ascii="Arial" w:hAnsi="Arial" w:cs="Arial"/>
                <w:iCs/>
                <w:sz w:val="22"/>
                <w:szCs w:val="22"/>
              </w:rPr>
              <w:t>NA</w:t>
            </w:r>
          </w:p>
        </w:tc>
        <w:tc>
          <w:tcPr>
            <w:tcW w:w="1701" w:type="dxa"/>
            <w:shd w:val="clear" w:color="auto" w:fill="0033A0"/>
            <w:vAlign w:val="center"/>
          </w:tcPr>
          <w:p w14:paraId="1BBF04FD" w14:textId="14BBB21D" w:rsidR="001C4AB7" w:rsidRPr="00A97B9E" w:rsidRDefault="001C4AB7" w:rsidP="00A97B9E">
            <w:pPr>
              <w:jc w:val="both"/>
              <w:rPr>
                <w:rFonts w:ascii="Arial" w:hAnsi="Arial" w:cs="Arial"/>
                <w:b/>
                <w:bCs/>
                <w:sz w:val="22"/>
                <w:szCs w:val="22"/>
              </w:rPr>
            </w:pPr>
            <w:r w:rsidRPr="00A97B9E">
              <w:rPr>
                <w:rFonts w:ascii="Arial" w:hAnsi="Arial" w:cs="Arial"/>
                <w:b/>
                <w:bCs/>
                <w:sz w:val="22"/>
                <w:szCs w:val="22"/>
              </w:rPr>
              <w:t>Identificación</w:t>
            </w:r>
          </w:p>
        </w:tc>
        <w:tc>
          <w:tcPr>
            <w:tcW w:w="2409" w:type="dxa"/>
            <w:vAlign w:val="center"/>
          </w:tcPr>
          <w:p w14:paraId="33D2EBE9" w14:textId="0F282FBB" w:rsidR="001C4AB7" w:rsidRPr="00A97B9E" w:rsidRDefault="00A97B9E" w:rsidP="00A97B9E">
            <w:pPr>
              <w:jc w:val="both"/>
              <w:rPr>
                <w:rFonts w:ascii="Arial" w:hAnsi="Arial" w:cs="Arial"/>
                <w:iCs/>
                <w:sz w:val="22"/>
                <w:szCs w:val="22"/>
              </w:rPr>
            </w:pPr>
            <w:r w:rsidRPr="00A97B9E">
              <w:rPr>
                <w:rFonts w:ascii="Arial" w:hAnsi="Arial" w:cs="Arial"/>
                <w:iCs/>
                <w:sz w:val="22"/>
                <w:szCs w:val="22"/>
              </w:rPr>
              <w:t>NA</w:t>
            </w:r>
          </w:p>
        </w:tc>
      </w:tr>
    </w:tbl>
    <w:p w14:paraId="4D702E80" w14:textId="77777777" w:rsidR="009E7D3B" w:rsidRPr="00A97B9E" w:rsidRDefault="009E7D3B" w:rsidP="00A97B9E">
      <w:pPr>
        <w:jc w:val="both"/>
        <w:rPr>
          <w:rFonts w:ascii="Arial" w:hAnsi="Arial" w:cs="Arial"/>
          <w:b/>
          <w:sz w:val="22"/>
          <w:szCs w:val="22"/>
          <w:u w:val="single"/>
        </w:rPr>
      </w:pPr>
    </w:p>
    <w:p w14:paraId="168B2FE3" w14:textId="77777777" w:rsidR="00734BD8" w:rsidRPr="00A97B9E" w:rsidRDefault="00734BD8" w:rsidP="00A97B9E">
      <w:pPr>
        <w:jc w:val="both"/>
        <w:rPr>
          <w:rFonts w:ascii="Arial" w:hAnsi="Arial" w:cs="Arial"/>
          <w:b/>
          <w:sz w:val="22"/>
          <w:szCs w:val="22"/>
        </w:rPr>
      </w:pPr>
    </w:p>
    <w:p w14:paraId="27A8C1F6" w14:textId="2A40E483" w:rsidR="00FF66F3" w:rsidRPr="00A97B9E" w:rsidRDefault="007B6543" w:rsidP="00A97B9E">
      <w:pPr>
        <w:jc w:val="both"/>
        <w:rPr>
          <w:rFonts w:ascii="Arial" w:hAnsi="Arial" w:cs="Arial"/>
          <w:b/>
          <w:sz w:val="22"/>
          <w:szCs w:val="22"/>
        </w:rPr>
      </w:pPr>
      <w:r w:rsidRPr="00A97B9E">
        <w:rPr>
          <w:rFonts w:ascii="Arial" w:hAnsi="Arial" w:cs="Arial"/>
          <w:b/>
          <w:sz w:val="22"/>
          <w:szCs w:val="22"/>
        </w:rPr>
        <w:t>Seguro</w:t>
      </w:r>
      <w:r w:rsidR="00FF66F3" w:rsidRPr="00A97B9E">
        <w:rPr>
          <w:rFonts w:ascii="Arial" w:hAnsi="Arial" w:cs="Arial"/>
          <w:b/>
          <w:sz w:val="22"/>
          <w:szCs w:val="22"/>
        </w:rPr>
        <w:t xml:space="preserve"> afectad</w:t>
      </w:r>
      <w:r w:rsidRPr="00A97B9E">
        <w:rPr>
          <w:rFonts w:ascii="Arial" w:hAnsi="Arial" w:cs="Arial"/>
          <w:b/>
          <w:sz w:val="22"/>
          <w:szCs w:val="22"/>
        </w:rPr>
        <w:t>o</w:t>
      </w:r>
    </w:p>
    <w:p w14:paraId="4F9AC8BF" w14:textId="0014293F" w:rsidR="00FF66F3" w:rsidRPr="00A97B9E" w:rsidRDefault="00FF66F3" w:rsidP="00A97B9E">
      <w:pPr>
        <w:jc w:val="both"/>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0"/>
        <w:gridCol w:w="3380"/>
        <w:gridCol w:w="1715"/>
        <w:gridCol w:w="2404"/>
      </w:tblGrid>
      <w:tr w:rsidR="007B6543" w:rsidRPr="00A97B9E" w14:paraId="22179AB8" w14:textId="77777777" w:rsidTr="008F3801">
        <w:trPr>
          <w:trHeight w:val="340"/>
        </w:trPr>
        <w:tc>
          <w:tcPr>
            <w:tcW w:w="2353" w:type="dxa"/>
            <w:shd w:val="clear" w:color="auto" w:fill="0033A0"/>
            <w:vAlign w:val="center"/>
          </w:tcPr>
          <w:p w14:paraId="01016211" w14:textId="6458D9D1" w:rsidR="007B6543" w:rsidRPr="00A97B9E" w:rsidRDefault="007B6543" w:rsidP="00A97B9E">
            <w:pPr>
              <w:jc w:val="both"/>
              <w:rPr>
                <w:rFonts w:ascii="Arial" w:hAnsi="Arial" w:cs="Arial"/>
                <w:b/>
                <w:sz w:val="22"/>
                <w:szCs w:val="22"/>
              </w:rPr>
            </w:pPr>
            <w:r w:rsidRPr="00A97B9E">
              <w:rPr>
                <w:rFonts w:ascii="Arial" w:hAnsi="Arial" w:cs="Arial"/>
                <w:b/>
                <w:sz w:val="22"/>
                <w:szCs w:val="22"/>
              </w:rPr>
              <w:t>Asegurado / afiliado</w:t>
            </w:r>
          </w:p>
        </w:tc>
        <w:tc>
          <w:tcPr>
            <w:tcW w:w="3386" w:type="dxa"/>
            <w:vAlign w:val="center"/>
          </w:tcPr>
          <w:p w14:paraId="2F24F64D" w14:textId="12B680A9" w:rsidR="004B709D" w:rsidRPr="00A97B9E" w:rsidRDefault="00FE6CF1" w:rsidP="00A97B9E">
            <w:pPr>
              <w:jc w:val="both"/>
              <w:rPr>
                <w:rFonts w:ascii="Arial" w:hAnsi="Arial" w:cs="Arial"/>
                <w:iCs/>
                <w:sz w:val="22"/>
                <w:szCs w:val="22"/>
              </w:rPr>
            </w:pPr>
            <w:r>
              <w:rPr>
                <w:rFonts w:ascii="Arial" w:hAnsi="Arial" w:cs="Arial"/>
                <w:iCs/>
                <w:sz w:val="22"/>
                <w:szCs w:val="22"/>
              </w:rPr>
              <w:t>DEPARTAMENTO DEL PUTUMAYO</w:t>
            </w:r>
          </w:p>
        </w:tc>
        <w:tc>
          <w:tcPr>
            <w:tcW w:w="1702" w:type="dxa"/>
            <w:shd w:val="clear" w:color="auto" w:fill="0033A0"/>
            <w:vAlign w:val="center"/>
          </w:tcPr>
          <w:p w14:paraId="3809BB4B" w14:textId="2BAD8CE6" w:rsidR="007B6543" w:rsidRPr="00A97B9E" w:rsidRDefault="007B6543" w:rsidP="00A97B9E">
            <w:pPr>
              <w:jc w:val="both"/>
              <w:rPr>
                <w:rFonts w:ascii="Arial" w:hAnsi="Arial" w:cs="Arial"/>
                <w:b/>
                <w:sz w:val="22"/>
                <w:szCs w:val="22"/>
              </w:rPr>
            </w:pPr>
            <w:r w:rsidRPr="00A97B9E">
              <w:rPr>
                <w:rFonts w:ascii="Arial" w:hAnsi="Arial" w:cs="Arial"/>
                <w:b/>
                <w:bCs/>
                <w:sz w:val="22"/>
                <w:szCs w:val="22"/>
              </w:rPr>
              <w:t>Identificación</w:t>
            </w:r>
          </w:p>
        </w:tc>
        <w:tc>
          <w:tcPr>
            <w:tcW w:w="2408" w:type="dxa"/>
            <w:vAlign w:val="center"/>
          </w:tcPr>
          <w:p w14:paraId="2D1BE471" w14:textId="45DEAD67" w:rsidR="004B709D" w:rsidRPr="00A97B9E" w:rsidRDefault="00FE6CF1" w:rsidP="00A97B9E">
            <w:pPr>
              <w:jc w:val="both"/>
              <w:rPr>
                <w:rFonts w:ascii="Arial" w:hAnsi="Arial" w:cs="Arial"/>
                <w:iCs/>
                <w:sz w:val="22"/>
                <w:szCs w:val="22"/>
              </w:rPr>
            </w:pPr>
            <w:r>
              <w:rPr>
                <w:rFonts w:ascii="Arial" w:hAnsi="Arial" w:cs="Arial"/>
                <w:iCs/>
                <w:sz w:val="22"/>
                <w:szCs w:val="22"/>
              </w:rPr>
              <w:t>N.I.T. 8000941644</w:t>
            </w:r>
          </w:p>
        </w:tc>
      </w:tr>
      <w:tr w:rsidR="00FF66F3" w:rsidRPr="00A97B9E" w14:paraId="1184BD96" w14:textId="77777777" w:rsidTr="008F3801">
        <w:trPr>
          <w:trHeight w:val="340"/>
        </w:trPr>
        <w:tc>
          <w:tcPr>
            <w:tcW w:w="2353" w:type="dxa"/>
            <w:shd w:val="clear" w:color="auto" w:fill="0033A0"/>
            <w:vAlign w:val="center"/>
          </w:tcPr>
          <w:p w14:paraId="21AAE966" w14:textId="1C6A7B98" w:rsidR="00FF66F3" w:rsidRPr="00A97B9E" w:rsidRDefault="00703C75" w:rsidP="00A97B9E">
            <w:pPr>
              <w:jc w:val="both"/>
              <w:rPr>
                <w:rFonts w:ascii="Arial" w:hAnsi="Arial" w:cs="Arial"/>
                <w:b/>
                <w:sz w:val="22"/>
                <w:szCs w:val="22"/>
              </w:rPr>
            </w:pPr>
            <w:r w:rsidRPr="00A97B9E">
              <w:rPr>
                <w:rFonts w:ascii="Arial" w:hAnsi="Arial" w:cs="Arial"/>
                <w:b/>
                <w:sz w:val="22"/>
                <w:szCs w:val="22"/>
              </w:rPr>
              <w:t xml:space="preserve">Fecha </w:t>
            </w:r>
            <w:r w:rsidR="003E59C2" w:rsidRPr="00A97B9E">
              <w:rPr>
                <w:rFonts w:ascii="Arial" w:hAnsi="Arial" w:cs="Arial"/>
                <w:b/>
                <w:sz w:val="22"/>
                <w:szCs w:val="22"/>
              </w:rPr>
              <w:t>del siniestro</w:t>
            </w:r>
          </w:p>
        </w:tc>
        <w:tc>
          <w:tcPr>
            <w:tcW w:w="7496" w:type="dxa"/>
            <w:gridSpan w:val="3"/>
            <w:vAlign w:val="center"/>
          </w:tcPr>
          <w:p w14:paraId="34C8AC3F" w14:textId="3CD8E0BD" w:rsidR="00484071" w:rsidRPr="00A97B9E" w:rsidRDefault="00FD6F90" w:rsidP="00A97B9E">
            <w:pPr>
              <w:jc w:val="both"/>
              <w:rPr>
                <w:rFonts w:ascii="Arial" w:hAnsi="Arial" w:cs="Arial"/>
                <w:iCs/>
                <w:sz w:val="22"/>
                <w:szCs w:val="22"/>
              </w:rPr>
            </w:pPr>
            <w:r>
              <w:rPr>
                <w:rFonts w:ascii="Arial" w:hAnsi="Arial" w:cs="Arial"/>
                <w:iCs/>
                <w:sz w:val="22"/>
                <w:szCs w:val="22"/>
              </w:rPr>
              <w:t>24 DE SPETIEMBRE DE 2019</w:t>
            </w:r>
          </w:p>
        </w:tc>
      </w:tr>
      <w:tr w:rsidR="007B6543" w:rsidRPr="00A97B9E" w14:paraId="1BAC1C46" w14:textId="77777777" w:rsidTr="008F3801">
        <w:trPr>
          <w:trHeight w:val="292"/>
        </w:trPr>
        <w:tc>
          <w:tcPr>
            <w:tcW w:w="2353" w:type="dxa"/>
            <w:shd w:val="clear" w:color="auto" w:fill="0033A0"/>
            <w:vAlign w:val="center"/>
          </w:tcPr>
          <w:p w14:paraId="7E9757C0" w14:textId="7568D394" w:rsidR="007B6543" w:rsidRPr="00A97B9E" w:rsidRDefault="007B6543" w:rsidP="00A97B9E">
            <w:pPr>
              <w:jc w:val="both"/>
              <w:rPr>
                <w:rFonts w:ascii="Arial" w:hAnsi="Arial" w:cs="Arial"/>
                <w:b/>
                <w:sz w:val="22"/>
                <w:szCs w:val="22"/>
              </w:rPr>
            </w:pPr>
            <w:r w:rsidRPr="00A97B9E">
              <w:rPr>
                <w:rFonts w:ascii="Arial" w:hAnsi="Arial" w:cs="Arial"/>
                <w:b/>
                <w:sz w:val="22"/>
                <w:szCs w:val="22"/>
              </w:rPr>
              <w:t>Nro. póliza afectada</w:t>
            </w:r>
          </w:p>
        </w:tc>
        <w:tc>
          <w:tcPr>
            <w:tcW w:w="3386" w:type="dxa"/>
            <w:vAlign w:val="center"/>
          </w:tcPr>
          <w:p w14:paraId="0F0E4D36" w14:textId="5F9E64A4" w:rsidR="00C26408" w:rsidRPr="00A97B9E" w:rsidRDefault="00FE6CF1" w:rsidP="00A97B9E">
            <w:pPr>
              <w:jc w:val="both"/>
              <w:rPr>
                <w:rFonts w:ascii="Arial" w:hAnsi="Arial" w:cs="Arial"/>
                <w:sz w:val="22"/>
                <w:szCs w:val="22"/>
              </w:rPr>
            </w:pPr>
            <w:r>
              <w:rPr>
                <w:rFonts w:ascii="Arial" w:hAnsi="Arial" w:cs="Arial"/>
                <w:iCs/>
                <w:sz w:val="22"/>
                <w:szCs w:val="22"/>
              </w:rPr>
              <w:t>1493761-5</w:t>
            </w:r>
          </w:p>
        </w:tc>
        <w:tc>
          <w:tcPr>
            <w:tcW w:w="1702" w:type="dxa"/>
            <w:shd w:val="clear" w:color="auto" w:fill="0033A0"/>
            <w:vAlign w:val="center"/>
          </w:tcPr>
          <w:p w14:paraId="5E464232" w14:textId="5615B8FD" w:rsidR="007B6543" w:rsidRPr="00A97B9E" w:rsidRDefault="00212C67" w:rsidP="00A97B9E">
            <w:pPr>
              <w:autoSpaceDE w:val="0"/>
              <w:autoSpaceDN w:val="0"/>
              <w:adjustRightInd w:val="0"/>
              <w:jc w:val="both"/>
              <w:rPr>
                <w:rFonts w:ascii="Arial" w:hAnsi="Arial" w:cs="Arial"/>
                <w:b/>
                <w:sz w:val="22"/>
                <w:szCs w:val="22"/>
              </w:rPr>
            </w:pPr>
            <w:r w:rsidRPr="00A97B9E">
              <w:rPr>
                <w:rFonts w:ascii="Arial" w:hAnsi="Arial" w:cs="Arial"/>
                <w:b/>
                <w:sz w:val="22"/>
                <w:szCs w:val="22"/>
              </w:rPr>
              <w:t>Ramo</w:t>
            </w:r>
          </w:p>
        </w:tc>
        <w:tc>
          <w:tcPr>
            <w:tcW w:w="2408" w:type="dxa"/>
            <w:vAlign w:val="center"/>
          </w:tcPr>
          <w:p w14:paraId="486667E2" w14:textId="0CCDFCAA" w:rsidR="00C26408" w:rsidRPr="00A97B9E" w:rsidRDefault="00FD6F90" w:rsidP="00A97B9E">
            <w:pPr>
              <w:jc w:val="both"/>
              <w:rPr>
                <w:rFonts w:ascii="Arial" w:hAnsi="Arial" w:cs="Arial"/>
                <w:bCs/>
                <w:iCs/>
                <w:sz w:val="22"/>
                <w:szCs w:val="22"/>
              </w:rPr>
            </w:pPr>
            <w:r>
              <w:rPr>
                <w:rFonts w:ascii="Arial" w:hAnsi="Arial" w:cs="Arial"/>
                <w:bCs/>
                <w:iCs/>
                <w:sz w:val="22"/>
                <w:szCs w:val="22"/>
              </w:rPr>
              <w:t>CUMPLIMIENTO DEL CONTRATO</w:t>
            </w:r>
          </w:p>
        </w:tc>
      </w:tr>
      <w:tr w:rsidR="0001168F" w:rsidRPr="00A97B9E" w14:paraId="4EF15043" w14:textId="77777777" w:rsidTr="008F3801">
        <w:trPr>
          <w:cantSplit/>
          <w:trHeight w:val="340"/>
        </w:trPr>
        <w:tc>
          <w:tcPr>
            <w:tcW w:w="2353" w:type="dxa"/>
            <w:shd w:val="clear" w:color="auto" w:fill="0033A0"/>
            <w:vAlign w:val="center"/>
          </w:tcPr>
          <w:p w14:paraId="34C574BC" w14:textId="15D93DCE" w:rsidR="00FF66F3" w:rsidRPr="00A97B9E" w:rsidRDefault="00212C67" w:rsidP="00A97B9E">
            <w:pPr>
              <w:jc w:val="both"/>
              <w:rPr>
                <w:rFonts w:ascii="Arial" w:hAnsi="Arial" w:cs="Arial"/>
                <w:b/>
                <w:sz w:val="22"/>
                <w:szCs w:val="22"/>
              </w:rPr>
            </w:pPr>
            <w:r w:rsidRPr="00A97B9E">
              <w:rPr>
                <w:rFonts w:ascii="Arial" w:hAnsi="Arial" w:cs="Arial"/>
                <w:b/>
                <w:sz w:val="22"/>
                <w:szCs w:val="22"/>
              </w:rPr>
              <w:t>Vigencia</w:t>
            </w:r>
            <w:r w:rsidR="009572C0" w:rsidRPr="00A97B9E">
              <w:rPr>
                <w:rFonts w:ascii="Arial" w:hAnsi="Arial" w:cs="Arial"/>
                <w:b/>
                <w:sz w:val="22"/>
                <w:szCs w:val="22"/>
              </w:rPr>
              <w:t xml:space="preserve"> afectada</w:t>
            </w:r>
          </w:p>
        </w:tc>
        <w:tc>
          <w:tcPr>
            <w:tcW w:w="7496" w:type="dxa"/>
            <w:gridSpan w:val="3"/>
            <w:vAlign w:val="center"/>
          </w:tcPr>
          <w:p w14:paraId="161C18D5" w14:textId="7CF284FE" w:rsidR="00C26408" w:rsidRPr="00A97B9E" w:rsidRDefault="00FD6F90" w:rsidP="00A97B9E">
            <w:pPr>
              <w:jc w:val="both"/>
              <w:rPr>
                <w:rFonts w:ascii="Arial" w:hAnsi="Arial" w:cs="Arial"/>
                <w:bCs/>
                <w:iCs/>
                <w:sz w:val="22"/>
                <w:szCs w:val="22"/>
              </w:rPr>
            </w:pPr>
            <w:r>
              <w:rPr>
                <w:rFonts w:ascii="Arial" w:hAnsi="Arial" w:cs="Arial"/>
                <w:color w:val="000000"/>
                <w:sz w:val="22"/>
                <w:szCs w:val="22"/>
                <w:shd w:val="clear" w:color="auto" w:fill="FFFFFF"/>
              </w:rPr>
              <w:t>15 DE NOVIEMBRE DE 2016 AL 09 DE OCTUBRE DE 2020</w:t>
            </w:r>
          </w:p>
        </w:tc>
      </w:tr>
      <w:tr w:rsidR="00A70A97" w:rsidRPr="00A97B9E" w14:paraId="25047409" w14:textId="77777777" w:rsidTr="008F3801">
        <w:trPr>
          <w:cantSplit/>
          <w:trHeight w:val="340"/>
        </w:trPr>
        <w:tc>
          <w:tcPr>
            <w:tcW w:w="2353" w:type="dxa"/>
            <w:shd w:val="clear" w:color="auto" w:fill="0033A0"/>
            <w:vAlign w:val="center"/>
          </w:tcPr>
          <w:p w14:paraId="1AA0EC9D" w14:textId="77777777" w:rsidR="00A70A97" w:rsidRPr="00A97B9E" w:rsidRDefault="00A70A97" w:rsidP="00A97B9E">
            <w:pPr>
              <w:jc w:val="both"/>
              <w:rPr>
                <w:rFonts w:ascii="Arial" w:hAnsi="Arial" w:cs="Arial"/>
                <w:b/>
                <w:sz w:val="22"/>
                <w:szCs w:val="22"/>
              </w:rPr>
            </w:pPr>
            <w:r w:rsidRPr="00A97B9E">
              <w:rPr>
                <w:rFonts w:ascii="Arial" w:hAnsi="Arial" w:cs="Arial"/>
                <w:b/>
                <w:sz w:val="22"/>
                <w:szCs w:val="22"/>
              </w:rPr>
              <w:t>Valor Asegurado</w:t>
            </w:r>
          </w:p>
        </w:tc>
        <w:tc>
          <w:tcPr>
            <w:tcW w:w="3386" w:type="dxa"/>
            <w:vAlign w:val="center"/>
          </w:tcPr>
          <w:p w14:paraId="1E069347" w14:textId="5A44BC98" w:rsidR="00C26408" w:rsidRPr="00A97B9E" w:rsidRDefault="00FD6F90" w:rsidP="00A97B9E">
            <w:pPr>
              <w:autoSpaceDE w:val="0"/>
              <w:autoSpaceDN w:val="0"/>
              <w:adjustRightInd w:val="0"/>
              <w:jc w:val="both"/>
              <w:rPr>
                <w:rFonts w:ascii="Arial" w:hAnsi="Arial" w:cs="Arial"/>
                <w:bCs/>
                <w:sz w:val="22"/>
                <w:szCs w:val="22"/>
              </w:rPr>
            </w:pPr>
            <w:r>
              <w:rPr>
                <w:rFonts w:ascii="Arial" w:hAnsi="Arial" w:cs="Arial"/>
                <w:bCs/>
                <w:sz w:val="22"/>
                <w:szCs w:val="22"/>
              </w:rPr>
              <w:t>$973.633.372</w:t>
            </w:r>
          </w:p>
        </w:tc>
        <w:tc>
          <w:tcPr>
            <w:tcW w:w="1718" w:type="dxa"/>
            <w:shd w:val="clear" w:color="auto" w:fill="0033A0"/>
            <w:vAlign w:val="center"/>
          </w:tcPr>
          <w:p w14:paraId="7D4CD472" w14:textId="438AC017" w:rsidR="00A70A97" w:rsidRPr="00A97B9E" w:rsidRDefault="00A70A97" w:rsidP="00A97B9E">
            <w:pPr>
              <w:autoSpaceDE w:val="0"/>
              <w:autoSpaceDN w:val="0"/>
              <w:adjustRightInd w:val="0"/>
              <w:jc w:val="both"/>
              <w:rPr>
                <w:rFonts w:ascii="Arial" w:hAnsi="Arial" w:cs="Arial"/>
                <w:b/>
                <w:bCs/>
                <w:sz w:val="22"/>
                <w:szCs w:val="22"/>
              </w:rPr>
            </w:pPr>
            <w:r w:rsidRPr="00A97B9E">
              <w:rPr>
                <w:rFonts w:ascii="Arial" w:hAnsi="Arial" w:cs="Arial"/>
                <w:b/>
                <w:bCs/>
                <w:sz w:val="22"/>
                <w:szCs w:val="22"/>
              </w:rPr>
              <w:t>Placa</w:t>
            </w:r>
            <w:r w:rsidR="0091430C" w:rsidRPr="00A97B9E">
              <w:rPr>
                <w:rFonts w:ascii="Arial" w:hAnsi="Arial" w:cs="Arial"/>
                <w:b/>
                <w:bCs/>
                <w:sz w:val="22"/>
                <w:szCs w:val="22"/>
              </w:rPr>
              <w:t xml:space="preserve"> </w:t>
            </w:r>
          </w:p>
        </w:tc>
        <w:tc>
          <w:tcPr>
            <w:tcW w:w="2392" w:type="dxa"/>
            <w:vAlign w:val="center"/>
          </w:tcPr>
          <w:p w14:paraId="2AA20772" w14:textId="14354FDB" w:rsidR="00A70A97" w:rsidRPr="00A97B9E" w:rsidRDefault="00FF326C" w:rsidP="00A97B9E">
            <w:pPr>
              <w:autoSpaceDE w:val="0"/>
              <w:autoSpaceDN w:val="0"/>
              <w:adjustRightInd w:val="0"/>
              <w:jc w:val="both"/>
              <w:rPr>
                <w:rFonts w:ascii="Arial" w:hAnsi="Arial" w:cs="Arial"/>
                <w:bCs/>
                <w:iCs/>
                <w:sz w:val="22"/>
                <w:szCs w:val="22"/>
              </w:rPr>
            </w:pPr>
            <w:r w:rsidRPr="00A97B9E">
              <w:rPr>
                <w:rFonts w:ascii="Arial" w:hAnsi="Arial" w:cs="Arial"/>
                <w:bCs/>
                <w:iCs/>
                <w:sz w:val="22"/>
                <w:szCs w:val="22"/>
              </w:rPr>
              <w:t>N/A</w:t>
            </w:r>
          </w:p>
        </w:tc>
      </w:tr>
    </w:tbl>
    <w:p w14:paraId="7BBF8ED2" w14:textId="77777777" w:rsidR="00FF66F3" w:rsidRPr="00A97B9E" w:rsidRDefault="00FF66F3" w:rsidP="00A97B9E">
      <w:pPr>
        <w:jc w:val="both"/>
        <w:rPr>
          <w:rFonts w:ascii="Arial" w:hAnsi="Arial" w:cs="Arial"/>
          <w:b/>
          <w:sz w:val="22"/>
          <w:szCs w:val="22"/>
          <w:u w:val="single"/>
        </w:rPr>
      </w:pPr>
    </w:p>
    <w:p w14:paraId="207F11E8" w14:textId="45DEB7B7" w:rsidR="00FF66F3" w:rsidRPr="00A97B9E" w:rsidRDefault="00FF66F3" w:rsidP="00A97B9E">
      <w:pPr>
        <w:jc w:val="both"/>
        <w:rPr>
          <w:rFonts w:ascii="Arial" w:hAnsi="Arial" w:cs="Arial"/>
          <w:b/>
          <w:sz w:val="22"/>
          <w:szCs w:val="22"/>
        </w:rPr>
      </w:pPr>
    </w:p>
    <w:p w14:paraId="0C3AC512" w14:textId="5AD7BD07" w:rsidR="00FF66F3" w:rsidRPr="00A97B9E" w:rsidRDefault="009E7D3B" w:rsidP="00A97B9E">
      <w:pPr>
        <w:jc w:val="both"/>
        <w:rPr>
          <w:rFonts w:ascii="Arial" w:hAnsi="Arial" w:cs="Arial"/>
          <w:b/>
          <w:sz w:val="22"/>
          <w:szCs w:val="22"/>
        </w:rPr>
      </w:pPr>
      <w:r w:rsidRPr="00A97B9E">
        <w:rPr>
          <w:rFonts w:ascii="Arial" w:hAnsi="Arial" w:cs="Arial"/>
          <w:b/>
          <w:sz w:val="22"/>
          <w:szCs w:val="22"/>
        </w:rPr>
        <w:t>Datos específicos del proceso</w:t>
      </w:r>
    </w:p>
    <w:p w14:paraId="4D7ECE1C" w14:textId="77777777" w:rsidR="00247E08" w:rsidRPr="00A97B9E" w:rsidRDefault="00247E08" w:rsidP="00A97B9E">
      <w:pPr>
        <w:jc w:val="both"/>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A97B9E" w14:paraId="7AFB6461" w14:textId="77777777" w:rsidTr="008F3801">
        <w:trPr>
          <w:trHeight w:val="340"/>
        </w:trPr>
        <w:tc>
          <w:tcPr>
            <w:tcW w:w="2338" w:type="dxa"/>
            <w:shd w:val="clear" w:color="auto" w:fill="0033A0"/>
            <w:vAlign w:val="center"/>
          </w:tcPr>
          <w:p w14:paraId="61666A84" w14:textId="6256291F" w:rsidR="00247E08" w:rsidRPr="00A97B9E" w:rsidRDefault="00247E08" w:rsidP="00A97B9E">
            <w:pPr>
              <w:jc w:val="both"/>
              <w:rPr>
                <w:rFonts w:ascii="Arial" w:hAnsi="Arial" w:cs="Arial"/>
                <w:b/>
                <w:sz w:val="22"/>
                <w:szCs w:val="22"/>
              </w:rPr>
            </w:pPr>
            <w:r w:rsidRPr="00A97B9E">
              <w:rPr>
                <w:rFonts w:ascii="Arial" w:hAnsi="Arial" w:cs="Arial"/>
                <w:b/>
                <w:sz w:val="22"/>
                <w:szCs w:val="22"/>
              </w:rPr>
              <w:t>Demandante</w:t>
            </w:r>
            <w:r w:rsidR="009E7D3B" w:rsidRPr="00A97B9E">
              <w:rPr>
                <w:rFonts w:ascii="Arial" w:hAnsi="Arial" w:cs="Arial"/>
                <w:b/>
                <w:sz w:val="22"/>
                <w:szCs w:val="22"/>
              </w:rPr>
              <w:t>s</w:t>
            </w:r>
          </w:p>
        </w:tc>
        <w:tc>
          <w:tcPr>
            <w:tcW w:w="7512" w:type="dxa"/>
            <w:gridSpan w:val="3"/>
            <w:vAlign w:val="center"/>
          </w:tcPr>
          <w:p w14:paraId="31112D16" w14:textId="7BD398B7" w:rsidR="00247E08" w:rsidRPr="00A97B9E" w:rsidRDefault="00A97B9E" w:rsidP="00A97B9E">
            <w:pPr>
              <w:jc w:val="both"/>
              <w:rPr>
                <w:rFonts w:ascii="Arial" w:hAnsi="Arial" w:cs="Arial"/>
                <w:iCs/>
                <w:sz w:val="22"/>
                <w:szCs w:val="22"/>
              </w:rPr>
            </w:pPr>
            <w:r w:rsidRPr="00A97B9E">
              <w:rPr>
                <w:rFonts w:ascii="Arial" w:hAnsi="Arial" w:cs="Arial"/>
                <w:iCs/>
                <w:sz w:val="22"/>
                <w:szCs w:val="22"/>
              </w:rPr>
              <w:t>Contraloría General de Santiago de Cali</w:t>
            </w:r>
            <w:r w:rsidR="00372040" w:rsidRPr="00A97B9E">
              <w:rPr>
                <w:rFonts w:ascii="Arial" w:hAnsi="Arial" w:cs="Arial"/>
                <w:iCs/>
                <w:sz w:val="22"/>
                <w:szCs w:val="22"/>
              </w:rPr>
              <w:t xml:space="preserve">  </w:t>
            </w:r>
          </w:p>
        </w:tc>
      </w:tr>
      <w:tr w:rsidR="00954C7D" w:rsidRPr="00A97B9E" w14:paraId="3184660E" w14:textId="77777777" w:rsidTr="008F3801">
        <w:trPr>
          <w:trHeight w:val="545"/>
        </w:trPr>
        <w:tc>
          <w:tcPr>
            <w:tcW w:w="2338" w:type="dxa"/>
            <w:shd w:val="clear" w:color="auto" w:fill="0033A0"/>
            <w:vAlign w:val="center"/>
          </w:tcPr>
          <w:p w14:paraId="1946D0B5" w14:textId="1E747231" w:rsidR="00954C7D" w:rsidRPr="00A97B9E" w:rsidRDefault="00954C7D" w:rsidP="00A97B9E">
            <w:pPr>
              <w:jc w:val="both"/>
              <w:rPr>
                <w:rFonts w:ascii="Arial" w:hAnsi="Arial" w:cs="Arial"/>
                <w:b/>
                <w:sz w:val="22"/>
                <w:szCs w:val="22"/>
              </w:rPr>
            </w:pPr>
            <w:r w:rsidRPr="00A97B9E">
              <w:rPr>
                <w:rFonts w:ascii="Arial" w:hAnsi="Arial" w:cs="Arial"/>
                <w:b/>
                <w:sz w:val="22"/>
                <w:szCs w:val="22"/>
              </w:rPr>
              <w:t>Demandados</w:t>
            </w:r>
          </w:p>
        </w:tc>
        <w:tc>
          <w:tcPr>
            <w:tcW w:w="7512" w:type="dxa"/>
            <w:gridSpan w:val="3"/>
            <w:vAlign w:val="center"/>
          </w:tcPr>
          <w:p w14:paraId="137480A9" w14:textId="77777777" w:rsidR="002C6436" w:rsidRDefault="00FE6CF1" w:rsidP="00A97B9E">
            <w:pPr>
              <w:jc w:val="both"/>
              <w:rPr>
                <w:rFonts w:ascii="Arial" w:hAnsi="Arial" w:cs="Arial"/>
                <w:bCs/>
                <w:sz w:val="22"/>
                <w:szCs w:val="22"/>
              </w:rPr>
            </w:pPr>
            <w:r>
              <w:rPr>
                <w:rFonts w:ascii="Arial" w:hAnsi="Arial" w:cs="Arial"/>
                <w:bCs/>
                <w:sz w:val="22"/>
                <w:szCs w:val="22"/>
              </w:rPr>
              <w:t xml:space="preserve">Jorge Enrique </w:t>
            </w:r>
            <w:proofErr w:type="spellStart"/>
            <w:r>
              <w:rPr>
                <w:rFonts w:ascii="Arial" w:hAnsi="Arial" w:cs="Arial"/>
                <w:bCs/>
                <w:sz w:val="22"/>
                <w:szCs w:val="22"/>
              </w:rPr>
              <w:t>Ferrin</w:t>
            </w:r>
            <w:proofErr w:type="spellEnd"/>
            <w:r>
              <w:rPr>
                <w:rFonts w:ascii="Arial" w:hAnsi="Arial" w:cs="Arial"/>
                <w:bCs/>
                <w:sz w:val="22"/>
                <w:szCs w:val="22"/>
              </w:rPr>
              <w:t xml:space="preserve"> Dorado. C.C. 18.102.430.</w:t>
            </w:r>
          </w:p>
          <w:p w14:paraId="137E1523" w14:textId="77777777" w:rsidR="00FE6CF1" w:rsidRDefault="00FE6CF1" w:rsidP="00A97B9E">
            <w:pPr>
              <w:jc w:val="both"/>
              <w:rPr>
                <w:rFonts w:ascii="Arial" w:hAnsi="Arial" w:cs="Arial"/>
                <w:bCs/>
                <w:sz w:val="22"/>
                <w:szCs w:val="22"/>
              </w:rPr>
            </w:pPr>
            <w:r>
              <w:rPr>
                <w:rFonts w:ascii="Arial" w:hAnsi="Arial" w:cs="Arial"/>
                <w:bCs/>
                <w:sz w:val="22"/>
                <w:szCs w:val="22"/>
              </w:rPr>
              <w:t xml:space="preserve">Omar Gómez Carreño. C.C. 5.795.938. </w:t>
            </w:r>
          </w:p>
          <w:p w14:paraId="15650BC3" w14:textId="77777777" w:rsidR="00FE6CF1" w:rsidRDefault="00FE6CF1" w:rsidP="00A97B9E">
            <w:pPr>
              <w:jc w:val="both"/>
              <w:rPr>
                <w:rFonts w:ascii="Arial" w:hAnsi="Arial" w:cs="Arial"/>
                <w:bCs/>
                <w:sz w:val="22"/>
                <w:szCs w:val="22"/>
              </w:rPr>
            </w:pPr>
            <w:r>
              <w:rPr>
                <w:rFonts w:ascii="Arial" w:hAnsi="Arial" w:cs="Arial"/>
                <w:bCs/>
                <w:sz w:val="22"/>
                <w:szCs w:val="22"/>
              </w:rPr>
              <w:t xml:space="preserve">Luis Carlos Guevara. C.C. 80.880.177. </w:t>
            </w:r>
          </w:p>
          <w:p w14:paraId="5DA25777" w14:textId="77777777" w:rsidR="00FE6CF1" w:rsidRDefault="00FE6CF1" w:rsidP="00A97B9E">
            <w:pPr>
              <w:jc w:val="both"/>
              <w:rPr>
                <w:rFonts w:ascii="Arial" w:hAnsi="Arial" w:cs="Arial"/>
                <w:bCs/>
                <w:sz w:val="22"/>
                <w:szCs w:val="22"/>
              </w:rPr>
            </w:pPr>
            <w:r>
              <w:rPr>
                <w:rFonts w:ascii="Arial" w:hAnsi="Arial" w:cs="Arial"/>
                <w:bCs/>
                <w:sz w:val="22"/>
                <w:szCs w:val="22"/>
              </w:rPr>
              <w:t xml:space="preserve">Maira Alejandra Picón García. C.C. 37.231.288. </w:t>
            </w:r>
          </w:p>
          <w:p w14:paraId="53B31256" w14:textId="77777777" w:rsidR="00FE6CF1" w:rsidRDefault="00FE6CF1" w:rsidP="00A97B9E">
            <w:pPr>
              <w:jc w:val="both"/>
              <w:rPr>
                <w:rFonts w:ascii="Arial" w:hAnsi="Arial" w:cs="Arial"/>
                <w:bCs/>
                <w:sz w:val="22"/>
                <w:szCs w:val="22"/>
              </w:rPr>
            </w:pPr>
            <w:r>
              <w:rPr>
                <w:rFonts w:ascii="Arial" w:hAnsi="Arial" w:cs="Arial"/>
                <w:bCs/>
                <w:sz w:val="22"/>
                <w:szCs w:val="22"/>
              </w:rPr>
              <w:t xml:space="preserve">John Gustavo Sánchez Sanabria C.C. 5.490.583. </w:t>
            </w:r>
          </w:p>
          <w:p w14:paraId="4CC15FC8" w14:textId="3C99710C" w:rsidR="00FE6CF1" w:rsidRPr="00A97B9E" w:rsidRDefault="00FE6CF1" w:rsidP="00A97B9E">
            <w:pPr>
              <w:jc w:val="both"/>
              <w:rPr>
                <w:rFonts w:ascii="Arial" w:hAnsi="Arial" w:cs="Arial"/>
                <w:iCs/>
                <w:sz w:val="22"/>
                <w:szCs w:val="22"/>
              </w:rPr>
            </w:pPr>
            <w:r>
              <w:rPr>
                <w:rFonts w:ascii="Arial" w:hAnsi="Arial" w:cs="Arial"/>
                <w:bCs/>
                <w:sz w:val="22"/>
                <w:szCs w:val="22"/>
              </w:rPr>
              <w:t xml:space="preserve">Proyectos </w:t>
            </w:r>
            <w:proofErr w:type="spellStart"/>
            <w:r>
              <w:rPr>
                <w:rFonts w:ascii="Arial" w:hAnsi="Arial" w:cs="Arial"/>
                <w:bCs/>
                <w:sz w:val="22"/>
                <w:szCs w:val="22"/>
              </w:rPr>
              <w:t>Anybrach</w:t>
            </w:r>
            <w:proofErr w:type="spellEnd"/>
            <w:r>
              <w:rPr>
                <w:rFonts w:ascii="Arial" w:hAnsi="Arial" w:cs="Arial"/>
                <w:bCs/>
                <w:sz w:val="22"/>
                <w:szCs w:val="22"/>
              </w:rPr>
              <w:t xml:space="preserve"> E.U. N.I.T 834001872-6</w:t>
            </w:r>
          </w:p>
        </w:tc>
      </w:tr>
      <w:tr w:rsidR="003152D5" w:rsidRPr="00A97B9E" w14:paraId="45AB4561" w14:textId="77777777" w:rsidTr="008F3801">
        <w:trPr>
          <w:trHeight w:val="545"/>
        </w:trPr>
        <w:tc>
          <w:tcPr>
            <w:tcW w:w="2338" w:type="dxa"/>
            <w:shd w:val="clear" w:color="auto" w:fill="0033A0"/>
            <w:vAlign w:val="center"/>
          </w:tcPr>
          <w:p w14:paraId="0220664F" w14:textId="60E59C3E" w:rsidR="003152D5" w:rsidRPr="00A97B9E" w:rsidRDefault="00FE6CF1" w:rsidP="00A97B9E">
            <w:pPr>
              <w:jc w:val="both"/>
              <w:rPr>
                <w:rFonts w:ascii="Arial" w:hAnsi="Arial" w:cs="Arial"/>
                <w:b/>
                <w:sz w:val="22"/>
                <w:szCs w:val="22"/>
              </w:rPr>
            </w:pPr>
            <w:r>
              <w:rPr>
                <w:rFonts w:ascii="Arial" w:hAnsi="Arial" w:cs="Arial"/>
                <w:b/>
                <w:sz w:val="22"/>
                <w:szCs w:val="22"/>
              </w:rPr>
              <w:t>Tercero Civilmente Responsable</w:t>
            </w:r>
          </w:p>
        </w:tc>
        <w:tc>
          <w:tcPr>
            <w:tcW w:w="7512" w:type="dxa"/>
            <w:gridSpan w:val="3"/>
            <w:vAlign w:val="center"/>
          </w:tcPr>
          <w:p w14:paraId="3001872B" w14:textId="1920C643" w:rsidR="003152D5" w:rsidRPr="00A97B9E" w:rsidRDefault="00FE6CF1" w:rsidP="00A97B9E">
            <w:pPr>
              <w:jc w:val="both"/>
              <w:rPr>
                <w:rFonts w:ascii="Arial" w:hAnsi="Arial" w:cs="Arial"/>
                <w:iCs/>
                <w:sz w:val="22"/>
                <w:szCs w:val="22"/>
              </w:rPr>
            </w:pPr>
            <w:r w:rsidRPr="00A97B9E">
              <w:rPr>
                <w:rFonts w:ascii="Arial" w:hAnsi="Arial" w:cs="Arial"/>
                <w:iCs/>
                <w:szCs w:val="22"/>
              </w:rPr>
              <w:t>Seguros Generales Suramericana S.A.</w:t>
            </w:r>
            <w:r>
              <w:rPr>
                <w:rFonts w:ascii="Arial" w:hAnsi="Arial" w:cs="Arial"/>
                <w:iCs/>
                <w:szCs w:val="22"/>
              </w:rPr>
              <w:t xml:space="preserve"> N.I.T. 890.903.407</w:t>
            </w:r>
          </w:p>
        </w:tc>
      </w:tr>
      <w:tr w:rsidR="003152D5" w:rsidRPr="00A97B9E" w14:paraId="5BFE20EE" w14:textId="77777777" w:rsidTr="008F3801">
        <w:trPr>
          <w:cantSplit/>
          <w:trHeight w:val="566"/>
        </w:trPr>
        <w:tc>
          <w:tcPr>
            <w:tcW w:w="2338" w:type="dxa"/>
            <w:shd w:val="clear" w:color="auto" w:fill="0033A0"/>
            <w:vAlign w:val="center"/>
          </w:tcPr>
          <w:p w14:paraId="3F4BFE3A" w14:textId="14FECE14" w:rsidR="003152D5" w:rsidRPr="00A97B9E" w:rsidRDefault="003152D5" w:rsidP="00A97B9E">
            <w:pPr>
              <w:jc w:val="both"/>
              <w:rPr>
                <w:rFonts w:ascii="Arial" w:hAnsi="Arial" w:cs="Arial"/>
                <w:b/>
                <w:sz w:val="22"/>
                <w:szCs w:val="22"/>
              </w:rPr>
            </w:pPr>
            <w:r w:rsidRPr="00A97B9E">
              <w:rPr>
                <w:rFonts w:ascii="Arial" w:hAnsi="Arial" w:cs="Arial"/>
                <w:b/>
                <w:sz w:val="22"/>
                <w:szCs w:val="22"/>
              </w:rPr>
              <w:t>Autoridad de conocimiento</w:t>
            </w:r>
          </w:p>
        </w:tc>
        <w:tc>
          <w:tcPr>
            <w:tcW w:w="3827" w:type="dxa"/>
            <w:vAlign w:val="center"/>
          </w:tcPr>
          <w:p w14:paraId="52AE397D" w14:textId="753EB16E" w:rsidR="003152D5" w:rsidRPr="00A97B9E" w:rsidRDefault="00A97B9E" w:rsidP="00A97B9E">
            <w:pPr>
              <w:jc w:val="both"/>
              <w:rPr>
                <w:rFonts w:ascii="Arial" w:hAnsi="Arial" w:cs="Arial"/>
                <w:iCs/>
                <w:sz w:val="22"/>
                <w:szCs w:val="22"/>
              </w:rPr>
            </w:pPr>
            <w:r w:rsidRPr="00A97B9E">
              <w:rPr>
                <w:rFonts w:ascii="Arial" w:hAnsi="Arial" w:cs="Arial"/>
                <w:iCs/>
                <w:sz w:val="22"/>
                <w:szCs w:val="22"/>
              </w:rPr>
              <w:t xml:space="preserve">Contraloría General </w:t>
            </w:r>
            <w:r w:rsidR="00FE6CF1" w:rsidRPr="00A97B9E">
              <w:rPr>
                <w:rFonts w:ascii="Arial" w:hAnsi="Arial" w:cs="Arial"/>
                <w:iCs/>
                <w:sz w:val="22"/>
                <w:szCs w:val="22"/>
              </w:rPr>
              <w:t>D</w:t>
            </w:r>
            <w:r w:rsidR="00FE6CF1">
              <w:rPr>
                <w:rFonts w:ascii="Arial" w:hAnsi="Arial" w:cs="Arial"/>
                <w:iCs/>
                <w:sz w:val="22"/>
                <w:szCs w:val="22"/>
              </w:rPr>
              <w:t xml:space="preserve">e Putumayo. </w:t>
            </w:r>
          </w:p>
        </w:tc>
        <w:tc>
          <w:tcPr>
            <w:tcW w:w="1276" w:type="dxa"/>
            <w:shd w:val="clear" w:color="auto" w:fill="0033A0"/>
            <w:vAlign w:val="center"/>
          </w:tcPr>
          <w:p w14:paraId="6164DA6C" w14:textId="179A804C" w:rsidR="003152D5" w:rsidRPr="00A97B9E" w:rsidRDefault="003152D5" w:rsidP="00A97B9E">
            <w:pPr>
              <w:jc w:val="both"/>
              <w:rPr>
                <w:rFonts w:ascii="Arial" w:hAnsi="Arial" w:cs="Arial"/>
                <w:b/>
                <w:bCs/>
                <w:sz w:val="22"/>
                <w:szCs w:val="22"/>
              </w:rPr>
            </w:pPr>
            <w:r w:rsidRPr="00A97B9E">
              <w:rPr>
                <w:rFonts w:ascii="Arial" w:hAnsi="Arial" w:cs="Arial"/>
                <w:b/>
                <w:bCs/>
                <w:sz w:val="22"/>
                <w:szCs w:val="22"/>
              </w:rPr>
              <w:t>Radicado</w:t>
            </w:r>
          </w:p>
        </w:tc>
        <w:tc>
          <w:tcPr>
            <w:tcW w:w="2409" w:type="dxa"/>
            <w:vAlign w:val="center"/>
          </w:tcPr>
          <w:p w14:paraId="751C5BE4" w14:textId="799233E9" w:rsidR="003152D5" w:rsidRPr="00A97B9E" w:rsidRDefault="00FE6CF1" w:rsidP="00A97B9E">
            <w:pPr>
              <w:jc w:val="both"/>
              <w:rPr>
                <w:rFonts w:ascii="Arial" w:hAnsi="Arial" w:cs="Arial"/>
                <w:sz w:val="22"/>
                <w:szCs w:val="22"/>
              </w:rPr>
            </w:pPr>
            <w:r>
              <w:rPr>
                <w:rFonts w:ascii="Arial" w:hAnsi="Arial" w:cs="Arial"/>
                <w:sz w:val="22"/>
                <w:szCs w:val="22"/>
              </w:rPr>
              <w:t>PRF-2020-37834</w:t>
            </w:r>
          </w:p>
        </w:tc>
      </w:tr>
      <w:tr w:rsidR="003152D5" w:rsidRPr="00A97B9E" w14:paraId="2335A9D5" w14:textId="77777777" w:rsidTr="008F3801">
        <w:trPr>
          <w:trHeight w:val="516"/>
        </w:trPr>
        <w:tc>
          <w:tcPr>
            <w:tcW w:w="2338" w:type="dxa"/>
            <w:shd w:val="clear" w:color="auto" w:fill="0033A0"/>
            <w:vAlign w:val="center"/>
          </w:tcPr>
          <w:p w14:paraId="3F4221E7" w14:textId="120AFAC3" w:rsidR="003152D5" w:rsidRPr="00A97B9E" w:rsidRDefault="003152D5" w:rsidP="00A97B9E">
            <w:pPr>
              <w:pStyle w:val="Ttulo7"/>
              <w:jc w:val="both"/>
              <w:rPr>
                <w:rFonts w:ascii="Arial" w:hAnsi="Arial" w:cs="Arial"/>
                <w:szCs w:val="22"/>
              </w:rPr>
            </w:pPr>
            <w:r w:rsidRPr="00A97B9E">
              <w:rPr>
                <w:rFonts w:ascii="Arial" w:hAnsi="Arial" w:cs="Arial"/>
                <w:szCs w:val="22"/>
              </w:rPr>
              <w:lastRenderedPageBreak/>
              <w:t>Pretensiones solicitadas</w:t>
            </w:r>
          </w:p>
        </w:tc>
        <w:tc>
          <w:tcPr>
            <w:tcW w:w="7512" w:type="dxa"/>
            <w:gridSpan w:val="3"/>
            <w:vAlign w:val="center"/>
          </w:tcPr>
          <w:p w14:paraId="74E6E4D6" w14:textId="15AA7472" w:rsidR="00EB4B9B" w:rsidRPr="00A97B9E" w:rsidRDefault="00FB24E6" w:rsidP="00FB24E6">
            <w:pPr>
              <w:pStyle w:val="Textoindependiente"/>
              <w:spacing w:line="360" w:lineRule="auto"/>
              <w:jc w:val="both"/>
              <w:rPr>
                <w:rFonts w:ascii="Arial" w:hAnsi="Arial" w:cs="Arial"/>
                <w:b/>
                <w:sz w:val="22"/>
                <w:szCs w:val="22"/>
              </w:rPr>
            </w:pPr>
            <w:r w:rsidRPr="00FB24E6">
              <w:rPr>
                <w:rFonts w:ascii="Arial" w:hAnsi="Arial" w:cs="Arial"/>
                <w:b/>
                <w:sz w:val="22"/>
                <w:szCs w:val="22"/>
              </w:rPr>
              <w:t>Doscientos treinta y ocho millones seiscientos</w:t>
            </w:r>
            <w:r>
              <w:rPr>
                <w:rFonts w:ascii="Arial" w:hAnsi="Arial" w:cs="Arial"/>
                <w:b/>
                <w:sz w:val="22"/>
                <w:szCs w:val="22"/>
              </w:rPr>
              <w:t xml:space="preserve"> </w:t>
            </w:r>
            <w:r w:rsidRPr="00FB24E6">
              <w:rPr>
                <w:rFonts w:ascii="Arial" w:hAnsi="Arial" w:cs="Arial"/>
                <w:b/>
                <w:sz w:val="22"/>
                <w:szCs w:val="22"/>
              </w:rPr>
              <w:t xml:space="preserve">setenta y nueve mil ciento treinta y siete </w:t>
            </w:r>
            <w:r w:rsidRPr="00FB24E6">
              <w:rPr>
                <w:rFonts w:ascii="Arial" w:hAnsi="Arial" w:cs="Arial"/>
                <w:b/>
                <w:sz w:val="22"/>
                <w:szCs w:val="22"/>
              </w:rPr>
              <w:t xml:space="preserve">pesos </w:t>
            </w:r>
            <w:r>
              <w:rPr>
                <w:rFonts w:ascii="Arial" w:hAnsi="Arial" w:cs="Arial"/>
                <w:b/>
                <w:sz w:val="22"/>
                <w:szCs w:val="22"/>
              </w:rPr>
              <w:t>M</w:t>
            </w:r>
            <w:r w:rsidRPr="00FB24E6">
              <w:rPr>
                <w:rFonts w:ascii="Arial" w:hAnsi="Arial" w:cs="Arial"/>
                <w:b/>
                <w:sz w:val="22"/>
                <w:szCs w:val="22"/>
              </w:rPr>
              <w:t>/cte. $238.679.137</w:t>
            </w:r>
          </w:p>
        </w:tc>
      </w:tr>
      <w:tr w:rsidR="003152D5" w:rsidRPr="00A97B9E" w14:paraId="2CCDBF49" w14:textId="77777777" w:rsidTr="008F3801">
        <w:trPr>
          <w:trHeight w:val="340"/>
        </w:trPr>
        <w:tc>
          <w:tcPr>
            <w:tcW w:w="2338" w:type="dxa"/>
            <w:shd w:val="clear" w:color="auto" w:fill="0033A0"/>
            <w:vAlign w:val="center"/>
          </w:tcPr>
          <w:p w14:paraId="5CC1129D" w14:textId="03354AA7" w:rsidR="003152D5" w:rsidRPr="00A97B9E" w:rsidRDefault="003152D5" w:rsidP="00A97B9E">
            <w:pPr>
              <w:pStyle w:val="Ttulo7"/>
              <w:jc w:val="both"/>
              <w:rPr>
                <w:rFonts w:ascii="Arial" w:hAnsi="Arial" w:cs="Arial"/>
                <w:szCs w:val="22"/>
              </w:rPr>
            </w:pPr>
            <w:r w:rsidRPr="00A97B9E">
              <w:rPr>
                <w:rFonts w:ascii="Arial" w:hAnsi="Arial" w:cs="Arial"/>
                <w:szCs w:val="22"/>
              </w:rPr>
              <w:t>Pretensiones objetivadas</w:t>
            </w:r>
          </w:p>
        </w:tc>
        <w:tc>
          <w:tcPr>
            <w:tcW w:w="7512" w:type="dxa"/>
            <w:gridSpan w:val="3"/>
            <w:vAlign w:val="center"/>
          </w:tcPr>
          <w:p w14:paraId="75F400C0" w14:textId="38091AE2" w:rsidR="004C2ECE" w:rsidRPr="00A97B9E" w:rsidRDefault="00A24A15" w:rsidP="00A97B9E">
            <w:pPr>
              <w:pStyle w:val="Sangra2detindependiente"/>
              <w:spacing w:after="0" w:line="240" w:lineRule="auto"/>
              <w:ind w:left="0"/>
              <w:jc w:val="both"/>
              <w:rPr>
                <w:rFonts w:ascii="Arial" w:hAnsi="Arial" w:cs="Arial"/>
                <w:bCs/>
                <w:noProof/>
                <w:sz w:val="22"/>
                <w:szCs w:val="22"/>
                <w:lang w:val="es-CO"/>
              </w:rPr>
            </w:pPr>
            <w:r w:rsidRPr="00A24A15">
              <w:rPr>
                <w:rFonts w:ascii="Arial" w:hAnsi="Arial" w:cs="Arial"/>
                <w:bCs/>
                <w:noProof/>
                <w:sz w:val="22"/>
                <w:szCs w:val="22"/>
                <w:lang w:val="es-CO"/>
              </w:rPr>
              <w:t>Como liquidación del detrimento patrimonial se llegó a la suma $238.679.137 (sin indexar), por ser este el valor del presunto detrimento patrimonial que se investiga.</w:t>
            </w:r>
          </w:p>
        </w:tc>
      </w:tr>
      <w:tr w:rsidR="003152D5" w:rsidRPr="00A97B9E" w14:paraId="47F9AB40" w14:textId="77777777" w:rsidTr="008F3801">
        <w:trPr>
          <w:trHeight w:val="1657"/>
        </w:trPr>
        <w:tc>
          <w:tcPr>
            <w:tcW w:w="2338" w:type="dxa"/>
            <w:shd w:val="clear" w:color="auto" w:fill="0033A0"/>
            <w:vAlign w:val="center"/>
          </w:tcPr>
          <w:p w14:paraId="6C301EF8" w14:textId="77D2D7C3" w:rsidR="003152D5" w:rsidRPr="00A97B9E" w:rsidRDefault="003152D5" w:rsidP="00A97B9E">
            <w:pPr>
              <w:pStyle w:val="Ttulo7"/>
              <w:jc w:val="both"/>
              <w:rPr>
                <w:rFonts w:ascii="Arial" w:hAnsi="Arial" w:cs="Arial"/>
                <w:szCs w:val="22"/>
              </w:rPr>
            </w:pPr>
            <w:r w:rsidRPr="00A97B9E">
              <w:rPr>
                <w:rFonts w:ascii="Arial" w:hAnsi="Arial" w:cs="Arial"/>
                <w:szCs w:val="22"/>
              </w:rPr>
              <w:lastRenderedPageBreak/>
              <w:t>Resumen del proceso</w:t>
            </w:r>
          </w:p>
        </w:tc>
        <w:tc>
          <w:tcPr>
            <w:tcW w:w="7512" w:type="dxa"/>
            <w:gridSpan w:val="3"/>
            <w:vAlign w:val="center"/>
          </w:tcPr>
          <w:p w14:paraId="50973CF8" w14:textId="77777777" w:rsidR="00FB24E6" w:rsidRDefault="00FB24E6" w:rsidP="00FB24E6">
            <w:pPr>
              <w:pStyle w:val="Default"/>
              <w:jc w:val="both"/>
              <w:rPr>
                <w:iCs/>
                <w:sz w:val="22"/>
                <w:szCs w:val="22"/>
              </w:rPr>
            </w:pPr>
            <w:r w:rsidRPr="00FB24E6">
              <w:rPr>
                <w:iCs/>
                <w:sz w:val="22"/>
                <w:szCs w:val="22"/>
              </w:rPr>
              <w:t>Descendiendo al asunto bajo estudio, se tiene entonces que el antecedente fue estructurado por el equipo auditor que no encontró evidencia de que se hubieran entregado a los beneficiarios todos los elementos adquiridos mediante el contrato de compraventa No, 1314 del 31 de diciembre de 2015, cuyo objeto consistía en la "DOTACIÓN DE TRANSPORTE FLUVIAL A ESTABLECIMIENTOS EDUCATIVOS A ESTUDIANTES PERTENECIENTES AL ARFA RURAL DEL DEPARTAMENTO DEL PUTUMAYO" por valor de $4.868.166.859, con plazo de ejecución de seis meses.</w:t>
            </w:r>
          </w:p>
          <w:p w14:paraId="1EA649A8" w14:textId="77777777" w:rsidR="00FB24E6" w:rsidRDefault="00FB24E6" w:rsidP="00FB24E6">
            <w:pPr>
              <w:pStyle w:val="Default"/>
              <w:jc w:val="both"/>
              <w:rPr>
                <w:iCs/>
                <w:sz w:val="22"/>
                <w:szCs w:val="22"/>
              </w:rPr>
            </w:pPr>
          </w:p>
          <w:p w14:paraId="6C32321D" w14:textId="77777777" w:rsidR="00FB24E6" w:rsidRDefault="00FB24E6" w:rsidP="00FB24E6">
            <w:pPr>
              <w:pStyle w:val="Default"/>
              <w:jc w:val="both"/>
              <w:rPr>
                <w:iCs/>
                <w:sz w:val="22"/>
                <w:szCs w:val="22"/>
              </w:rPr>
            </w:pPr>
            <w:r w:rsidRPr="00FB24E6">
              <w:rPr>
                <w:iCs/>
                <w:sz w:val="22"/>
                <w:szCs w:val="22"/>
              </w:rPr>
              <w:t>Según lo indagado por el equipo de auditoría, algunos equipos y elementos de navegabilidad resultaron inoperantes, esto en razón a que las especificaciones técnicas de los Botes de Aluminio y Motores fuera de borda no resultaron aptos para las características de navegabilidad de las zonas de los municipios beneficiados.</w:t>
            </w:r>
          </w:p>
          <w:p w14:paraId="518EF8CA" w14:textId="77777777" w:rsidR="00FB24E6" w:rsidRDefault="00FB24E6" w:rsidP="00FB24E6">
            <w:pPr>
              <w:pStyle w:val="Default"/>
              <w:jc w:val="both"/>
              <w:rPr>
                <w:iCs/>
                <w:sz w:val="22"/>
                <w:szCs w:val="22"/>
              </w:rPr>
            </w:pPr>
          </w:p>
          <w:p w14:paraId="00B15BB8" w14:textId="77777777" w:rsidR="00FB24E6" w:rsidRDefault="00FB24E6" w:rsidP="00FB24E6">
            <w:pPr>
              <w:pStyle w:val="Default"/>
              <w:jc w:val="both"/>
              <w:rPr>
                <w:iCs/>
                <w:sz w:val="22"/>
                <w:szCs w:val="22"/>
              </w:rPr>
            </w:pPr>
            <w:r w:rsidRPr="00FB24E6">
              <w:rPr>
                <w:iCs/>
                <w:sz w:val="22"/>
                <w:szCs w:val="22"/>
              </w:rPr>
              <w:t>En ese sentido, la Indagación preliminar tuvo como propósito, aclarar las dudas sobre la persistencia de las fallas detectadas por el equipo auditor y sobre el hecho generador del daño, siendo necesario comprobar que los elementos adquiridos actualmente cumplieran con su finalidad.</w:t>
            </w:r>
          </w:p>
          <w:p w14:paraId="53CD399E" w14:textId="77777777" w:rsidR="00FB24E6" w:rsidRDefault="00FB24E6" w:rsidP="00FB24E6">
            <w:pPr>
              <w:pStyle w:val="Default"/>
              <w:jc w:val="both"/>
              <w:rPr>
                <w:iCs/>
                <w:sz w:val="22"/>
                <w:szCs w:val="22"/>
              </w:rPr>
            </w:pPr>
          </w:p>
          <w:p w14:paraId="0557740A" w14:textId="77777777" w:rsidR="00FB24E6" w:rsidRDefault="00FB24E6" w:rsidP="00FB24E6">
            <w:pPr>
              <w:pStyle w:val="Default"/>
              <w:jc w:val="both"/>
              <w:rPr>
                <w:iCs/>
                <w:sz w:val="22"/>
                <w:szCs w:val="22"/>
              </w:rPr>
            </w:pPr>
            <w:r w:rsidRPr="00FB24E6">
              <w:rPr>
                <w:iCs/>
                <w:sz w:val="22"/>
                <w:szCs w:val="22"/>
              </w:rPr>
              <w:t>Para tal efecto este Despacho realizó requerimientos a cada una de las Instituciones Rurales pertenecientes a los municipios beneficiados, con el fin de que allegaran información referente al estado de las embarcaciones y aportaran las actas de recibo.</w:t>
            </w:r>
          </w:p>
          <w:p w14:paraId="58EE80C8" w14:textId="77777777" w:rsidR="00FB24E6" w:rsidRDefault="00FB24E6" w:rsidP="00FB24E6">
            <w:pPr>
              <w:pStyle w:val="Default"/>
              <w:jc w:val="both"/>
              <w:rPr>
                <w:iCs/>
                <w:sz w:val="22"/>
                <w:szCs w:val="22"/>
              </w:rPr>
            </w:pPr>
          </w:p>
          <w:p w14:paraId="66723559" w14:textId="77777777" w:rsidR="00FB24E6" w:rsidRDefault="00FB24E6" w:rsidP="00FB24E6">
            <w:pPr>
              <w:pStyle w:val="Default"/>
              <w:jc w:val="both"/>
              <w:rPr>
                <w:iCs/>
                <w:sz w:val="22"/>
                <w:szCs w:val="22"/>
              </w:rPr>
            </w:pPr>
            <w:r w:rsidRPr="00FB24E6">
              <w:rPr>
                <w:iCs/>
                <w:sz w:val="22"/>
                <w:szCs w:val="22"/>
              </w:rPr>
              <w:t>No obstante, de las pruebas aportadas por cada una de las Instituciones Educativas, se evidenció que aún persisten irregularidades, encontrándose situaciones como que algunas de las embarcaciones han sido devueltas a la SECRETARIA DE EDUCACION DEPARTAMENTAL porque no eran aptas para su navegabilidad, otras fueron entregadas a otras Instituciones para su uso, sin embargo al momento en que se les requirió por esta entidad para conocer su estado no se recibió respuesta y las brindadas resultan incompletas para poder concluir que no exista un detrimento patrimonial.</w:t>
            </w:r>
          </w:p>
          <w:p w14:paraId="26DEC47B" w14:textId="77777777" w:rsidR="00FB24E6" w:rsidRDefault="00FB24E6" w:rsidP="00FB24E6">
            <w:pPr>
              <w:pStyle w:val="Default"/>
              <w:jc w:val="both"/>
              <w:rPr>
                <w:iCs/>
                <w:sz w:val="22"/>
                <w:szCs w:val="22"/>
              </w:rPr>
            </w:pPr>
          </w:p>
          <w:p w14:paraId="2764240B" w14:textId="77777777" w:rsidR="00FB24E6" w:rsidRDefault="00FB24E6" w:rsidP="00FB24E6">
            <w:pPr>
              <w:pStyle w:val="Default"/>
              <w:jc w:val="both"/>
              <w:rPr>
                <w:iCs/>
                <w:sz w:val="22"/>
                <w:szCs w:val="22"/>
              </w:rPr>
            </w:pPr>
            <w:r w:rsidRPr="00FB24E6">
              <w:rPr>
                <w:iCs/>
                <w:sz w:val="22"/>
                <w:szCs w:val="22"/>
              </w:rPr>
              <w:t>A partir lo expuesto es pertinente dar inicio al proceso de responsabilidad fiscal atendiendo las siguientes consideraciones:</w:t>
            </w:r>
          </w:p>
          <w:p w14:paraId="4921483B" w14:textId="77777777" w:rsidR="00FB24E6" w:rsidRDefault="00FB24E6" w:rsidP="00FB24E6">
            <w:pPr>
              <w:pStyle w:val="Default"/>
              <w:jc w:val="both"/>
              <w:rPr>
                <w:iCs/>
                <w:sz w:val="22"/>
                <w:szCs w:val="22"/>
              </w:rPr>
            </w:pPr>
          </w:p>
          <w:p w14:paraId="2E964220" w14:textId="77777777" w:rsidR="00FB24E6" w:rsidRDefault="00FB24E6" w:rsidP="00FB24E6">
            <w:pPr>
              <w:pStyle w:val="Default"/>
              <w:jc w:val="both"/>
            </w:pPr>
            <w:r w:rsidRPr="00FB24E6">
              <w:rPr>
                <w:iCs/>
                <w:sz w:val="22"/>
                <w:szCs w:val="22"/>
              </w:rPr>
              <w:t>Conforme se desprende del material probatorio arrimado con el formato de traslado del hallazgo y el recaudado con esta Indagación Preliminar se tiene que algunas de las Instituciones beneficiadas realizaron la devolución de las embarcaciones a la SECRETARIA DE EDUCACION DEPARTAMENTAL argumentando que no contaban</w:t>
            </w:r>
            <w:r>
              <w:rPr>
                <w:iCs/>
                <w:sz w:val="22"/>
                <w:szCs w:val="22"/>
              </w:rPr>
              <w:t xml:space="preserve"> </w:t>
            </w:r>
            <w:r>
              <w:t>con las condiciones aptas para su navegabilidad siendo inadecuado su uso, por lo que no se tiene conocimiento a cargo de quien quedaron estas embarcaciones ni la destinación que se les dio.</w:t>
            </w:r>
          </w:p>
          <w:p w14:paraId="5020E53F" w14:textId="77777777" w:rsidR="00FB24E6" w:rsidRDefault="00FB24E6" w:rsidP="00FB24E6">
            <w:pPr>
              <w:pStyle w:val="Default"/>
              <w:jc w:val="both"/>
            </w:pPr>
          </w:p>
          <w:p w14:paraId="01243641" w14:textId="77777777" w:rsidR="00FB24E6" w:rsidRDefault="0047255F" w:rsidP="00FB24E6">
            <w:pPr>
              <w:pStyle w:val="Default"/>
              <w:jc w:val="both"/>
              <w:rPr>
                <w:iCs/>
                <w:sz w:val="22"/>
                <w:szCs w:val="22"/>
              </w:rPr>
            </w:pPr>
            <w:r w:rsidRPr="0047255F">
              <w:rPr>
                <w:iCs/>
                <w:sz w:val="22"/>
                <w:szCs w:val="22"/>
              </w:rPr>
              <w:t xml:space="preserve">Que, de la entrega de los equipos y elementos de navegación algunas de las Instituciones no están haciendo uso de </w:t>
            </w:r>
            <w:proofErr w:type="gramStart"/>
            <w:r w:rsidRPr="0047255F">
              <w:rPr>
                <w:iCs/>
                <w:sz w:val="22"/>
                <w:szCs w:val="22"/>
              </w:rPr>
              <w:t>las mismas</w:t>
            </w:r>
            <w:proofErr w:type="gramEnd"/>
            <w:r w:rsidRPr="0047255F">
              <w:rPr>
                <w:iCs/>
                <w:sz w:val="22"/>
                <w:szCs w:val="22"/>
              </w:rPr>
              <w:t>, por lo que en sus respuestas no mencionaron si realizaron la devolución, o si por el contrario fueron destinadas a otras instituciones con todos y cada uno de los elementos de navegación aportados inicialmente, así como tampoco se tiene conocimiento del manejo que se le está dando ni el estado actual de los mismos.</w:t>
            </w:r>
          </w:p>
          <w:p w14:paraId="3132E393" w14:textId="77777777" w:rsidR="0047255F" w:rsidRDefault="0047255F" w:rsidP="00FB24E6">
            <w:pPr>
              <w:pStyle w:val="Default"/>
              <w:jc w:val="both"/>
              <w:rPr>
                <w:iCs/>
                <w:sz w:val="22"/>
                <w:szCs w:val="22"/>
              </w:rPr>
            </w:pPr>
          </w:p>
          <w:p w14:paraId="4D2D7244" w14:textId="02DEE34D" w:rsidR="0047255F" w:rsidRDefault="0047255F" w:rsidP="00FB24E6">
            <w:pPr>
              <w:pStyle w:val="Default"/>
              <w:jc w:val="both"/>
              <w:rPr>
                <w:iCs/>
                <w:sz w:val="22"/>
                <w:szCs w:val="22"/>
              </w:rPr>
            </w:pPr>
            <w:r w:rsidRPr="0047255F">
              <w:rPr>
                <w:iCs/>
                <w:sz w:val="22"/>
                <w:szCs w:val="22"/>
              </w:rPr>
              <w:t xml:space="preserve">Se evidenció la entrega de cada una de las embarcaciones y elementos de navegabilidad a cada una de las Instituciones, conforme las actas de entrega a satisfacción, corno lo fue </w:t>
            </w:r>
            <w:r w:rsidRPr="0047255F">
              <w:rPr>
                <w:iCs/>
                <w:sz w:val="22"/>
                <w:szCs w:val="22"/>
              </w:rPr>
              <w:t>a la</w:t>
            </w:r>
            <w:r w:rsidRPr="0047255F">
              <w:rPr>
                <w:iCs/>
                <w:sz w:val="22"/>
                <w:szCs w:val="22"/>
              </w:rPr>
              <w:t xml:space="preserve"> Institución Educativa Santa Rosa del Valle del Guamuez, quien en su respuesta ha manifestado no recibir la embarcación como sus elementos de navegabilidad, cuando </w:t>
            </w:r>
            <w:proofErr w:type="gramStart"/>
            <w:r w:rsidRPr="0047255F">
              <w:rPr>
                <w:iCs/>
                <w:sz w:val="22"/>
                <w:szCs w:val="22"/>
              </w:rPr>
              <w:t>de acuerdo al</w:t>
            </w:r>
            <w:proofErr w:type="gramEnd"/>
            <w:r w:rsidRPr="0047255F">
              <w:rPr>
                <w:iCs/>
                <w:sz w:val="22"/>
                <w:szCs w:val="22"/>
              </w:rPr>
              <w:t xml:space="preserve"> acta de entrega a satisfacción, se encuentra relacionada.</w:t>
            </w:r>
          </w:p>
          <w:p w14:paraId="12140753" w14:textId="77777777" w:rsidR="0047255F" w:rsidRDefault="0047255F" w:rsidP="00FB24E6">
            <w:pPr>
              <w:pStyle w:val="Default"/>
              <w:jc w:val="both"/>
              <w:rPr>
                <w:iCs/>
                <w:sz w:val="22"/>
                <w:szCs w:val="22"/>
              </w:rPr>
            </w:pPr>
          </w:p>
          <w:p w14:paraId="44A93026" w14:textId="77777777" w:rsidR="0047255F" w:rsidRDefault="0047255F" w:rsidP="00FB24E6">
            <w:pPr>
              <w:pStyle w:val="Default"/>
              <w:jc w:val="both"/>
              <w:rPr>
                <w:iCs/>
                <w:sz w:val="22"/>
                <w:szCs w:val="22"/>
              </w:rPr>
            </w:pPr>
            <w:r w:rsidRPr="0047255F">
              <w:rPr>
                <w:iCs/>
                <w:sz w:val="22"/>
                <w:szCs w:val="22"/>
              </w:rPr>
              <w:t xml:space="preserve">Se advierte que, algunas de las Instituciones no están haciendo uso de los elementos y equipos de navegación sin que se hubiere explicado en sus </w:t>
            </w:r>
            <w:r w:rsidRPr="0047255F">
              <w:rPr>
                <w:iCs/>
                <w:sz w:val="22"/>
                <w:szCs w:val="22"/>
              </w:rPr>
              <w:lastRenderedPageBreak/>
              <w:t>respuestas las acciones adelantadas por las instituciones Educativas para darle la solución a las observaciones presentadas.</w:t>
            </w:r>
          </w:p>
          <w:p w14:paraId="54AAC504" w14:textId="77777777" w:rsidR="0047255F" w:rsidRDefault="0047255F" w:rsidP="00FB24E6">
            <w:pPr>
              <w:pStyle w:val="Default"/>
              <w:jc w:val="both"/>
              <w:rPr>
                <w:iCs/>
                <w:sz w:val="22"/>
                <w:szCs w:val="22"/>
              </w:rPr>
            </w:pPr>
          </w:p>
          <w:p w14:paraId="0D210CED" w14:textId="15863E60" w:rsidR="0047255F" w:rsidRPr="00A97B9E" w:rsidRDefault="0047255F" w:rsidP="00FB24E6">
            <w:pPr>
              <w:pStyle w:val="Default"/>
              <w:jc w:val="both"/>
              <w:rPr>
                <w:iCs/>
                <w:sz w:val="22"/>
                <w:szCs w:val="22"/>
              </w:rPr>
            </w:pPr>
            <w:r w:rsidRPr="0047255F">
              <w:rPr>
                <w:iCs/>
                <w:sz w:val="22"/>
                <w:szCs w:val="22"/>
              </w:rPr>
              <w:t>Se concluye entonces que actualmente las fallas detectadas por la auditoría en la ejecución del contrato No. 1314 del 31 de diciembre de 2015, cuyo objeto fue "DOTACIÓN DE TRANSPORTE FLUVIAL A ESTABLECIMIENTOS EDUCATIVOS A ESTUDIANTES PERTENECIENTES AL AREA RURAL DE DEPARTAMENTO DEL PUTUMAYO" persisten actualmente.</w:t>
            </w:r>
          </w:p>
        </w:tc>
      </w:tr>
      <w:tr w:rsidR="003152D5" w:rsidRPr="00A97B9E" w14:paraId="51B3F58B" w14:textId="77777777" w:rsidTr="008F3801">
        <w:trPr>
          <w:trHeight w:val="559"/>
        </w:trPr>
        <w:tc>
          <w:tcPr>
            <w:tcW w:w="2338" w:type="dxa"/>
            <w:shd w:val="clear" w:color="auto" w:fill="0033A0"/>
            <w:vAlign w:val="center"/>
          </w:tcPr>
          <w:p w14:paraId="502B9735" w14:textId="77777777" w:rsidR="003152D5" w:rsidRPr="00A97B9E" w:rsidRDefault="003152D5" w:rsidP="00A97B9E">
            <w:pPr>
              <w:jc w:val="both"/>
              <w:rPr>
                <w:rFonts w:ascii="Arial" w:hAnsi="Arial" w:cs="Arial"/>
                <w:b/>
                <w:sz w:val="22"/>
                <w:szCs w:val="22"/>
              </w:rPr>
            </w:pPr>
            <w:r w:rsidRPr="00A97B9E">
              <w:rPr>
                <w:rFonts w:ascii="Arial" w:hAnsi="Arial" w:cs="Arial"/>
                <w:b/>
                <w:sz w:val="22"/>
                <w:szCs w:val="22"/>
              </w:rPr>
              <w:lastRenderedPageBreak/>
              <w:t>Calificación de la Contingencia</w:t>
            </w:r>
          </w:p>
        </w:tc>
        <w:tc>
          <w:tcPr>
            <w:tcW w:w="7512" w:type="dxa"/>
            <w:gridSpan w:val="3"/>
            <w:vAlign w:val="center"/>
          </w:tcPr>
          <w:p w14:paraId="3354A7BE" w14:textId="6BC07F5F" w:rsidR="003152D5" w:rsidRPr="00A97B9E" w:rsidRDefault="00A24A15" w:rsidP="00A97B9E">
            <w:pPr>
              <w:jc w:val="both"/>
              <w:rPr>
                <w:rFonts w:ascii="Arial" w:hAnsi="Arial" w:cs="Arial"/>
                <w:b/>
                <w:iCs/>
                <w:sz w:val="22"/>
                <w:szCs w:val="22"/>
              </w:rPr>
            </w:pPr>
            <w:r>
              <w:rPr>
                <w:rFonts w:ascii="Arial" w:hAnsi="Arial" w:cs="Arial"/>
                <w:b/>
                <w:iCs/>
                <w:sz w:val="22"/>
                <w:szCs w:val="22"/>
                <w:u w:val="single"/>
              </w:rPr>
              <w:t>EVENTUAL</w:t>
            </w:r>
          </w:p>
        </w:tc>
      </w:tr>
      <w:tr w:rsidR="003152D5" w:rsidRPr="00A97B9E" w14:paraId="3816128F" w14:textId="77777777" w:rsidTr="008F3801">
        <w:trPr>
          <w:trHeight w:val="836"/>
        </w:trPr>
        <w:tc>
          <w:tcPr>
            <w:tcW w:w="2338" w:type="dxa"/>
            <w:shd w:val="clear" w:color="auto" w:fill="0033A0"/>
            <w:vAlign w:val="center"/>
          </w:tcPr>
          <w:p w14:paraId="7FDFC74F" w14:textId="7C9CBE7F" w:rsidR="003152D5" w:rsidRPr="00A97B9E" w:rsidRDefault="003152D5" w:rsidP="00A97B9E">
            <w:pPr>
              <w:jc w:val="both"/>
              <w:rPr>
                <w:rFonts w:ascii="Arial" w:hAnsi="Arial" w:cs="Arial"/>
                <w:b/>
                <w:sz w:val="22"/>
                <w:szCs w:val="22"/>
              </w:rPr>
            </w:pPr>
            <w:r w:rsidRPr="00A97B9E">
              <w:rPr>
                <w:rFonts w:ascii="Arial" w:hAnsi="Arial" w:cs="Arial"/>
                <w:b/>
                <w:sz w:val="22"/>
                <w:szCs w:val="22"/>
              </w:rPr>
              <w:t>Fundamento de la calificación</w:t>
            </w:r>
          </w:p>
        </w:tc>
        <w:tc>
          <w:tcPr>
            <w:tcW w:w="7512" w:type="dxa"/>
            <w:gridSpan w:val="3"/>
            <w:vAlign w:val="center"/>
          </w:tcPr>
          <w:p w14:paraId="47B14F2B" w14:textId="390975A8" w:rsidR="00A24A15" w:rsidRDefault="00A24A15" w:rsidP="00A24A15">
            <w:pPr>
              <w:pStyle w:val="NormalWeb"/>
              <w:shd w:val="clear" w:color="auto" w:fill="FFFFFF"/>
              <w:jc w:val="both"/>
              <w:rPr>
                <w:rFonts w:ascii="Arial" w:hAnsi="Arial" w:cs="Arial"/>
                <w:color w:val="000000"/>
                <w:sz w:val="22"/>
                <w:szCs w:val="22"/>
              </w:rPr>
            </w:pPr>
            <w:r w:rsidRPr="00A24A15">
              <w:rPr>
                <w:rFonts w:ascii="Arial" w:hAnsi="Arial" w:cs="Arial"/>
                <w:color w:val="000000"/>
                <w:sz w:val="22"/>
                <w:szCs w:val="22"/>
              </w:rPr>
              <w:t xml:space="preserve">La contingencia del proceso de responsabilidad fiscal 2020-37834, se califica como EVENTUAL, por cuanto si bien el negocio aseguraticio presta cobertura temporal, la cobertura material y la determinación de responsabilidad del afianzado, depende del ejercicio probatorio que realice el ente de control en relación con el cumplimiento o no del Contrato N°1314 </w:t>
            </w:r>
            <w:r w:rsidR="0047255F">
              <w:rPr>
                <w:rFonts w:ascii="Arial" w:hAnsi="Arial" w:cs="Arial"/>
                <w:color w:val="000000"/>
                <w:sz w:val="22"/>
                <w:szCs w:val="22"/>
              </w:rPr>
              <w:t>d</w:t>
            </w:r>
            <w:r w:rsidRPr="00A24A15">
              <w:rPr>
                <w:rFonts w:ascii="Arial" w:hAnsi="Arial" w:cs="Arial"/>
                <w:color w:val="000000"/>
                <w:sz w:val="22"/>
                <w:szCs w:val="22"/>
              </w:rPr>
              <w:t>e 2015.</w:t>
            </w:r>
          </w:p>
          <w:p w14:paraId="62C8DB50" w14:textId="1FACEA9D" w:rsidR="00A24A15" w:rsidRPr="00A24A15" w:rsidRDefault="00A24A15" w:rsidP="00A24A15">
            <w:pPr>
              <w:pStyle w:val="NormalWeb"/>
              <w:shd w:val="clear" w:color="auto" w:fill="FFFFFF"/>
              <w:jc w:val="both"/>
              <w:rPr>
                <w:rFonts w:ascii="Arial" w:hAnsi="Arial" w:cs="Arial"/>
                <w:color w:val="000000"/>
                <w:sz w:val="22"/>
                <w:szCs w:val="22"/>
              </w:rPr>
            </w:pPr>
            <w:r w:rsidRPr="00A24A15">
              <w:rPr>
                <w:rFonts w:ascii="Arial" w:hAnsi="Arial" w:cs="Arial"/>
                <w:color w:val="000000"/>
                <w:sz w:val="22"/>
                <w:szCs w:val="22"/>
              </w:rPr>
              <w:t>La Póliza de Seguro de Cumplimiento a Favor de Entidades Estatales N°1493761-5., cuyo asegurado es el Departamento del Putumayo NIT 800.094.16.44,  presta cobertura temporal, toda vez que la póliza fue pactada bajo la modalidad ocurrencia, con una vigencia desde el 15 de noviembre de 2016 al 01 de abril de 2020 y, por su parte, los hechos que produjeron el presunto detrimento patrimonial, acaecieron el 24 de septiembre de 2019 fecha de finalización del Contrato N°1314 de 2015 cuyo objeto fue la "dotación de transporte fluvial a establecimientos educativos a estudiantes pertenecientes al área rural del Departamento de Putumayo', por lo que dicho hecho, está amparado por la póliza de cumplimiento vinculada al proceso de responsabilidad fiscal. Por su parte, la cobertura material está sujeta a lo que se pruebe al interior del proceso, en tanto si bien, la póliza no contempla dentro de sus coberturas, el amparo de delitos contra la administración pública y alcances fiscales, si ampara el cumplimiento del Contrato N°1314 de 2015, motivo por el cual la cobertura material depende de las investigaciones que realice el ente de control en relación a la entrega de los elementos adquiridos mediante el contrato en mención; Es importante resaltar que si se logra acreditar probatoriamente la entrega a satisfacción de los 85 equipos fluviales y por tanto el daño de uno de los botes por un choque que sufriría el mismo, así como el demérito natural de los chalecos, podrían operar las siguientes exclusiones: “1. causa extraña, esto es, la fuerza mayor o el caso fortuito, el hecho de un tercero o la culpa exclusiva de la víctima” ,</w:t>
            </w:r>
            <w:r w:rsidRPr="00A24A15">
              <w:rPr>
                <w:rFonts w:ascii="Arial" w:hAnsi="Arial" w:cs="Arial"/>
                <w:color w:val="000000"/>
                <w:sz w:val="22"/>
                <w:szCs w:val="22"/>
              </w:rPr>
              <w:t>3: “</w:t>
            </w:r>
            <w:r w:rsidRPr="00A24A15">
              <w:rPr>
                <w:rFonts w:ascii="Arial" w:hAnsi="Arial" w:cs="Arial"/>
                <w:color w:val="000000"/>
                <w:sz w:val="22"/>
                <w:szCs w:val="22"/>
              </w:rPr>
              <w:t>Uso indebido o inadecuado o falta de mantenimiento preventivo al que está obligada la entidad estatal” y 4: “El deterioro normal que sufran los bienes entregados con ocasión del contrato garantizado como consecuencia del transcurso del tiempo”, lo que de suyo descartaría la existencia de incumplimiento contractual y, así mismo, cobertura material del negocio aseguraticio.</w:t>
            </w:r>
          </w:p>
          <w:p w14:paraId="3B81141F" w14:textId="77777777" w:rsidR="00A24A15" w:rsidRDefault="00A24A15" w:rsidP="00A24A15">
            <w:pPr>
              <w:pStyle w:val="NormalWeb"/>
              <w:shd w:val="clear" w:color="auto" w:fill="FFFFFF"/>
              <w:jc w:val="both"/>
              <w:rPr>
                <w:rFonts w:ascii="Arial" w:hAnsi="Arial" w:cs="Arial"/>
                <w:color w:val="000000"/>
                <w:sz w:val="22"/>
                <w:szCs w:val="22"/>
              </w:rPr>
            </w:pPr>
            <w:r w:rsidRPr="00A24A15">
              <w:rPr>
                <w:rFonts w:ascii="Arial" w:hAnsi="Arial" w:cs="Arial"/>
                <w:color w:val="000000"/>
                <w:sz w:val="22"/>
                <w:szCs w:val="22"/>
              </w:rPr>
              <w:t>Finalmente, respecto a la responsabilidad del afianzado y la imputabilidad de la misma, dependerá del análisis que realice la Contraloría de los elementos probatorios que obran en el expediente, en especial de las actas que demuestran que las instituciones educativas que recibieron los elementos adquiridos mediante el contrato de compraventa objeto de reproche, como quiera que las IE manifestaron que recibieron los elementos a satisfacción, y solo dos de ellas, indicaron que no recibieron los botes conforme a las especificaciones técnicas, pero no se ha aportado hasta esta instancia del proceso ninguna presentación de no conformidad.</w:t>
            </w:r>
          </w:p>
          <w:p w14:paraId="46EE1E88" w14:textId="61EDB8AF" w:rsidR="009653E2" w:rsidRPr="00A24A15" w:rsidRDefault="00A24A15" w:rsidP="00A97B9E">
            <w:pPr>
              <w:pStyle w:val="NormalWeb"/>
              <w:shd w:val="clear" w:color="auto" w:fill="FFFFFF"/>
              <w:jc w:val="both"/>
              <w:rPr>
                <w:rFonts w:ascii="Arial" w:hAnsi="Arial" w:cs="Arial"/>
                <w:color w:val="000000"/>
                <w:sz w:val="22"/>
                <w:szCs w:val="22"/>
              </w:rPr>
            </w:pPr>
            <w:r w:rsidRPr="00A24A15">
              <w:rPr>
                <w:rFonts w:ascii="Arial" w:hAnsi="Arial" w:cs="Arial"/>
                <w:color w:val="000000"/>
                <w:sz w:val="22"/>
                <w:szCs w:val="22"/>
              </w:rPr>
              <w:t>Lo anterior, sin perjuicio del carácter contingente del proceso de responsabilidad fiscal.</w:t>
            </w:r>
          </w:p>
        </w:tc>
      </w:tr>
      <w:tr w:rsidR="003152D5" w:rsidRPr="00A97B9E" w14:paraId="423EF0FF" w14:textId="77777777" w:rsidTr="008F3801">
        <w:trPr>
          <w:trHeight w:val="478"/>
        </w:trPr>
        <w:tc>
          <w:tcPr>
            <w:tcW w:w="2338" w:type="dxa"/>
            <w:shd w:val="clear" w:color="auto" w:fill="0033A0"/>
            <w:vAlign w:val="center"/>
          </w:tcPr>
          <w:p w14:paraId="2F9F4436" w14:textId="77777777" w:rsidR="003152D5" w:rsidRPr="00A97B9E" w:rsidRDefault="003152D5" w:rsidP="00A97B9E">
            <w:pPr>
              <w:jc w:val="both"/>
              <w:rPr>
                <w:rFonts w:ascii="Arial" w:hAnsi="Arial" w:cs="Arial"/>
                <w:b/>
                <w:sz w:val="22"/>
                <w:szCs w:val="22"/>
              </w:rPr>
            </w:pPr>
            <w:r w:rsidRPr="00A97B9E">
              <w:rPr>
                <w:rFonts w:ascii="Arial" w:hAnsi="Arial" w:cs="Arial"/>
                <w:b/>
                <w:sz w:val="22"/>
                <w:szCs w:val="22"/>
              </w:rPr>
              <w:t>Observaciones</w:t>
            </w:r>
          </w:p>
        </w:tc>
        <w:tc>
          <w:tcPr>
            <w:tcW w:w="7512" w:type="dxa"/>
            <w:gridSpan w:val="3"/>
            <w:vAlign w:val="center"/>
          </w:tcPr>
          <w:p w14:paraId="0C08A217" w14:textId="6AA1C2E4" w:rsidR="003152D5" w:rsidRPr="00A97B9E" w:rsidRDefault="00A97B9E" w:rsidP="00A97B9E">
            <w:pPr>
              <w:jc w:val="both"/>
              <w:rPr>
                <w:rFonts w:ascii="Arial" w:hAnsi="Arial" w:cs="Arial"/>
                <w:iCs/>
                <w:sz w:val="22"/>
                <w:szCs w:val="22"/>
              </w:rPr>
            </w:pPr>
            <w:r w:rsidRPr="00A97B9E">
              <w:rPr>
                <w:rFonts w:ascii="Arial" w:hAnsi="Arial" w:cs="Arial"/>
                <w:iCs/>
                <w:sz w:val="22"/>
                <w:szCs w:val="22"/>
              </w:rPr>
              <w:t>En término para pronunciarnos al auto de apertura</w:t>
            </w:r>
          </w:p>
        </w:tc>
      </w:tr>
    </w:tbl>
    <w:p w14:paraId="03B039A9" w14:textId="77777777" w:rsidR="00247E08" w:rsidRPr="00A97B9E" w:rsidRDefault="00247E08" w:rsidP="00A97B9E">
      <w:pPr>
        <w:jc w:val="both"/>
        <w:rPr>
          <w:rFonts w:ascii="Arial" w:hAnsi="Arial" w:cs="Arial"/>
          <w:b/>
          <w:sz w:val="22"/>
          <w:szCs w:val="22"/>
          <w:u w:val="single"/>
        </w:rPr>
      </w:pPr>
    </w:p>
    <w:p w14:paraId="7C1537B2" w14:textId="77777777" w:rsidR="0096555E" w:rsidRPr="00A97B9E" w:rsidRDefault="0096555E" w:rsidP="00A97B9E">
      <w:pPr>
        <w:jc w:val="both"/>
        <w:rPr>
          <w:rFonts w:ascii="Arial" w:hAnsi="Arial" w:cs="Arial"/>
          <w:b/>
          <w:sz w:val="22"/>
          <w:szCs w:val="22"/>
        </w:rPr>
      </w:pPr>
    </w:p>
    <w:p w14:paraId="1AA0C5C3" w14:textId="2FE4EAEC" w:rsidR="00247E08" w:rsidRPr="00A97B9E" w:rsidRDefault="00E7768D" w:rsidP="00A97B9E">
      <w:pPr>
        <w:jc w:val="both"/>
        <w:rPr>
          <w:rFonts w:ascii="Arial" w:hAnsi="Arial" w:cs="Arial"/>
          <w:b/>
          <w:sz w:val="22"/>
          <w:szCs w:val="22"/>
        </w:rPr>
      </w:pPr>
      <w:r w:rsidRPr="00A97B9E">
        <w:rPr>
          <w:rFonts w:ascii="Arial" w:hAnsi="Arial" w:cs="Arial"/>
          <w:b/>
          <w:sz w:val="22"/>
          <w:szCs w:val="22"/>
        </w:rPr>
        <w:t>Datos abogado interno</w:t>
      </w:r>
    </w:p>
    <w:p w14:paraId="30A5C309" w14:textId="62380A42" w:rsidR="00E7768D" w:rsidRPr="00A97B9E" w:rsidRDefault="00E7768D" w:rsidP="00A97B9E">
      <w:pPr>
        <w:jc w:val="both"/>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A97B9E" w14:paraId="6E3C6E8A" w14:textId="77777777" w:rsidTr="008F3801">
        <w:trPr>
          <w:trHeight w:val="340"/>
        </w:trPr>
        <w:tc>
          <w:tcPr>
            <w:tcW w:w="2353" w:type="dxa"/>
            <w:shd w:val="clear" w:color="auto" w:fill="0033A0"/>
            <w:vAlign w:val="center"/>
          </w:tcPr>
          <w:p w14:paraId="72BAF282" w14:textId="216ED2CA" w:rsidR="00527AC1" w:rsidRPr="00A97B9E" w:rsidRDefault="00670B1C" w:rsidP="00A97B9E">
            <w:pPr>
              <w:jc w:val="both"/>
              <w:rPr>
                <w:rFonts w:ascii="Arial" w:hAnsi="Arial" w:cs="Arial"/>
                <w:b/>
                <w:bCs/>
                <w:sz w:val="22"/>
                <w:szCs w:val="22"/>
              </w:rPr>
            </w:pPr>
            <w:r w:rsidRPr="00A97B9E">
              <w:rPr>
                <w:rFonts w:ascii="Arial" w:hAnsi="Arial" w:cs="Arial"/>
                <w:b/>
                <w:bCs/>
                <w:sz w:val="22"/>
                <w:szCs w:val="22"/>
              </w:rPr>
              <w:lastRenderedPageBreak/>
              <w:t>Requiere siniestro</w:t>
            </w:r>
          </w:p>
        </w:tc>
        <w:tc>
          <w:tcPr>
            <w:tcW w:w="1260" w:type="dxa"/>
            <w:vAlign w:val="center"/>
          </w:tcPr>
          <w:p w14:paraId="7944CF82" w14:textId="77777777" w:rsidR="00527AC1" w:rsidRPr="00A97B9E" w:rsidRDefault="00527AC1" w:rsidP="00A97B9E">
            <w:pPr>
              <w:jc w:val="both"/>
              <w:rPr>
                <w:rFonts w:ascii="Arial" w:hAnsi="Arial" w:cs="Arial"/>
                <w:sz w:val="22"/>
                <w:szCs w:val="22"/>
              </w:rPr>
            </w:pPr>
          </w:p>
        </w:tc>
        <w:tc>
          <w:tcPr>
            <w:tcW w:w="2127" w:type="dxa"/>
            <w:shd w:val="clear" w:color="auto" w:fill="0033A0"/>
            <w:vAlign w:val="center"/>
          </w:tcPr>
          <w:p w14:paraId="5FD9B59F" w14:textId="57D650C4" w:rsidR="00527AC1" w:rsidRPr="00A97B9E" w:rsidRDefault="00670B1C" w:rsidP="00A97B9E">
            <w:pPr>
              <w:jc w:val="both"/>
              <w:rPr>
                <w:rFonts w:ascii="Arial" w:hAnsi="Arial" w:cs="Arial"/>
                <w:b/>
                <w:bCs/>
                <w:sz w:val="22"/>
                <w:szCs w:val="22"/>
              </w:rPr>
            </w:pPr>
            <w:r w:rsidRPr="00A97B9E">
              <w:rPr>
                <w:rFonts w:ascii="Arial" w:hAnsi="Arial" w:cs="Arial"/>
                <w:b/>
                <w:bCs/>
                <w:sz w:val="22"/>
                <w:szCs w:val="22"/>
              </w:rPr>
              <w:t>Número de siniestro</w:t>
            </w:r>
          </w:p>
        </w:tc>
        <w:tc>
          <w:tcPr>
            <w:tcW w:w="4110" w:type="dxa"/>
            <w:vAlign w:val="center"/>
          </w:tcPr>
          <w:p w14:paraId="08F65C37" w14:textId="536588FA" w:rsidR="00527AC1" w:rsidRPr="00A97B9E" w:rsidRDefault="00527AC1" w:rsidP="00A97B9E">
            <w:pPr>
              <w:jc w:val="both"/>
              <w:rPr>
                <w:rFonts w:ascii="Arial" w:hAnsi="Arial" w:cs="Arial"/>
                <w:sz w:val="22"/>
                <w:szCs w:val="22"/>
              </w:rPr>
            </w:pPr>
          </w:p>
        </w:tc>
      </w:tr>
      <w:tr w:rsidR="00670B1C" w:rsidRPr="00A97B9E" w14:paraId="02724D2B" w14:textId="77777777" w:rsidTr="008F3801">
        <w:trPr>
          <w:cantSplit/>
          <w:trHeight w:val="340"/>
        </w:trPr>
        <w:tc>
          <w:tcPr>
            <w:tcW w:w="2353" w:type="dxa"/>
            <w:shd w:val="clear" w:color="auto" w:fill="0033A0"/>
            <w:vAlign w:val="center"/>
          </w:tcPr>
          <w:p w14:paraId="712D0A9F" w14:textId="4E0FB124" w:rsidR="00670B1C" w:rsidRPr="00A97B9E" w:rsidRDefault="004C53EC" w:rsidP="00A97B9E">
            <w:pPr>
              <w:jc w:val="both"/>
              <w:rPr>
                <w:rFonts w:ascii="Arial" w:hAnsi="Arial" w:cs="Arial"/>
                <w:b/>
                <w:sz w:val="22"/>
                <w:szCs w:val="22"/>
              </w:rPr>
            </w:pPr>
            <w:r w:rsidRPr="00A97B9E">
              <w:rPr>
                <w:rFonts w:ascii="Arial" w:hAnsi="Arial" w:cs="Arial"/>
                <w:b/>
                <w:sz w:val="22"/>
                <w:szCs w:val="22"/>
              </w:rPr>
              <w:t>Vinculado</w:t>
            </w:r>
          </w:p>
        </w:tc>
        <w:tc>
          <w:tcPr>
            <w:tcW w:w="1260" w:type="dxa"/>
            <w:vAlign w:val="center"/>
          </w:tcPr>
          <w:p w14:paraId="6EE862B9" w14:textId="77777777" w:rsidR="00670B1C" w:rsidRPr="00A97B9E" w:rsidRDefault="00670B1C" w:rsidP="00A97B9E">
            <w:pPr>
              <w:jc w:val="both"/>
              <w:rPr>
                <w:rFonts w:ascii="Arial" w:hAnsi="Arial" w:cs="Arial"/>
                <w:sz w:val="22"/>
                <w:szCs w:val="22"/>
              </w:rPr>
            </w:pPr>
          </w:p>
        </w:tc>
        <w:tc>
          <w:tcPr>
            <w:tcW w:w="2127" w:type="dxa"/>
            <w:shd w:val="clear" w:color="auto" w:fill="0033A0"/>
            <w:vAlign w:val="center"/>
          </w:tcPr>
          <w:p w14:paraId="64204CF7" w14:textId="26B2CBCA" w:rsidR="00670B1C" w:rsidRPr="00A97B9E" w:rsidRDefault="004C53EC" w:rsidP="00A97B9E">
            <w:pPr>
              <w:jc w:val="both"/>
              <w:rPr>
                <w:rFonts w:ascii="Arial" w:hAnsi="Arial" w:cs="Arial"/>
                <w:b/>
                <w:sz w:val="22"/>
                <w:szCs w:val="22"/>
              </w:rPr>
            </w:pPr>
            <w:r w:rsidRPr="00A97B9E">
              <w:rPr>
                <w:rFonts w:ascii="Arial" w:hAnsi="Arial" w:cs="Arial"/>
                <w:b/>
                <w:sz w:val="22"/>
                <w:szCs w:val="22"/>
              </w:rPr>
              <w:t>Asunto</w:t>
            </w:r>
          </w:p>
        </w:tc>
        <w:tc>
          <w:tcPr>
            <w:tcW w:w="4110" w:type="dxa"/>
            <w:vAlign w:val="center"/>
          </w:tcPr>
          <w:p w14:paraId="67FD7B5B" w14:textId="578D9DB7" w:rsidR="00670B1C" w:rsidRPr="00A97B9E" w:rsidRDefault="00670B1C" w:rsidP="00A97B9E">
            <w:pPr>
              <w:jc w:val="both"/>
              <w:rPr>
                <w:rFonts w:ascii="Arial" w:hAnsi="Arial" w:cs="Arial"/>
                <w:sz w:val="22"/>
                <w:szCs w:val="22"/>
              </w:rPr>
            </w:pPr>
          </w:p>
        </w:tc>
      </w:tr>
    </w:tbl>
    <w:p w14:paraId="1AEE6596" w14:textId="77777777" w:rsidR="00E7768D" w:rsidRPr="00A97B9E" w:rsidRDefault="00E7768D" w:rsidP="00A97B9E">
      <w:pPr>
        <w:jc w:val="both"/>
        <w:rPr>
          <w:rFonts w:ascii="Arial" w:hAnsi="Arial" w:cs="Arial"/>
          <w:b/>
          <w:sz w:val="22"/>
          <w:szCs w:val="22"/>
          <w:u w:val="single"/>
        </w:rPr>
      </w:pPr>
    </w:p>
    <w:sectPr w:rsidR="00E7768D" w:rsidRPr="00A97B9E" w:rsidSect="00F67FE4">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5E9B5" w14:textId="77777777" w:rsidR="00C4408B" w:rsidRDefault="00C4408B" w:rsidP="00114170">
      <w:r>
        <w:separator/>
      </w:r>
    </w:p>
  </w:endnote>
  <w:endnote w:type="continuationSeparator" w:id="0">
    <w:p w14:paraId="25CB4A97" w14:textId="77777777" w:rsidR="00C4408B" w:rsidRDefault="00C4408B"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D849D" w14:textId="77777777" w:rsidR="00C4408B" w:rsidRDefault="00C4408B" w:rsidP="00114170">
      <w:r>
        <w:separator/>
      </w:r>
    </w:p>
  </w:footnote>
  <w:footnote w:type="continuationSeparator" w:id="0">
    <w:p w14:paraId="249FA4C7" w14:textId="77777777" w:rsidR="00C4408B" w:rsidRDefault="00C4408B"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64C4F"/>
    <w:multiLevelType w:val="hybridMultilevel"/>
    <w:tmpl w:val="D452EE4A"/>
    <w:lvl w:ilvl="0" w:tplc="E272F1D0">
      <w:numFmt w:val="bullet"/>
      <w:lvlText w:val=""/>
      <w:lvlJc w:val="left"/>
      <w:pPr>
        <w:ind w:left="1003" w:hanging="360"/>
      </w:pPr>
      <w:rPr>
        <w:rFonts w:ascii="Symbol" w:eastAsia="Symbol" w:hAnsi="Symbol" w:cs="Symbol" w:hint="default"/>
        <w:w w:val="100"/>
        <w:sz w:val="20"/>
        <w:szCs w:val="20"/>
        <w:lang w:val="es-ES" w:eastAsia="en-US" w:bidi="ar-SA"/>
      </w:rPr>
    </w:lvl>
    <w:lvl w:ilvl="1" w:tplc="080A0003" w:tentative="1">
      <w:start w:val="1"/>
      <w:numFmt w:val="bullet"/>
      <w:lvlText w:val="o"/>
      <w:lvlJc w:val="left"/>
      <w:pPr>
        <w:ind w:left="1723" w:hanging="360"/>
      </w:pPr>
      <w:rPr>
        <w:rFonts w:ascii="Courier New" w:hAnsi="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4"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280220">
    <w:abstractNumId w:val="20"/>
  </w:num>
  <w:num w:numId="2" w16cid:durableId="999968336">
    <w:abstractNumId w:val="18"/>
  </w:num>
  <w:num w:numId="3" w16cid:durableId="1691450422">
    <w:abstractNumId w:val="23"/>
  </w:num>
  <w:num w:numId="4" w16cid:durableId="1053042841">
    <w:abstractNumId w:val="21"/>
  </w:num>
  <w:num w:numId="5" w16cid:durableId="750010781">
    <w:abstractNumId w:val="14"/>
  </w:num>
  <w:num w:numId="6" w16cid:durableId="1311521371">
    <w:abstractNumId w:val="29"/>
  </w:num>
  <w:num w:numId="7" w16cid:durableId="935752016">
    <w:abstractNumId w:val="9"/>
  </w:num>
  <w:num w:numId="8" w16cid:durableId="1616865825">
    <w:abstractNumId w:val="3"/>
  </w:num>
  <w:num w:numId="9" w16cid:durableId="2058967828">
    <w:abstractNumId w:val="31"/>
  </w:num>
  <w:num w:numId="10" w16cid:durableId="356001605">
    <w:abstractNumId w:val="11"/>
  </w:num>
  <w:num w:numId="11" w16cid:durableId="926695113">
    <w:abstractNumId w:val="1"/>
  </w:num>
  <w:num w:numId="12" w16cid:durableId="398671104">
    <w:abstractNumId w:val="28"/>
  </w:num>
  <w:num w:numId="13" w16cid:durableId="1120993389">
    <w:abstractNumId w:val="10"/>
  </w:num>
  <w:num w:numId="14" w16cid:durableId="1829397614">
    <w:abstractNumId w:val="4"/>
  </w:num>
  <w:num w:numId="15" w16cid:durableId="1455364539">
    <w:abstractNumId w:val="19"/>
  </w:num>
  <w:num w:numId="16" w16cid:durableId="1874729759">
    <w:abstractNumId w:val="30"/>
  </w:num>
  <w:num w:numId="17" w16cid:durableId="657150926">
    <w:abstractNumId w:val="27"/>
  </w:num>
  <w:num w:numId="18" w16cid:durableId="1455756159">
    <w:abstractNumId w:val="26"/>
  </w:num>
  <w:num w:numId="19" w16cid:durableId="1165437436">
    <w:abstractNumId w:val="8"/>
  </w:num>
  <w:num w:numId="20" w16cid:durableId="879586703">
    <w:abstractNumId w:val="22"/>
  </w:num>
  <w:num w:numId="21" w16cid:durableId="989092775">
    <w:abstractNumId w:val="7"/>
  </w:num>
  <w:num w:numId="22" w16cid:durableId="1112358239">
    <w:abstractNumId w:val="32"/>
  </w:num>
  <w:num w:numId="23" w16cid:durableId="541870427">
    <w:abstractNumId w:val="12"/>
  </w:num>
  <w:num w:numId="24" w16cid:durableId="169217816">
    <w:abstractNumId w:val="16"/>
  </w:num>
  <w:num w:numId="25" w16cid:durableId="213852426">
    <w:abstractNumId w:val="25"/>
  </w:num>
  <w:num w:numId="26" w16cid:durableId="651835698">
    <w:abstractNumId w:val="15"/>
  </w:num>
  <w:num w:numId="27" w16cid:durableId="773593208">
    <w:abstractNumId w:val="17"/>
  </w:num>
  <w:num w:numId="28" w16cid:durableId="1368338871">
    <w:abstractNumId w:val="24"/>
  </w:num>
  <w:num w:numId="29" w16cid:durableId="910116243">
    <w:abstractNumId w:val="6"/>
  </w:num>
  <w:num w:numId="30" w16cid:durableId="562839166">
    <w:abstractNumId w:val="5"/>
  </w:num>
  <w:num w:numId="31" w16cid:durableId="1052850252">
    <w:abstractNumId w:val="0"/>
  </w:num>
  <w:num w:numId="32" w16cid:durableId="913903772">
    <w:abstractNumId w:val="2"/>
  </w:num>
  <w:num w:numId="33" w16cid:durableId="21434944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20801"/>
    <w:rsid w:val="00036646"/>
    <w:rsid w:val="00037812"/>
    <w:rsid w:val="000401A8"/>
    <w:rsid w:val="000404E8"/>
    <w:rsid w:val="00050E3B"/>
    <w:rsid w:val="0006313F"/>
    <w:rsid w:val="00063B19"/>
    <w:rsid w:val="000739FB"/>
    <w:rsid w:val="00081D90"/>
    <w:rsid w:val="00090D76"/>
    <w:rsid w:val="0009260D"/>
    <w:rsid w:val="00094F3F"/>
    <w:rsid w:val="000A0A02"/>
    <w:rsid w:val="000C1B02"/>
    <w:rsid w:val="000C26D4"/>
    <w:rsid w:val="000D00EE"/>
    <w:rsid w:val="000D4CF1"/>
    <w:rsid w:val="000E47B9"/>
    <w:rsid w:val="000E7522"/>
    <w:rsid w:val="000F3BCA"/>
    <w:rsid w:val="00114170"/>
    <w:rsid w:val="00123760"/>
    <w:rsid w:val="001253CC"/>
    <w:rsid w:val="0013149B"/>
    <w:rsid w:val="00184BEB"/>
    <w:rsid w:val="00190D99"/>
    <w:rsid w:val="00197AE5"/>
    <w:rsid w:val="001B5C91"/>
    <w:rsid w:val="001C281E"/>
    <w:rsid w:val="001C4AB7"/>
    <w:rsid w:val="001D5B1E"/>
    <w:rsid w:val="00205973"/>
    <w:rsid w:val="00207388"/>
    <w:rsid w:val="00212C67"/>
    <w:rsid w:val="00213571"/>
    <w:rsid w:val="00216E9C"/>
    <w:rsid w:val="00221F8F"/>
    <w:rsid w:val="002277B8"/>
    <w:rsid w:val="00230417"/>
    <w:rsid w:val="002311CE"/>
    <w:rsid w:val="0023279C"/>
    <w:rsid w:val="00236DAF"/>
    <w:rsid w:val="002422AF"/>
    <w:rsid w:val="00247E08"/>
    <w:rsid w:val="002513CE"/>
    <w:rsid w:val="00255339"/>
    <w:rsid w:val="002554FB"/>
    <w:rsid w:val="00263159"/>
    <w:rsid w:val="0027255B"/>
    <w:rsid w:val="00285038"/>
    <w:rsid w:val="002958C0"/>
    <w:rsid w:val="002A58E2"/>
    <w:rsid w:val="002B69D9"/>
    <w:rsid w:val="002B706B"/>
    <w:rsid w:val="002B7B35"/>
    <w:rsid w:val="002C2E84"/>
    <w:rsid w:val="002C48B4"/>
    <w:rsid w:val="002C6436"/>
    <w:rsid w:val="002D5CC7"/>
    <w:rsid w:val="0030784C"/>
    <w:rsid w:val="00314784"/>
    <w:rsid w:val="003152D5"/>
    <w:rsid w:val="00316B10"/>
    <w:rsid w:val="00320A54"/>
    <w:rsid w:val="00326883"/>
    <w:rsid w:val="00337E0F"/>
    <w:rsid w:val="00346423"/>
    <w:rsid w:val="00354234"/>
    <w:rsid w:val="00367AA3"/>
    <w:rsid w:val="00372040"/>
    <w:rsid w:val="00373807"/>
    <w:rsid w:val="00374C2E"/>
    <w:rsid w:val="00380545"/>
    <w:rsid w:val="003810F4"/>
    <w:rsid w:val="00392D26"/>
    <w:rsid w:val="003A0056"/>
    <w:rsid w:val="003A17AC"/>
    <w:rsid w:val="003A544A"/>
    <w:rsid w:val="003A5FDC"/>
    <w:rsid w:val="003D1FDE"/>
    <w:rsid w:val="003D20D7"/>
    <w:rsid w:val="003E59C2"/>
    <w:rsid w:val="003F2547"/>
    <w:rsid w:val="00407B3B"/>
    <w:rsid w:val="004113B5"/>
    <w:rsid w:val="0042254E"/>
    <w:rsid w:val="004252B9"/>
    <w:rsid w:val="0043197D"/>
    <w:rsid w:val="00447AE4"/>
    <w:rsid w:val="004526CC"/>
    <w:rsid w:val="00454945"/>
    <w:rsid w:val="0047255F"/>
    <w:rsid w:val="00474305"/>
    <w:rsid w:val="00475D6D"/>
    <w:rsid w:val="004803E3"/>
    <w:rsid w:val="00484071"/>
    <w:rsid w:val="00490443"/>
    <w:rsid w:val="00497787"/>
    <w:rsid w:val="004A5D12"/>
    <w:rsid w:val="004B05BE"/>
    <w:rsid w:val="004B709D"/>
    <w:rsid w:val="004C2407"/>
    <w:rsid w:val="004C2D35"/>
    <w:rsid w:val="004C2E9C"/>
    <w:rsid w:val="004C2ECE"/>
    <w:rsid w:val="004C34B7"/>
    <w:rsid w:val="004C3A90"/>
    <w:rsid w:val="004C3DEB"/>
    <w:rsid w:val="004C53EC"/>
    <w:rsid w:val="004D0B1D"/>
    <w:rsid w:val="004D0F28"/>
    <w:rsid w:val="004D6B61"/>
    <w:rsid w:val="004E2C16"/>
    <w:rsid w:val="00500604"/>
    <w:rsid w:val="00500C23"/>
    <w:rsid w:val="00504ED6"/>
    <w:rsid w:val="00522B60"/>
    <w:rsid w:val="00527AC1"/>
    <w:rsid w:val="00530052"/>
    <w:rsid w:val="0054566E"/>
    <w:rsid w:val="00551367"/>
    <w:rsid w:val="0055384F"/>
    <w:rsid w:val="005540BF"/>
    <w:rsid w:val="00563295"/>
    <w:rsid w:val="005700BC"/>
    <w:rsid w:val="00577E84"/>
    <w:rsid w:val="00596831"/>
    <w:rsid w:val="005A6258"/>
    <w:rsid w:val="005F5EE0"/>
    <w:rsid w:val="00611F74"/>
    <w:rsid w:val="00615F8B"/>
    <w:rsid w:val="00623929"/>
    <w:rsid w:val="00632829"/>
    <w:rsid w:val="00642A17"/>
    <w:rsid w:val="00655F2D"/>
    <w:rsid w:val="00670B1C"/>
    <w:rsid w:val="00672B99"/>
    <w:rsid w:val="0068118E"/>
    <w:rsid w:val="00685622"/>
    <w:rsid w:val="0069333C"/>
    <w:rsid w:val="00693718"/>
    <w:rsid w:val="00696EDE"/>
    <w:rsid w:val="006A16E9"/>
    <w:rsid w:val="006A6736"/>
    <w:rsid w:val="006B0E2A"/>
    <w:rsid w:val="006C1F03"/>
    <w:rsid w:val="006C2C55"/>
    <w:rsid w:val="006D71E7"/>
    <w:rsid w:val="006E0BB5"/>
    <w:rsid w:val="006E4B86"/>
    <w:rsid w:val="006F1BB7"/>
    <w:rsid w:val="006F4FE6"/>
    <w:rsid w:val="006F6152"/>
    <w:rsid w:val="00703C75"/>
    <w:rsid w:val="00724202"/>
    <w:rsid w:val="0073444B"/>
    <w:rsid w:val="00734BD8"/>
    <w:rsid w:val="00741D06"/>
    <w:rsid w:val="0074603F"/>
    <w:rsid w:val="00781F87"/>
    <w:rsid w:val="007839CD"/>
    <w:rsid w:val="0079796A"/>
    <w:rsid w:val="007A3BF4"/>
    <w:rsid w:val="007A6078"/>
    <w:rsid w:val="007B6543"/>
    <w:rsid w:val="007E5666"/>
    <w:rsid w:val="007E6E42"/>
    <w:rsid w:val="007F4341"/>
    <w:rsid w:val="00817E08"/>
    <w:rsid w:val="00824DA6"/>
    <w:rsid w:val="0082787A"/>
    <w:rsid w:val="0083094B"/>
    <w:rsid w:val="008324AA"/>
    <w:rsid w:val="00833C2B"/>
    <w:rsid w:val="00840314"/>
    <w:rsid w:val="0087539A"/>
    <w:rsid w:val="008815AD"/>
    <w:rsid w:val="00881BE6"/>
    <w:rsid w:val="00894EBE"/>
    <w:rsid w:val="008C473A"/>
    <w:rsid w:val="008C5FF9"/>
    <w:rsid w:val="008D6AFB"/>
    <w:rsid w:val="008F10F0"/>
    <w:rsid w:val="008F3801"/>
    <w:rsid w:val="0091430C"/>
    <w:rsid w:val="00926FCC"/>
    <w:rsid w:val="00930766"/>
    <w:rsid w:val="0094361E"/>
    <w:rsid w:val="0094485D"/>
    <w:rsid w:val="009534D1"/>
    <w:rsid w:val="00954C7D"/>
    <w:rsid w:val="00955F5A"/>
    <w:rsid w:val="00956C8F"/>
    <w:rsid w:val="009572C0"/>
    <w:rsid w:val="009653E2"/>
    <w:rsid w:val="0096555E"/>
    <w:rsid w:val="009666D9"/>
    <w:rsid w:val="009723D0"/>
    <w:rsid w:val="00981826"/>
    <w:rsid w:val="009A3E8D"/>
    <w:rsid w:val="009C5F90"/>
    <w:rsid w:val="009D02BF"/>
    <w:rsid w:val="009E6A05"/>
    <w:rsid w:val="009E7D3B"/>
    <w:rsid w:val="00A024F9"/>
    <w:rsid w:val="00A24A15"/>
    <w:rsid w:val="00A2645B"/>
    <w:rsid w:val="00A26802"/>
    <w:rsid w:val="00A40839"/>
    <w:rsid w:val="00A62320"/>
    <w:rsid w:val="00A70A97"/>
    <w:rsid w:val="00A70E11"/>
    <w:rsid w:val="00A70FC1"/>
    <w:rsid w:val="00A718A1"/>
    <w:rsid w:val="00A73C84"/>
    <w:rsid w:val="00A97B9E"/>
    <w:rsid w:val="00AA042C"/>
    <w:rsid w:val="00AA09C9"/>
    <w:rsid w:val="00AA1753"/>
    <w:rsid w:val="00AA28CD"/>
    <w:rsid w:val="00AB38A7"/>
    <w:rsid w:val="00AB7CA0"/>
    <w:rsid w:val="00AE2901"/>
    <w:rsid w:val="00AF1DAC"/>
    <w:rsid w:val="00AF4AB7"/>
    <w:rsid w:val="00AF4F23"/>
    <w:rsid w:val="00B0219C"/>
    <w:rsid w:val="00B0599A"/>
    <w:rsid w:val="00B14936"/>
    <w:rsid w:val="00B16396"/>
    <w:rsid w:val="00B17DDE"/>
    <w:rsid w:val="00B346BF"/>
    <w:rsid w:val="00B40EE6"/>
    <w:rsid w:val="00B4147A"/>
    <w:rsid w:val="00B41631"/>
    <w:rsid w:val="00B4653E"/>
    <w:rsid w:val="00B5082C"/>
    <w:rsid w:val="00B6358F"/>
    <w:rsid w:val="00B65477"/>
    <w:rsid w:val="00B66AF0"/>
    <w:rsid w:val="00B80542"/>
    <w:rsid w:val="00B937A0"/>
    <w:rsid w:val="00B949AF"/>
    <w:rsid w:val="00B977DA"/>
    <w:rsid w:val="00BC0395"/>
    <w:rsid w:val="00BE3985"/>
    <w:rsid w:val="00BF75F6"/>
    <w:rsid w:val="00C031BC"/>
    <w:rsid w:val="00C26408"/>
    <w:rsid w:val="00C4408B"/>
    <w:rsid w:val="00C4710B"/>
    <w:rsid w:val="00C55D97"/>
    <w:rsid w:val="00C57A64"/>
    <w:rsid w:val="00C65D73"/>
    <w:rsid w:val="00C803D5"/>
    <w:rsid w:val="00C84F6C"/>
    <w:rsid w:val="00CC2635"/>
    <w:rsid w:val="00CD2308"/>
    <w:rsid w:val="00CD6091"/>
    <w:rsid w:val="00CD6E45"/>
    <w:rsid w:val="00CE2626"/>
    <w:rsid w:val="00D022D9"/>
    <w:rsid w:val="00D06467"/>
    <w:rsid w:val="00D12601"/>
    <w:rsid w:val="00D1513B"/>
    <w:rsid w:val="00D17D49"/>
    <w:rsid w:val="00D24F6F"/>
    <w:rsid w:val="00D252A8"/>
    <w:rsid w:val="00D3438F"/>
    <w:rsid w:val="00D454F1"/>
    <w:rsid w:val="00D6573A"/>
    <w:rsid w:val="00D84690"/>
    <w:rsid w:val="00D87E0E"/>
    <w:rsid w:val="00DA7130"/>
    <w:rsid w:val="00DC492A"/>
    <w:rsid w:val="00DE20D1"/>
    <w:rsid w:val="00DE3986"/>
    <w:rsid w:val="00DE51B7"/>
    <w:rsid w:val="00DE5A62"/>
    <w:rsid w:val="00E028BD"/>
    <w:rsid w:val="00E043A4"/>
    <w:rsid w:val="00E15C4C"/>
    <w:rsid w:val="00E16566"/>
    <w:rsid w:val="00E171AF"/>
    <w:rsid w:val="00E22AE6"/>
    <w:rsid w:val="00E24B49"/>
    <w:rsid w:val="00E52842"/>
    <w:rsid w:val="00E55821"/>
    <w:rsid w:val="00E62DC0"/>
    <w:rsid w:val="00E7062F"/>
    <w:rsid w:val="00E76ABC"/>
    <w:rsid w:val="00E7768D"/>
    <w:rsid w:val="00E829B3"/>
    <w:rsid w:val="00E91F2B"/>
    <w:rsid w:val="00EB2CAD"/>
    <w:rsid w:val="00EB4B9B"/>
    <w:rsid w:val="00EC1321"/>
    <w:rsid w:val="00EC7AD8"/>
    <w:rsid w:val="00ED1342"/>
    <w:rsid w:val="00ED6DFF"/>
    <w:rsid w:val="00F165E5"/>
    <w:rsid w:val="00F256B0"/>
    <w:rsid w:val="00F6228C"/>
    <w:rsid w:val="00F67FE4"/>
    <w:rsid w:val="00F77CBB"/>
    <w:rsid w:val="00F84E5B"/>
    <w:rsid w:val="00F94E43"/>
    <w:rsid w:val="00FA1BED"/>
    <w:rsid w:val="00FB24E6"/>
    <w:rsid w:val="00FD237D"/>
    <w:rsid w:val="00FD6F90"/>
    <w:rsid w:val="00FD7619"/>
    <w:rsid w:val="00FE6CF1"/>
    <w:rsid w:val="00FF326C"/>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styleId="Refdecomentario">
    <w:name w:val="annotation reference"/>
    <w:basedOn w:val="Fuentedeprrafopredeter"/>
    <w:uiPriority w:val="99"/>
    <w:semiHidden/>
    <w:unhideWhenUsed/>
    <w:rsid w:val="00500C23"/>
    <w:rPr>
      <w:sz w:val="16"/>
      <w:szCs w:val="16"/>
    </w:rPr>
  </w:style>
  <w:style w:type="paragraph" w:styleId="Textocomentario">
    <w:name w:val="annotation text"/>
    <w:basedOn w:val="Normal"/>
    <w:link w:val="TextocomentarioCar"/>
    <w:uiPriority w:val="99"/>
    <w:semiHidden/>
    <w:unhideWhenUsed/>
    <w:rsid w:val="00500C23"/>
    <w:rPr>
      <w:sz w:val="20"/>
      <w:szCs w:val="20"/>
    </w:rPr>
  </w:style>
  <w:style w:type="character" w:customStyle="1" w:styleId="TextocomentarioCar">
    <w:name w:val="Texto comentario Car"/>
    <w:basedOn w:val="Fuentedeprrafopredeter"/>
    <w:link w:val="Textocomentario"/>
    <w:uiPriority w:val="99"/>
    <w:semiHidden/>
    <w:rsid w:val="00500C2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00C23"/>
    <w:rPr>
      <w:b/>
      <w:bCs/>
    </w:rPr>
  </w:style>
  <w:style w:type="character" w:customStyle="1" w:styleId="AsuntodelcomentarioCar">
    <w:name w:val="Asunto del comentario Car"/>
    <w:basedOn w:val="TextocomentarioCar"/>
    <w:link w:val="Asuntodelcomentario"/>
    <w:uiPriority w:val="99"/>
    <w:semiHidden/>
    <w:rsid w:val="00500C23"/>
    <w:rPr>
      <w:rFonts w:ascii="Times New Roman" w:eastAsia="Times New Roman" w:hAnsi="Times New Roman" w:cs="Times New Roman"/>
      <w:b/>
      <w:bCs/>
      <w:sz w:val="20"/>
      <w:szCs w:val="20"/>
      <w:lang w:eastAsia="es-ES"/>
    </w:rPr>
  </w:style>
  <w:style w:type="paragraph" w:styleId="Revisin">
    <w:name w:val="Revision"/>
    <w:hidden/>
    <w:uiPriority w:val="99"/>
    <w:semiHidden/>
    <w:rsid w:val="00500C23"/>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72285279">
      <w:bodyDiv w:val="1"/>
      <w:marLeft w:val="0"/>
      <w:marRight w:val="0"/>
      <w:marTop w:val="0"/>
      <w:marBottom w:val="0"/>
      <w:divBdr>
        <w:top w:val="none" w:sz="0" w:space="0" w:color="auto"/>
        <w:left w:val="none" w:sz="0" w:space="0" w:color="auto"/>
        <w:bottom w:val="none" w:sz="0" w:space="0" w:color="auto"/>
        <w:right w:val="none" w:sz="0" w:space="0" w:color="auto"/>
      </w:divBdr>
    </w:div>
    <w:div w:id="183213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61154-554C-4738-B15D-C8908F5E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1396</Words>
  <Characters>7682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Juan Pablo Medina Campiño</cp:lastModifiedBy>
  <cp:revision>2</cp:revision>
  <cp:lastPrinted>2023-03-16T13:56:00Z</cp:lastPrinted>
  <dcterms:created xsi:type="dcterms:W3CDTF">2025-01-24T13:29:00Z</dcterms:created>
  <dcterms:modified xsi:type="dcterms:W3CDTF">2025-01-24T13:29:00Z</dcterms:modified>
</cp:coreProperties>
</file>