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EDB6" w14:textId="77777777" w:rsidR="00055112" w:rsidRDefault="00055112" w:rsidP="002D072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1A555AFD" w14:textId="19D38299" w:rsidR="00055112" w:rsidRDefault="00055112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 w:rsidRPr="0021541C">
        <w:rPr>
          <w:noProof/>
        </w:rPr>
        <w:drawing>
          <wp:inline distT="0" distB="0" distL="0" distR="0" wp14:anchorId="6245E7B8" wp14:editId="2ED76A44">
            <wp:extent cx="2124075" cy="1847850"/>
            <wp:effectExtent l="0" t="0" r="9525" b="0"/>
            <wp:docPr id="1301900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516B" w14:textId="037765F5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REPÚBLICA DE COLOMBIA</w:t>
      </w:r>
    </w:p>
    <w:p w14:paraId="11953BEF" w14:textId="77777777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 D.C.</w:t>
      </w:r>
    </w:p>
    <w:p w14:paraId="2528ECEF" w14:textId="77777777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SALA DECISION LABORAL</w:t>
      </w:r>
    </w:p>
    <w:p w14:paraId="75DADF0B" w14:textId="77777777" w:rsidR="00D42052" w:rsidRDefault="00D42052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2E164DA3" w14:textId="12879138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Ordinario Laboral 1100131050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38 2022 00305 01</w:t>
      </w:r>
    </w:p>
    <w:p w14:paraId="436C2D29" w14:textId="77777777" w:rsidR="00055112" w:rsidRDefault="00055112" w:rsidP="002D0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5C4A2F58" w14:textId="77777777" w:rsidR="00055112" w:rsidRDefault="00055112" w:rsidP="002D0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28AD44A0" w14:textId="473FF065" w:rsidR="002D072E" w:rsidRDefault="002D072E" w:rsidP="002D0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Demandante: 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ELIDA YAZMIN ABRIL GARCIA</w:t>
      </w:r>
    </w:p>
    <w:p w14:paraId="1A2E82DF" w14:textId="7AF635BE" w:rsidR="002D072E" w:rsidRDefault="002D072E" w:rsidP="002D0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Demandado: 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COLPENSIONES Y OTROS</w:t>
      </w:r>
    </w:p>
    <w:p w14:paraId="055F6933" w14:textId="5278BF2C" w:rsidR="002D072E" w:rsidRDefault="002D072E" w:rsidP="002D072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Magistrado Ponente: </w:t>
      </w:r>
      <w:r w:rsidR="00055112"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DIEGO FERNANDO GUERRERO OSEJO</w:t>
      </w:r>
    </w:p>
    <w:p w14:paraId="398BC311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3853883E" w14:textId="7D4ACC47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Bogotá D.C, trece (13) de junio del dos mil veinticuatro (2024).</w:t>
      </w:r>
    </w:p>
    <w:p w14:paraId="239AF115" w14:textId="77777777" w:rsidR="00055112" w:rsidRDefault="00055112" w:rsidP="002D072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779E8DA2" w14:textId="280D5C4E" w:rsidR="002D072E" w:rsidRDefault="002D072E" w:rsidP="0005511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AUTO:</w:t>
      </w:r>
    </w:p>
    <w:p w14:paraId="741DEEA3" w14:textId="77777777" w:rsidR="00055112" w:rsidRDefault="00055112" w:rsidP="002D0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4EA9D4BC" w14:textId="1B6EAF3F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De conformidad con lo previsto en el artículo 13 de la Ley 2213 del 13 de junio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de 2022, se admiten los recursos de apelación interpuestos por las partes, en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contra de la sentencia de primera instancia por cumplir con los requisitos legales.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</w:p>
    <w:p w14:paraId="0EA9502D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17C485A2" w14:textId="70F5F7EA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Igualmente, según lo previsto en el artículo 69 del C.P.T y S.S., modificado por el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artículo 14 de la Ley 1149 de 2007, se admite el presente proceso en el Grado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Jurisdiccional de Consulta a favor de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COLPENSIONES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, ello por cuanto la Nación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funge como garante de las obligaciones de la entidad demandada de conformidad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con los artículos13 y 137de la Ley 100 de 1993.</w:t>
      </w:r>
    </w:p>
    <w:p w14:paraId="2F460878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79601B4A" w14:textId="5A00CEC5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Córrase traslado conforme lo dispuesto por el numeral 1º del artículo 13 de la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Ley 2213 del 13 de junio de 2022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“Por medio de la cual se establece la vigencia</w:t>
      </w:r>
      <w:r w:rsidR="00055112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permanente del Decreto Legislativo 806 de 2020 y se adoptan medidas para</w:t>
      </w:r>
      <w:r w:rsidR="00055112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implementar las tecnologías de la información y las comunicaciones en las</w:t>
      </w:r>
      <w:r w:rsidR="00055112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actuaciones judiciales agilizar los procesos judiciales y flexibilizar la atención a los</w:t>
      </w:r>
      <w:r w:rsidR="00055112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usuarios del servicio de justicia y se dictan otras disposiciones”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, y al conocerse el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presente trámite procesal en sede de consulta, se concede el término común de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cinco (5) días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a las partes para que presenten sus alegatos. Vencidos estos, se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proferirá la sentencia que en derecho corresponda.</w:t>
      </w:r>
    </w:p>
    <w:p w14:paraId="3CF8B2EA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684BD204" w14:textId="5E363A93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lastRenderedPageBreak/>
        <w:t>Las partes deberán remitir los alegatos de conclusión dentro del precitado</w:t>
      </w:r>
      <w:r w:rsidR="00055112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término al correo electrónico </w:t>
      </w:r>
      <w:r>
        <w:rPr>
          <w:rFonts w:ascii="Cambria" w:hAnsi="Cambria" w:cs="Cambria"/>
          <w:color w:val="0460C2"/>
          <w:kern w:val="0"/>
          <w:sz w:val="24"/>
          <w:szCs w:val="24"/>
          <w:lang w:val="es-CO"/>
        </w:rPr>
        <w:t>secsltribsupbta@cendoj.ramajudicial.gov.co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.</w:t>
      </w:r>
    </w:p>
    <w:p w14:paraId="6F2AF98D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3FC4E275" w14:textId="61720B5E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NOTIFÍQUESE Y CÚMPLASE.</w:t>
      </w:r>
    </w:p>
    <w:p w14:paraId="4D864D2D" w14:textId="77777777" w:rsidR="00055112" w:rsidRDefault="00055112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7F3077C5" w14:textId="5EB47F58" w:rsidR="002D072E" w:rsidRDefault="002D072E" w:rsidP="00055112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DIEGO FERNANDO GUERRERO OSEJO</w:t>
      </w:r>
    </w:p>
    <w:p w14:paraId="36DFE757" w14:textId="016FB589" w:rsidR="00B9243D" w:rsidRDefault="002D072E" w:rsidP="00055112">
      <w:pPr>
        <w:jc w:val="both"/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2E"/>
    <w:rsid w:val="00055112"/>
    <w:rsid w:val="00132079"/>
    <w:rsid w:val="002D072E"/>
    <w:rsid w:val="00737460"/>
    <w:rsid w:val="00B05BBD"/>
    <w:rsid w:val="00B9243D"/>
    <w:rsid w:val="00D4205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B29"/>
  <w15:chartTrackingRefBased/>
  <w15:docId w15:val="{BD316190-264F-4BE8-A7DE-8B3D645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2024-06-14T19:58:00Z</dcterms:created>
  <dcterms:modified xsi:type="dcterms:W3CDTF">2024-06-14T20:05:00Z</dcterms:modified>
</cp:coreProperties>
</file>