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323A0E"/>
    <w:p w:rsidR="0019683C" w:rsidRDefault="00242FEE" w:rsidP="00E72BA4">
      <w:pPr>
        <w:jc w:val="center"/>
      </w:pPr>
      <w:r>
        <w:t>EXP. No. 23 2023 00057 01 ELIZABETH TUBERQUIA VANEGAS CONTRA LA ADMINISTRADORA COLOMBIANA DE PENSIONES -COLPENSIONES-, PORVENIR S.A. y COLFONDOS S.A.</w:t>
      </w:r>
    </w:p>
    <w:p w:rsidR="0019683C" w:rsidRDefault="0019683C" w:rsidP="00E72BA4">
      <w:pPr>
        <w:jc w:val="center"/>
      </w:pPr>
    </w:p>
    <w:p w:rsidR="0019683C" w:rsidRDefault="00242FEE" w:rsidP="00E72BA4">
      <w:pPr>
        <w:jc w:val="center"/>
      </w:pPr>
      <w:r>
        <w:t>TRIBUNAL SUPERIOR DEL DISTRITO JUDICIAL DE BOGOTA D.C.</w:t>
      </w:r>
    </w:p>
    <w:p w:rsidR="0019683C" w:rsidRDefault="00242FEE" w:rsidP="00E72BA4">
      <w:pPr>
        <w:jc w:val="center"/>
      </w:pPr>
      <w:r>
        <w:t>SALA LABORAL</w:t>
      </w:r>
    </w:p>
    <w:p w:rsidR="0019683C" w:rsidRDefault="00242FEE" w:rsidP="00E72BA4">
      <w:pPr>
        <w:jc w:val="center"/>
      </w:pPr>
      <w:r>
        <w:t>MAGISTRADO PONENTE: DIEGO ROBERTO MONTOYA MILLAN</w:t>
      </w:r>
    </w:p>
    <w:p w:rsidR="00E72BA4" w:rsidRDefault="00E72BA4"/>
    <w:p w:rsidR="0019683C" w:rsidRDefault="00242FEE">
      <w:r>
        <w:t xml:space="preserve">PROCESO ORDINARIO LABORAL PROMOVIDO POR ELIZABETH TUBERQUIA VANEGAS CONTRA LA ADMINISTRADORA COLOMBIANA DE PENSIONES -COLPENSIONES-, PORVENIR S.A. y COLFONDOS S.A. (23 2023 00057 01) </w:t>
      </w:r>
    </w:p>
    <w:p w:rsidR="00323A0E" w:rsidRDefault="00323A0E" w:rsidP="00E72BA4">
      <w:pPr>
        <w:jc w:val="center"/>
      </w:pPr>
    </w:p>
    <w:p w:rsidR="0019683C" w:rsidRDefault="00242FEE" w:rsidP="00E72BA4">
      <w:pPr>
        <w:jc w:val="center"/>
      </w:pPr>
      <w:bookmarkStart w:id="0" w:name="_GoBack"/>
      <w:bookmarkEnd w:id="0"/>
      <w:r>
        <w:t>Bogotá D.C., treinta (30) de noviembre de dos mil veintitrés (2023)</w:t>
      </w:r>
    </w:p>
    <w:p w:rsidR="0019683C" w:rsidRDefault="00242FEE" w:rsidP="00E72BA4">
      <w:pPr>
        <w:jc w:val="center"/>
      </w:pPr>
      <w:r>
        <w:t>AUTO</w:t>
      </w:r>
    </w:p>
    <w:p w:rsidR="0019683C" w:rsidRDefault="0019683C"/>
    <w:p w:rsidR="00E72BA4" w:rsidRDefault="00242FEE" w:rsidP="00E72BA4">
      <w:pPr>
        <w:jc w:val="both"/>
      </w:pPr>
      <w:r>
        <w:t xml:space="preserve">Se reconoce personería adjetiva a la abogada SILVIA PATRICIA MÉNDEZ ALVEAR como apoderada sustituta de la ADMINISTRADORA COLOMBIANA DE PENSIONES – COLPENSIONES, en los términos y para los efectos del poder conferido en sustitución por MARIA CAMILA RIOS OLIVEROS, en su calidad de representante legal de la sociedad TABOR ASESORES LEGALES S.A.S. </w:t>
      </w:r>
    </w:p>
    <w:p w:rsidR="00E72BA4" w:rsidRDefault="00E72BA4" w:rsidP="00E72BA4">
      <w:pPr>
        <w:jc w:val="both"/>
      </w:pPr>
    </w:p>
    <w:p w:rsidR="00E72BA4" w:rsidRDefault="00242FEE" w:rsidP="00E72BA4">
      <w:pPr>
        <w:jc w:val="both"/>
      </w:pPr>
      <w:r>
        <w:t xml:space="preserve">DIEGO ROBERTO MONTOYA MILLÁN </w:t>
      </w:r>
    </w:p>
    <w:p w:rsidR="00E72BA4" w:rsidRDefault="00E72BA4" w:rsidP="00E72BA4">
      <w:pPr>
        <w:jc w:val="both"/>
      </w:pPr>
    </w:p>
    <w:p w:rsidR="006B3BA0" w:rsidRDefault="00242FEE" w:rsidP="00E72BA4">
      <w:pPr>
        <w:jc w:val="both"/>
      </w:pPr>
      <w:r>
        <w:t xml:space="preserve">Vencido el término de traslado otorgado para presentar los alegatos de conclusión, el Magistrado Ponente en asocio de los demás Magistrados con quienes integra la Sala de Decisión, con fundamento en el artículo 13 numeral segundo de la Ley 2213 del 13 de junio del 2022, profieren la siguiente: </w:t>
      </w:r>
    </w:p>
    <w:p w:rsidR="006B3BA0" w:rsidRDefault="006B3BA0" w:rsidP="00E72BA4">
      <w:pPr>
        <w:jc w:val="both"/>
      </w:pPr>
    </w:p>
    <w:p w:rsidR="006B3BA0" w:rsidRDefault="00242FEE" w:rsidP="006B3BA0">
      <w:pPr>
        <w:jc w:val="center"/>
      </w:pPr>
      <w:r>
        <w:t>P R O V I D E N C I A</w:t>
      </w:r>
    </w:p>
    <w:p w:rsidR="006B3BA0" w:rsidRDefault="006B3BA0" w:rsidP="00E72BA4">
      <w:pPr>
        <w:jc w:val="both"/>
      </w:pPr>
    </w:p>
    <w:p w:rsidR="00C76E82" w:rsidRDefault="00242FEE" w:rsidP="00E72BA4">
      <w:pPr>
        <w:jc w:val="both"/>
      </w:pPr>
      <w:r>
        <w:t xml:space="preserve">Decide la Sala el recurso de apelación interpuesto por la apoderada de COLFONDOS S.A. PENSIONES Y CESANTÍAS contra el proveído calendado 4 de agosto del 2023 (Archivo 12 expediente digital), mediante el cual se rechazó el llamamiento en garantía respecto de ALLIANZ SEGUROS DE VIDA S.A., en razón a que el juez de primera instancia consideró no satisfechos los presupuestos previstos en </w:t>
      </w:r>
      <w:r>
        <w:lastRenderedPageBreak/>
        <w:t xml:space="preserve">el artículo 64 del C.G.P. dado que no se acredita que exista un derecho legal o contractual para exigir de la mencionada aseguradora el reembolso del eventual pago que tenga que hacer como resultado de la sentencia que se profiera, sumado a que la pólizas de seguros aportadas con el escrito de llamamiento fueron celebradas con una aseguradora distinta, a la que se pretende llamar en garantía. </w:t>
      </w:r>
    </w:p>
    <w:p w:rsidR="00C76E82" w:rsidRDefault="00C76E82" w:rsidP="00E72BA4">
      <w:pPr>
        <w:jc w:val="both"/>
      </w:pPr>
    </w:p>
    <w:p w:rsidR="00C76E82" w:rsidRDefault="00242FEE" w:rsidP="00E72BA4">
      <w:pPr>
        <w:jc w:val="both"/>
      </w:pPr>
      <w:r>
        <w:t xml:space="preserve">Como se indicó, la decisión anterior fue objeto de apelación por parte de COLFONDOS S.A., como se advierte en el escrito que milita en el Archivo 13 del expediente digital, con el cual pretende se revoque la decisión impugnada y, en su lugar, se admita el llamamiento en garantía propuesto, argumentando para el efecto que, en el evento de conceder la ineficacia y se condene a devolver la prima pagada como contraprestación legal por ese seguro, la entidad llamada a realizar esa devolución sería la aseguradora llamada en garantía, quien recibió la prima pagada por COLFONDOS S.A., siendo esto, a su juicio, lo que justifica su llamamiento en garantía al tenor de lo previsto en el artículo 64 del C.G.P. </w:t>
      </w:r>
    </w:p>
    <w:p w:rsidR="00C76E82" w:rsidRDefault="00C76E82" w:rsidP="00E72BA4">
      <w:pPr>
        <w:jc w:val="both"/>
      </w:pPr>
    </w:p>
    <w:p w:rsidR="00C76E82" w:rsidRDefault="00242FEE" w:rsidP="00E72BA4">
      <w:pPr>
        <w:jc w:val="both"/>
      </w:pPr>
      <w:r>
        <w:t xml:space="preserve">Bajo esa orientación entonces, supone, dada la existencia de un vínculo contractual, en caso de condena, es esa sociedad– ALLIANZ SEGUROS DE VIDA S.A.- quien debería reembolsar los valores pagados por concepto de seguro previsional obligatorio. </w:t>
      </w:r>
    </w:p>
    <w:p w:rsidR="00C76E82" w:rsidRDefault="00C76E82" w:rsidP="00E72BA4">
      <w:pPr>
        <w:jc w:val="both"/>
      </w:pPr>
    </w:p>
    <w:p w:rsidR="006B3BA0" w:rsidRDefault="00242FEE" w:rsidP="00E72BA4">
      <w:pPr>
        <w:jc w:val="both"/>
      </w:pPr>
      <w:r>
        <w:t xml:space="preserve">Para resolver se hacen las siguientes, </w:t>
      </w:r>
    </w:p>
    <w:p w:rsidR="006B3BA0" w:rsidRDefault="006B3BA0" w:rsidP="00E72BA4">
      <w:pPr>
        <w:jc w:val="both"/>
      </w:pPr>
    </w:p>
    <w:p w:rsidR="006B3BA0" w:rsidRDefault="00242FEE" w:rsidP="00C76E82">
      <w:pPr>
        <w:jc w:val="center"/>
      </w:pPr>
      <w:r>
        <w:t>C O N S I D E R A C I O N E S</w:t>
      </w:r>
    </w:p>
    <w:p w:rsidR="006B3BA0" w:rsidRDefault="006B3BA0" w:rsidP="00E72BA4">
      <w:pPr>
        <w:jc w:val="both"/>
      </w:pPr>
    </w:p>
    <w:p w:rsidR="00C76E82" w:rsidRDefault="00242FEE" w:rsidP="00E72BA4">
      <w:pPr>
        <w:jc w:val="both"/>
      </w:pPr>
      <w:r>
        <w:t xml:space="preserve">Asume la Sala el conocimiento de este ordinario, en orden a desatar el recurso de apelación propuesto por COLFONDOS S.A., contra el auto que negó la intervención como llamada en garantía de ALLIANZ SEGUROS DE VIDA S.A., debiendo señalar, en primer lugar, tal proveído, se encuentra enlistado como susceptible del recurso de apelación, al tenor de lo dispuesto en el numeral 2o del artículo 29 de la Ley 712 de 2001, que reformó el artículo 65 del Código Procesal del Trabajo, lo cual permite el estudio del recurso de marras. </w:t>
      </w:r>
    </w:p>
    <w:p w:rsidR="00C76E82" w:rsidRDefault="00C76E82" w:rsidP="00E72BA4">
      <w:pPr>
        <w:jc w:val="both"/>
      </w:pPr>
    </w:p>
    <w:p w:rsidR="00C76E82" w:rsidRDefault="00242FEE" w:rsidP="00E72BA4">
      <w:pPr>
        <w:jc w:val="both"/>
      </w:pPr>
      <w:r>
        <w:t xml:space="preserve">Al punto, memórese, con el llamamiento en garantía, y según lo estatuido en el artículo 64 del </w:t>
      </w:r>
      <w:proofErr w:type="gramStart"/>
      <w:r>
        <w:t>C.G.P.1 ,</w:t>
      </w:r>
      <w:proofErr w:type="gramEnd"/>
      <w:r>
        <w:t xml:space="preserve"> se habilita al llamante a convocar a un tercero que le 1 “Artículo 64. Llamamiento en garantía. Quien afirme tener derecho legal o contractual a exigir de otro la indemnización del perjuicio que llegare a sufrir o el reembolso total o parcial del pago que tuviere que hacer proteja y pague por él o le reembolse lo que erogó por razón de la condena, figura que a su vez posibilita que un demandado llame en garantía a otro demandado (demanda de coparte). </w:t>
      </w:r>
    </w:p>
    <w:p w:rsidR="00C76E82" w:rsidRDefault="00C76E82" w:rsidP="00E72BA4">
      <w:pPr>
        <w:jc w:val="both"/>
      </w:pPr>
    </w:p>
    <w:p w:rsidR="00C76E82" w:rsidRDefault="00242FEE" w:rsidP="00E72BA4">
      <w:pPr>
        <w:jc w:val="both"/>
      </w:pPr>
      <w:r>
        <w:lastRenderedPageBreak/>
        <w:t xml:space="preserve">Así, dicha figura procesal se origina cuando la parte de un proceso hace intervenir en el mismo a un tercero que debe proteger o garantizar al llamante, cubriendo los riesgos que se derivan de las peticiones de otro sujeto distinto, siempre y cuando haya un riesgo en el que llama y que por ley o por contrato deba ser protegido o garantizado por el que se llama. Sobre el tema el maestro DEVIS ECHANDÍA explicaba que </w:t>
      </w:r>
    </w:p>
    <w:p w:rsidR="00C76E82" w:rsidRDefault="00C76E82" w:rsidP="00E72BA4">
      <w:pPr>
        <w:jc w:val="both"/>
      </w:pPr>
    </w:p>
    <w:p w:rsidR="00C76E82" w:rsidRDefault="00242FEE" w:rsidP="00E72BA4">
      <w:pPr>
        <w:jc w:val="both"/>
      </w:pPr>
      <w:r>
        <w:t xml:space="preserve">“(…) con alguna frecuencia ocurre que una de las partes -demandante o </w:t>
      </w:r>
      <w:proofErr w:type="spellStart"/>
      <w:r>
        <w:t>demandadatiene</w:t>
      </w:r>
      <w:proofErr w:type="spellEnd"/>
      <w:r>
        <w:t xml:space="preserve"> el derecho contractual o legal de exigir a un tercero la indemnización del perjuicio o la restitución del pago que llegue a soportar como resultado, por existir entre él y ese tercero una relación de garantía, es decir, aquella en virtud de la cual ese tercero (garante) está obligado a garantizar un derecho del demandante y, en consecuencia, a reponer a la parte principal (garantizada) lo que haya dado o perdido en virtud de la acción de otra persona. En otras ocasiones, el derecho a citar al tercero proviene de una relación jurídica distinta, existente entre los dos, respecto a la cosa materia del litigio, como cuando el tenedor demandado en reivindicación denuncia al verdadero poseedor en cuyo nombre tiene el inmueble. Esa citación puede prevenir (sic) también de la pretensión excluyente de </w:t>
      </w:r>
      <w:r w:rsidR="00C76E82">
        <w:t>un tercero sobre la misma cosa”</w:t>
      </w:r>
      <w:r>
        <w:t xml:space="preserve"> </w:t>
      </w:r>
      <w:r w:rsidR="00C76E82">
        <w:t>2</w:t>
      </w:r>
      <w:r>
        <w:t xml:space="preserve">). </w:t>
      </w:r>
    </w:p>
    <w:p w:rsidR="00C76E82" w:rsidRDefault="00C76E82" w:rsidP="00E72BA4">
      <w:pPr>
        <w:jc w:val="both"/>
      </w:pPr>
    </w:p>
    <w:p w:rsidR="00C76E82" w:rsidRDefault="00242FEE" w:rsidP="00E72BA4">
      <w:pPr>
        <w:jc w:val="both"/>
      </w:pPr>
      <w:r>
        <w:t xml:space="preserve">Además la Corte Suprema de Justicia, en su Sala de Casación Civil, advirtió que para que proceda el llamamiento en garantía se requiere que exista –la garantía-, es decir, que este último, por ley o por contrato, esté obligado a indemnizar al llamante por la condena al pago de los perjuicios que llegare a sufrir, o que esté obligado, en la misma forma, al "reembolso total o parcial del pago que tuviere que hacer como resultado de la sentencia" </w:t>
      </w:r>
      <w:proofErr w:type="gramStart"/>
      <w:r>
        <w:t>3 .</w:t>
      </w:r>
      <w:proofErr w:type="gramEnd"/>
      <w:r>
        <w:t xml:space="preserve"> Sobre el particular ha sostenido esa Corporación: </w:t>
      </w:r>
    </w:p>
    <w:p w:rsidR="00042B52" w:rsidRDefault="00242FEE" w:rsidP="00E72BA4">
      <w:pPr>
        <w:jc w:val="both"/>
      </w:pPr>
      <w:proofErr w:type="gramStart"/>
      <w:r>
        <w:t>como</w:t>
      </w:r>
      <w:proofErr w:type="gramEnd"/>
      <w:r>
        <w:t xml:space="preserve">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 </w:t>
      </w:r>
    </w:p>
    <w:p w:rsidR="00042B52" w:rsidRDefault="00242FEE" w:rsidP="00E72BA4">
      <w:pPr>
        <w:jc w:val="both"/>
      </w:pPr>
      <w:r>
        <w:t xml:space="preserve">2” </w:t>
      </w:r>
      <w:proofErr w:type="spellStart"/>
      <w:r>
        <w:t>Devis</w:t>
      </w:r>
      <w:proofErr w:type="spellEnd"/>
      <w:r>
        <w:t xml:space="preserve"> </w:t>
      </w:r>
      <w:proofErr w:type="spellStart"/>
      <w:r>
        <w:t>Echandía</w:t>
      </w:r>
      <w:proofErr w:type="spellEnd"/>
      <w:r>
        <w:t xml:space="preserve">, Hernando, nociones generales de derecho procesal civil, segunda edición, Temis, Bogotá 2009, página 519. </w:t>
      </w:r>
    </w:p>
    <w:p w:rsidR="00042B52" w:rsidRDefault="00042B52" w:rsidP="00E72BA4">
      <w:pPr>
        <w:jc w:val="both"/>
      </w:pPr>
    </w:p>
    <w:p w:rsidR="00042B52" w:rsidRDefault="00242FEE" w:rsidP="00E72BA4">
      <w:pPr>
        <w:jc w:val="both"/>
      </w:pPr>
      <w:r>
        <w:t xml:space="preserve">3 “(…) como el vocablo mismo así lo indica, para que proceda el llamamiento en garantía </w:t>
      </w:r>
      <w:proofErr w:type="spellStart"/>
      <w:r>
        <w:t>requiérese</w:t>
      </w:r>
      <w:proofErr w:type="spellEnd"/>
      <w:r>
        <w:t xml:space="preserve"> que la halla; es decir, que exista un afianzamiento que asegure y proteja al llamante contra algún riesgo, según la definición que de garantía da la Real Academia Española. O, en otras palabras, que el llamado en garantía, por ley o por contrato, esté obligado a indemnizar al llamante por la condena al pago de los perjuicios que llegare a sufrir, o que esté obligado, en la misma forma, al "reembolso total o parcial del pago que tuviere que hacer como resultado de la sentencia", según los términos del artículo 57 del C. de P. Civil”. </w:t>
      </w:r>
    </w:p>
    <w:p w:rsidR="00042B52" w:rsidRDefault="00242FEE" w:rsidP="00E72BA4">
      <w:pPr>
        <w:jc w:val="both"/>
      </w:pPr>
      <w:r>
        <w:t xml:space="preserve">Agregó además que “el llamamiento en garantía se produce, al decir de </w:t>
      </w:r>
      <w:proofErr w:type="spellStart"/>
      <w:r>
        <w:t>Guasp</w:t>
      </w:r>
      <w:proofErr w:type="spellEnd"/>
      <w:r>
        <w:t xml:space="preserve">, «cuando la parte de un proceso hace intervenir en el mismo a un tercero, que debe proteger o garantizar al llamante, cubriendo los riesgos que se derivan del ataque de otro sujeto distinto, lo cual debe hacer el tercero, </w:t>
      </w:r>
      <w:r>
        <w:lastRenderedPageBreak/>
        <w:t xml:space="preserve">bien por ser transmitente: llamado formal, o participante: llamado simple, de los derechos discutidos». En uno y otro caso </w:t>
      </w:r>
      <w:proofErr w:type="spellStart"/>
      <w:r>
        <w:t>precísase</w:t>
      </w:r>
      <w:proofErr w:type="spellEnd"/>
      <w:r>
        <w:t xml:space="preserve">, como se dejó dicho antes, que haya un riesgo en el llamante, que por ley o por contrato deba. </w:t>
      </w:r>
    </w:p>
    <w:p w:rsidR="00042B52" w:rsidRDefault="00242FEE" w:rsidP="00E72BA4">
      <w:pPr>
        <w:jc w:val="both"/>
      </w:pPr>
      <w:r>
        <w:t xml:space="preserve">“El llamamiento en garantía es uno de los casos de comparecencia forzosa de terceros, que se presenta cuando entre la parte y el tercero, existe una relación legal o contractual de garantía que lo obliga a indemnizarle al </w:t>
      </w:r>
      <w:proofErr w:type="spellStart"/>
      <w:r>
        <w:t>citante</w:t>
      </w:r>
      <w:proofErr w:type="spellEnd"/>
      <w:r>
        <w:t xml:space="preserve"> el “perjuicio que llegare a sufrir o el reembolso total o parcial del pago que tuviere que hacer como resultado de la sentencia” que se dicte en el proceso que genera el llamamiento. </w:t>
      </w:r>
    </w:p>
    <w:p w:rsidR="00042B52" w:rsidRDefault="00242FEE" w:rsidP="00E72BA4">
      <w:pPr>
        <w:jc w:val="both"/>
      </w:pPr>
      <w:r>
        <w:t>La justificación procesal del llamamiento en garantía, previsto en el artículo 57 del Código de Procedimiento Civil -hoy artículo 64 del C.G.P.-, no es otra que la de la economía, pues lo que se procura es hacer valer en un mismo proceso, las relaciones legales o contractuales que obligan al tercero a indemnizar, sin perjuicio, claro está, de las garantías fundamentales del proceso, que en manera alguna se ven conculcadas. Por tal razón, la Corte ha sostenido que “El texto mismo del precepto transcrito indica que el llamamiento en garantía requiere como elemento esencial que por razón de la ley o del contrato, el llamado deba correr con las contingencias de la sentencia, como consecuencia de la cual el demandado se vea compelido a resarcir un perjuicio o a efectuar un pago” (</w:t>
      </w:r>
      <w:proofErr w:type="spellStart"/>
      <w:r>
        <w:t>Sent</w:t>
      </w:r>
      <w:proofErr w:type="spellEnd"/>
      <w:r>
        <w:t xml:space="preserve">. de 11 de mayo de 1976). </w:t>
      </w:r>
    </w:p>
    <w:p w:rsidR="00042B52" w:rsidRDefault="00042B52" w:rsidP="00E72BA4">
      <w:pPr>
        <w:jc w:val="both"/>
      </w:pPr>
      <w:r>
        <w:t>(</w:t>
      </w:r>
      <w:r w:rsidR="00242FEE">
        <w:t xml:space="preserve">…) </w:t>
      </w:r>
    </w:p>
    <w:p w:rsidR="00042B52" w:rsidRDefault="00242FEE" w:rsidP="00E72BA4">
      <w:pPr>
        <w:jc w:val="both"/>
      </w:pPr>
      <w:r>
        <w:t xml:space="preserve">Ahora, sea que el llamamiento en garantía lo proponga una u otra parte, lo significativo es que éste comporta el planteamiento de la llamada pretensión </w:t>
      </w:r>
      <w:proofErr w:type="spellStart"/>
      <w:r>
        <w:t>revérsica</w:t>
      </w:r>
      <w:proofErr w:type="spellEnd"/>
      <w:r>
        <w:t xml:space="preserve">, o la “proposición anticipada de la </w:t>
      </w:r>
      <w:proofErr w:type="gramStart"/>
      <w:r>
        <w:t>pretensión</w:t>
      </w:r>
      <w:proofErr w:type="gramEnd"/>
      <w:r>
        <w:t xml:space="preserve"> de regreso” …, o el denominado “derecho de regresión” o “de reversión”, como lo ha indicado la Corte, que tiene como causa la relación sustancial de garantía que obliga al tercero frente a la parte llamante, “a indemnizarle el perjuicio que llegare a sufrir, o el reembolso total o parcial del pago que tuviere que hacer como resultado de la sentencia” (artículo 57). De modo que, de acuerdo con la concepción que sobre el llamamiento en garantía establece el texto legal antes citado, la pretensión que contra el tercero se formula es una pretensión de condena eventual (in </w:t>
      </w:r>
      <w:proofErr w:type="spellStart"/>
      <w:r>
        <w:t>eventum</w:t>
      </w:r>
      <w:proofErr w:type="spellEnd"/>
      <w:r>
        <w:t xml:space="preserve">), es decir, que ella sólo cobra vigencia ante el hecho cierto del vencimiento de la parte original y que con ocasión de esa contingencia de la sentencia, “se vea compelido a resarcir un perjuicio o a efectuar un pago”, como lo ha dicho la Corte.”4 (Negrilla y Subrayas de la Sala) </w:t>
      </w:r>
    </w:p>
    <w:p w:rsidR="00042B52" w:rsidRDefault="00242FEE" w:rsidP="00E72BA4">
      <w:pPr>
        <w:jc w:val="both"/>
      </w:pPr>
      <w:r>
        <w:t xml:space="preserve">De igual forma, en sentencia del 16 dic. 2006, rad. 2000-00276-01, concluyó: </w:t>
      </w:r>
    </w:p>
    <w:p w:rsidR="00042B52" w:rsidRDefault="00242FEE" w:rsidP="00E72BA4">
      <w:pPr>
        <w:jc w:val="both"/>
      </w:pPr>
      <w:r>
        <w:t xml:space="preserve">“El llamamiento en garantía es un instrumento procesal por el cual se provoca la comparecencia forzosa de un tercero a un proceso en curso, intervención que tiene su germen en la citación que le formula una de las partes en dicha contienda, con fundamento en la relación de garantía de naturaleza personal entre ellos existente, que le confiere el derecho de exigirle que corra con las consecuencias perjudiciales que deba soportar en el evento de resultar vencida en el juicio, de ahí que lo llame a afrontar la pretensión de regreso que introduce para que sea considerada in </w:t>
      </w:r>
      <w:proofErr w:type="spellStart"/>
      <w:r>
        <w:t>eventum</w:t>
      </w:r>
      <w:proofErr w:type="spellEnd"/>
      <w:r>
        <w:t xml:space="preserve">, es decir, en el caso de perder el pleito. En otras palabras, lo trae al proceso para que se resuelva sobre la obligación legal o contractual que tiene de reembolsarle o indemnizarle las pérdidas económicas que experimente en el caso de un </w:t>
      </w:r>
      <w:proofErr w:type="spellStart"/>
      <w:r>
        <w:t>sentenciamiento</w:t>
      </w:r>
      <w:proofErr w:type="spellEnd"/>
      <w:r>
        <w:t xml:space="preserve"> adverso. </w:t>
      </w:r>
    </w:p>
    <w:p w:rsidR="00513C53" w:rsidRDefault="00242FEE" w:rsidP="00E72BA4">
      <w:pPr>
        <w:jc w:val="both"/>
      </w:pPr>
      <w:r>
        <w:t xml:space="preserve">Con el llamamiento en garantía, tiene dicho la Corte, se suscita un ‘evento de acoplamiento o reunión de una causa litigiosa principal con otra de garantía que le es colateral, dando lugar a una </w:t>
      </w:r>
      <w:r>
        <w:lastRenderedPageBreak/>
        <w:t xml:space="preserve">modalidad acumulativa cuyos alcances precisa el art. 57 del C. de P.C.’ (…), que conjuga dos relaciones materiales distintas. Por un lado, la que une al demandante con el demandado, y por el otro, la que liga al demandado con el llamado: ‘la del demandante contra el demandado, en procura de que este sea condenado de acuerdo con las pretensiones de la demanda contra él dirigida; y la del demandado contra el llamado en garantía a fin de que éste lo indemnice o le reembolse el monto de la condena que sufriere’ (…).” </w:t>
      </w:r>
    </w:p>
    <w:p w:rsidR="00EA17B8" w:rsidRDefault="00242FEE" w:rsidP="00E72BA4">
      <w:pPr>
        <w:jc w:val="both"/>
      </w:pPr>
      <w:r>
        <w:t xml:space="preserve">Adicionalmente, esa Corporación precisó que “La relación material del llamamiento involucra únicamente al llamante y a la llamada. No se expande a ningún otro sujeto procesal ni siquiera a la parte actora, al punto que solo será objeto de estudio en el evento de prosperidad de las súplicas, de modo que si éstas se desestimaren el análisis resulta inocuo o innecesario, por regla general”6 En el mismo sentido, la Sala Laboral del órgano de cierre de esta jurisdicción, en sentencia SL 5031 de 2019, explicó </w:t>
      </w:r>
    </w:p>
    <w:p w:rsidR="00EA17B8" w:rsidRDefault="00242FEE" w:rsidP="00E72BA4">
      <w:pPr>
        <w:jc w:val="both"/>
      </w:pPr>
      <w:r>
        <w:t xml:space="preserve">“Así, el aludido llamamiento se caracteriza porque una de las partes tiene el derecho contractual o legal de exigir a un tercero la indemnización del perjuicio o la restitución del pago que llegue a soportar en el juicio, por existir entre él y ese tercero una relación de garantía, es decir, aquella en virtud de la cual ese tercero (garante) está obligado a garantizar un derecho del demandante y, en consecuencia, a reponer a la parte principal (garantizada) lo que haya dado o perdido en virtud de la acción de otra persona. Pero esa no es la única posibilidad, porque suele suceder, que el derecho a citar al tercero proviene de una relación diferente entre los dos, como cuando se discute en materia laboral, si el empleador se subrogó en la ARL en las prestaciones de ese sistema. </w:t>
      </w:r>
    </w:p>
    <w:p w:rsidR="00EA17B8" w:rsidRDefault="00242FEE" w:rsidP="00E72BA4">
      <w:pPr>
        <w:jc w:val="both"/>
      </w:pPr>
      <w:r>
        <w:t xml:space="preserve">“Aquí, lo importante es que exista un afianzamiento que asegure y proteja al llamante contra algún riesgo, pues eso es la esencial del término “garantía”, esto es, protección o defensa contra el ataque de otro sujeto, que por Ley o por convención, el llamado debe salir a cubrir en nombre del llamante.” </w:t>
      </w:r>
    </w:p>
    <w:p w:rsidR="00B2776D" w:rsidRDefault="00242FEE" w:rsidP="00E72BA4">
      <w:pPr>
        <w:jc w:val="both"/>
      </w:pPr>
      <w:r>
        <w:t xml:space="preserve">Así las cosas, como se indicó desde el inicio de este proveído, la apoderada de COLFONDOS S.A., insiste en el llamamiento en garantía de ALLIANZ SEGUROS DE VIDA S.A., pues asegura que en virtud de los contratos de seguro previsional cuya vigencia estuvo comprendida entre enero de 1994 a diciembre del 2000 (páginas 28 a 33, archivo 9), es su obligación devolver los valores recibidos por concepto de prima, en caso de que la AFP resulte condenada a la restitución de retornar los conceptos de los seguros previsionales por los riesgos de invalidez y sobrevivencia como consecuencia de la ineficacia del traslado. </w:t>
      </w:r>
    </w:p>
    <w:p w:rsidR="00B2776D" w:rsidRDefault="00242FEE" w:rsidP="00E72BA4">
      <w:pPr>
        <w:jc w:val="both"/>
      </w:pPr>
      <w:r>
        <w:t xml:space="preserve">No obstante, en sentir de esta Corporación, en virtud de la referida póliza de seguros, la aseguradora cuya integración se pretende no está obligada a cubrir ninguna de las eventuales condenas, atendiendo que lo pretendido en autos no es 5 CSJ SC 16 dic. 2006, rad. 2000-00276-01 6 CSJ SC5885-2016, reiterada en auto AC2900-2017. otra cosa que la declaratoria de la ineficacia del traslado de régimen, por falta de cumplir con el deber de información, en la afiliación realizada por la demandante al régimen de ahorro individual con solidaridad con el consecuente retorno al régimen de prima media con prestación definida del capital acumulado en la cuenta de ahorro individual, junto con los rendimientos financieros, y los bonos pensionales que haya lugar, así como los gastos de administración, comisiones, porcentajes destinados a confirmar el fondo de garantía de pensión mínima y los valores utilizados en seguros previsionales con cargo a sus propias utilidades (Archivo 1 expediente digital, página 5 ). </w:t>
      </w:r>
    </w:p>
    <w:p w:rsidR="00B2776D" w:rsidRDefault="00242FEE" w:rsidP="00E72BA4">
      <w:pPr>
        <w:jc w:val="both"/>
      </w:pPr>
      <w:r>
        <w:lastRenderedPageBreak/>
        <w:t xml:space="preserve">El anterior razonamiento encuentra sustento en lo previsto en el artículo 1087 de la Ley 100 de 1993, que impone a las administradoras de fondos de pensiones el deber de contratar seguros colectivos previsionales que concurran a la financiación de las pensiones de invalidez y sobrevivientes que deban reconocerse a los afiliados del RAIS, lo cual implica que la garantía contratada solo se activa cuando ocurre el reconocimiento de dichas prestaciones –invalidez y sobrevivientes- y se requiere completar el capital respectivo para su pago al beneficiario, aspectos no comprendidos en la discusión de autos, lo que desde luego torna en improcedente el llamamiento e impide darle el trámite respectivo. </w:t>
      </w:r>
    </w:p>
    <w:p w:rsidR="00B2776D" w:rsidRDefault="00242FEE" w:rsidP="00E72BA4">
      <w:pPr>
        <w:jc w:val="both"/>
      </w:pPr>
      <w:r>
        <w:t xml:space="preserve">En ese orden, se itera, ninguna de las obligaciones que eventualmente deriven de una sentencia favorable a la actora incumbe a la entidad aseguradora según el objeto de la póliza que se contrató por parte de la AFP recurrente, y en ese orden, tal como lo concluyó la juez de primer grado, no se cumplen los requisitos exigidos por en el estatuto adjetivo civil para integrar a ALLIANZ SEGUROS DE VIDA </w:t>
      </w:r>
      <w:proofErr w:type="spellStart"/>
      <w:r>
        <w:t>S.A.</w:t>
      </w:r>
      <w:proofErr w:type="gramStart"/>
      <w:r>
        <w:t>,.</w:t>
      </w:r>
      <w:proofErr w:type="gramEnd"/>
      <w:r>
        <w:t>como</w:t>
      </w:r>
      <w:proofErr w:type="spellEnd"/>
      <w:r>
        <w:t xml:space="preserve"> llamada en garantía. </w:t>
      </w:r>
    </w:p>
    <w:p w:rsidR="00B2776D" w:rsidRDefault="00242FEE" w:rsidP="00E72BA4">
      <w:pPr>
        <w:jc w:val="both"/>
      </w:pPr>
      <w:r>
        <w:t xml:space="preserve">Agotada la competencia en esta instancia por el estudio de los motivos de apelación, conforme las motivaciones precedentes, se confirmará el auto apelado en lo pertinente. </w:t>
      </w:r>
    </w:p>
    <w:p w:rsidR="00B2776D" w:rsidRDefault="00B2776D" w:rsidP="00E72BA4">
      <w:pPr>
        <w:jc w:val="both"/>
      </w:pPr>
    </w:p>
    <w:p w:rsidR="00B2776D" w:rsidRDefault="00242FEE" w:rsidP="00E72BA4">
      <w:pPr>
        <w:jc w:val="both"/>
      </w:pPr>
      <w:r>
        <w:t xml:space="preserve">COSTAS en esta instancia a cargo de COLFONDOS S.A. En mérito de lo expuesto el TRIBUNAL SUPERIOR DE BOGOTA – SALA LABORAL, </w:t>
      </w:r>
    </w:p>
    <w:p w:rsidR="00B2776D" w:rsidRDefault="00B2776D" w:rsidP="00E72BA4">
      <w:pPr>
        <w:jc w:val="both"/>
      </w:pPr>
    </w:p>
    <w:p w:rsidR="00B2776D" w:rsidRDefault="00242FEE" w:rsidP="00B2776D">
      <w:pPr>
        <w:jc w:val="center"/>
      </w:pPr>
      <w:r>
        <w:t>R E S U E L V E</w:t>
      </w:r>
    </w:p>
    <w:p w:rsidR="00B2776D" w:rsidRDefault="00B2776D" w:rsidP="00E72BA4">
      <w:pPr>
        <w:jc w:val="both"/>
      </w:pPr>
    </w:p>
    <w:p w:rsidR="004F2078" w:rsidRDefault="00242FEE" w:rsidP="00E72BA4">
      <w:pPr>
        <w:jc w:val="both"/>
      </w:pPr>
      <w:r>
        <w:t xml:space="preserve">PRIMERO: CONFIRMAR el auto proferido por el Juez 23 Laboral del Circuito de Bogotá, de conformidad con lo expuesto en la parte motiva de este proveído. </w:t>
      </w:r>
    </w:p>
    <w:p w:rsidR="004F2078" w:rsidRDefault="00242FEE" w:rsidP="00E72BA4">
      <w:pPr>
        <w:jc w:val="both"/>
      </w:pPr>
      <w:r>
        <w:t xml:space="preserve">SEGUNDO: COSTAS en esta instancia a cargo de COLFONDOS S.A. </w:t>
      </w:r>
    </w:p>
    <w:p w:rsidR="004F2078" w:rsidRDefault="004F2078" w:rsidP="00E72BA4">
      <w:pPr>
        <w:jc w:val="both"/>
      </w:pPr>
    </w:p>
    <w:p w:rsidR="004F2078" w:rsidRDefault="004F2078" w:rsidP="00E72BA4">
      <w:pPr>
        <w:jc w:val="both"/>
      </w:pPr>
    </w:p>
    <w:p w:rsidR="004F2078" w:rsidRDefault="00242FEE" w:rsidP="00E72BA4">
      <w:pPr>
        <w:jc w:val="both"/>
      </w:pPr>
      <w:r>
        <w:t xml:space="preserve">NOTIFÍQUESE y CÚMPLASE, </w:t>
      </w:r>
    </w:p>
    <w:p w:rsidR="004F2078" w:rsidRDefault="004F2078" w:rsidP="00E72BA4">
      <w:pPr>
        <w:jc w:val="both"/>
      </w:pPr>
    </w:p>
    <w:p w:rsidR="004F2078" w:rsidRDefault="00242FEE" w:rsidP="00E72BA4">
      <w:pPr>
        <w:jc w:val="both"/>
      </w:pPr>
      <w:r>
        <w:t xml:space="preserve">DIEGO ROBERTO MONTOYA MILLAN </w:t>
      </w:r>
    </w:p>
    <w:p w:rsidR="004F2078" w:rsidRDefault="00242FEE" w:rsidP="00E72BA4">
      <w:pPr>
        <w:jc w:val="both"/>
      </w:pPr>
      <w:r>
        <w:t xml:space="preserve">CARLOS ALBERTO CORTES CORREDOR </w:t>
      </w:r>
    </w:p>
    <w:p w:rsidR="004F2078" w:rsidRDefault="00242FEE" w:rsidP="00E72BA4">
      <w:pPr>
        <w:jc w:val="both"/>
      </w:pPr>
      <w:r>
        <w:t xml:space="preserve">GUSTAVO ALIRIO TUPAZ PARRA </w:t>
      </w:r>
    </w:p>
    <w:p w:rsidR="004F2078" w:rsidRDefault="004F2078" w:rsidP="00E72BA4">
      <w:pPr>
        <w:jc w:val="both"/>
      </w:pPr>
    </w:p>
    <w:p w:rsidR="004F2078" w:rsidRDefault="00242FEE" w:rsidP="00E72BA4">
      <w:pPr>
        <w:jc w:val="both"/>
      </w:pPr>
      <w:r>
        <w:t xml:space="preserve">AGENCIAS EN DERECHO: Se fija como valor por concepto de agencias en derecho la suma de $600.000, la cual deberá ser incluida en la liquidación de costas, al tenor de lo consagrado en el artículo 366 del C.G.P. </w:t>
      </w:r>
    </w:p>
    <w:p w:rsidR="004F2078" w:rsidRDefault="004F2078" w:rsidP="00E72BA4">
      <w:pPr>
        <w:jc w:val="both"/>
      </w:pPr>
    </w:p>
    <w:p w:rsidR="00242FEE" w:rsidRDefault="00242FEE" w:rsidP="00E72BA4">
      <w:pPr>
        <w:jc w:val="both"/>
      </w:pPr>
      <w:r>
        <w:t>DIEGO ROBERTO MONTOYA MILLÁN</w:t>
      </w:r>
    </w:p>
    <w:sectPr w:rsidR="00242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EE"/>
    <w:rsid w:val="00042B52"/>
    <w:rsid w:val="0019683C"/>
    <w:rsid w:val="00242FEE"/>
    <w:rsid w:val="00323A0E"/>
    <w:rsid w:val="004C33DF"/>
    <w:rsid w:val="004F2078"/>
    <w:rsid w:val="00513C53"/>
    <w:rsid w:val="006B3BA0"/>
    <w:rsid w:val="00B2776D"/>
    <w:rsid w:val="00C76E82"/>
    <w:rsid w:val="00CF6F3D"/>
    <w:rsid w:val="00CF729A"/>
    <w:rsid w:val="00D441F8"/>
    <w:rsid w:val="00E72BA4"/>
    <w:rsid w:val="00EA17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2F036-DA71-4E7F-8EA2-027FB1AF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2582</Words>
  <Characters>14201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7</cp:revision>
  <dcterms:created xsi:type="dcterms:W3CDTF">2023-12-04T15:09:00Z</dcterms:created>
  <dcterms:modified xsi:type="dcterms:W3CDTF">2023-12-04T15:48:00Z</dcterms:modified>
</cp:coreProperties>
</file>