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502A" w14:textId="77777777" w:rsidR="00FB315A" w:rsidRDefault="00491F3D" w:rsidP="00FB315A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kern w:val="0"/>
          <w:sz w:val="12"/>
          <w:szCs w:val="12"/>
          <w:lang w:val="es-CO"/>
        </w:rPr>
      </w:pPr>
      <w:r w:rsidRPr="00182E07">
        <w:rPr>
          <w:noProof/>
        </w:rPr>
        <w:drawing>
          <wp:inline distT="0" distB="0" distL="0" distR="0" wp14:anchorId="08A50D4F" wp14:editId="49211DC9">
            <wp:extent cx="5612130" cy="1715770"/>
            <wp:effectExtent l="0" t="0" r="7620" b="0"/>
            <wp:docPr id="20702951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15A">
        <w:rPr>
          <w:rFonts w:ascii="Times-Bold" w:hAnsi="Times-Bold" w:cs="Times-Bold"/>
          <w:b/>
          <w:bCs/>
          <w:kern w:val="0"/>
          <w:sz w:val="12"/>
          <w:szCs w:val="12"/>
          <w:lang w:val="es-CO"/>
        </w:rPr>
        <w:t>Verbal de Responsabilidad Civil Extracontractual No. 2021-00476</w:t>
      </w:r>
    </w:p>
    <w:p w14:paraId="7BD2D0C1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7BE12D9A" w14:textId="25A31113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Bogotá D C., veintinueve (29) de enero de dos mil veinticuatro (2024)</w:t>
      </w:r>
    </w:p>
    <w:p w14:paraId="3B54C512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089F5EB1" w14:textId="619F678F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ANTECEDENTES:</w:t>
      </w:r>
    </w:p>
    <w:p w14:paraId="6526FCCC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65005596" w14:textId="3E192180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Ingresó el expediente al Despacho con Informe Secretarial de fecha 27 de noviembre de 2023,</w:t>
      </w:r>
    </w:p>
    <w:p w14:paraId="58E0388D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con solicitud de corrección del auto de fecha 07 de noviembre de 2023.-</w:t>
      </w:r>
    </w:p>
    <w:p w14:paraId="23F6D1A6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2CE669FE" w14:textId="23BCFB06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CONSIDERACIONES:</w:t>
      </w:r>
    </w:p>
    <w:p w14:paraId="7315C3A8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4EF938F5" w14:textId="02F73331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Establece el artículo 286 del CGP: </w:t>
      </w:r>
      <w:r>
        <w:rPr>
          <w:rFonts w:ascii="TimesNewRomanPS-ItalicMT" w:hAnsi="TimesNewRomanPS-ItalicMT" w:cs="TimesNewRomanPS-ItalicMT"/>
          <w:i/>
          <w:iCs/>
          <w:kern w:val="0"/>
          <w:sz w:val="23"/>
          <w:szCs w:val="23"/>
          <w:lang w:val="es-CO"/>
        </w:rPr>
        <w:t>“Toda providencia en que se haya incurrido en error</w:t>
      </w:r>
      <w:r>
        <w:rPr>
          <w:rFonts w:ascii="TimesNewRomanPS-ItalicMT" w:hAnsi="TimesNewRomanPS-ItalicMT" w:cs="TimesNewRomanPS-ItalicMT"/>
          <w:i/>
          <w:iCs/>
          <w:kern w:val="0"/>
          <w:sz w:val="23"/>
          <w:szCs w:val="23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  <w:t>puramente aritmético puede ser corregida por el juez que la dictó en cualquier tiempo, de oficio o a</w:t>
      </w:r>
      <w:r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  <w:t>solicitud de parte, mediante auto.</w:t>
      </w:r>
    </w:p>
    <w:p w14:paraId="4B806DD2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</w:pPr>
    </w:p>
    <w:p w14:paraId="4A0AFDAC" w14:textId="607389F5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</w:pPr>
      <w:r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  <w:t>Si la corrección se hiciere luego de terminado el proceso, el auto se notificará por aviso.</w:t>
      </w:r>
    </w:p>
    <w:p w14:paraId="7C9740C6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</w:pPr>
    </w:p>
    <w:p w14:paraId="37EBD413" w14:textId="252BC1EF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kern w:val="0"/>
          <w:sz w:val="23"/>
          <w:szCs w:val="23"/>
          <w:lang w:val="es-CO"/>
        </w:rPr>
      </w:pPr>
      <w:r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  <w:t>Lo dispuesto en los incisos anteriores se aplica a los casos de error por omisión o cambio de</w:t>
      </w:r>
      <w:r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3"/>
          <w:szCs w:val="23"/>
          <w:lang w:val="es-CO"/>
        </w:rPr>
        <w:t>palabras o a</w:t>
      </w:r>
      <w:r>
        <w:rPr>
          <w:rFonts w:ascii="TimesNewRomanPS-ItalicMT" w:hAnsi="TimesNewRomanPS-ItalicMT" w:cs="TimesNewRomanPS-ItalicMT"/>
          <w:i/>
          <w:iCs/>
          <w:kern w:val="0"/>
          <w:sz w:val="23"/>
          <w:szCs w:val="23"/>
          <w:lang w:val="es-CO"/>
        </w:rPr>
        <w:t>lteración de estas, siempre que estén contenidas en la parte resolutiva o influyan en ella.”</w:t>
      </w:r>
    </w:p>
    <w:p w14:paraId="0B35B073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04D6D03A" w14:textId="6894D10B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De conformidad con la norma en citas se corregirá el numeral </w:t>
      </w: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 xml:space="preserve">PRIMERO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del auto de fecha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siete (07) de noviembre de dos mil veintitrés (2023), en el sentido de indicar que la audiencia a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celebrarse es la del </w:t>
      </w:r>
      <w:proofErr w:type="spellStart"/>
      <w:r>
        <w:rPr>
          <w:rFonts w:ascii="Times-Roman" w:hAnsi="Times-Roman" w:cs="Times-Roman"/>
          <w:kern w:val="0"/>
          <w:sz w:val="23"/>
          <w:szCs w:val="23"/>
          <w:lang w:val="es-CO"/>
        </w:rPr>
        <w:t>articulo</w:t>
      </w:r>
      <w:proofErr w:type="spellEnd"/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 xml:space="preserve">372 del CGP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y que se realizará de manera </w:t>
      </w: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 xml:space="preserve">presencial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(como se dijo en la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parte considerativa de esa providencia), y no como quedó establecido en la parte </w:t>
      </w:r>
      <w:proofErr w:type="gramStart"/>
      <w:r>
        <w:rPr>
          <w:rFonts w:ascii="Times-Roman" w:hAnsi="Times-Roman" w:cs="Times-Roman"/>
          <w:kern w:val="0"/>
          <w:sz w:val="23"/>
          <w:szCs w:val="23"/>
          <w:lang w:val="es-CO"/>
        </w:rPr>
        <w:t>resolutiva.-</w:t>
      </w:r>
      <w:proofErr w:type="gramEnd"/>
    </w:p>
    <w:p w14:paraId="02F9662E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</w:p>
    <w:p w14:paraId="3FFF0182" w14:textId="30247DC3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>Por lo expuesto, se</w:t>
      </w:r>
    </w:p>
    <w:p w14:paraId="67E767DF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34E9BA29" w14:textId="34D19900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>RESUELVE:</w:t>
      </w:r>
    </w:p>
    <w:p w14:paraId="20A64F26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</w:pPr>
    </w:p>
    <w:p w14:paraId="059779E2" w14:textId="3388C2CF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 xml:space="preserve">ÚNICO: CORREGIR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el numeral </w:t>
      </w:r>
      <w:r>
        <w:rPr>
          <w:rFonts w:ascii="Times-Bold" w:hAnsi="Times-Bold" w:cs="Times-Bold"/>
          <w:b/>
          <w:bCs/>
          <w:kern w:val="0"/>
          <w:sz w:val="23"/>
          <w:szCs w:val="23"/>
          <w:lang w:val="es-CO"/>
        </w:rPr>
        <w:t xml:space="preserve">PRIMERO </w:t>
      </w:r>
      <w:r>
        <w:rPr>
          <w:rFonts w:ascii="Times-Roman" w:hAnsi="Times-Roman" w:cs="Times-Roman"/>
          <w:kern w:val="0"/>
          <w:sz w:val="23"/>
          <w:szCs w:val="23"/>
          <w:lang w:val="es-CO"/>
        </w:rPr>
        <w:t>del auto de fecha siete (07) de noviembre de</w:t>
      </w:r>
    </w:p>
    <w:p w14:paraId="1F2B956A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  <w:lang w:val="es-CO"/>
        </w:rPr>
      </w:pPr>
      <w:r>
        <w:rPr>
          <w:rFonts w:ascii="Times-Roman" w:hAnsi="Times-Roman" w:cs="Times-Roman"/>
          <w:kern w:val="0"/>
          <w:sz w:val="23"/>
          <w:szCs w:val="23"/>
          <w:lang w:val="es-CO"/>
        </w:rPr>
        <w:t xml:space="preserve">dos mil veintitrés (2023), conforme a lo </w:t>
      </w:r>
      <w:proofErr w:type="gramStart"/>
      <w:r>
        <w:rPr>
          <w:rFonts w:ascii="Times-Roman" w:hAnsi="Times-Roman" w:cs="Times-Roman"/>
          <w:kern w:val="0"/>
          <w:sz w:val="23"/>
          <w:szCs w:val="23"/>
          <w:lang w:val="es-CO"/>
        </w:rPr>
        <w:t>expuesto.-</w:t>
      </w:r>
      <w:proofErr w:type="gramEnd"/>
    </w:p>
    <w:p w14:paraId="0C543E29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660FD3D4" w14:textId="27373761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NOTIFÍQUESE Y CÚMPLASE</w:t>
      </w:r>
    </w:p>
    <w:p w14:paraId="083E616F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El Juez</w:t>
      </w:r>
    </w:p>
    <w:p w14:paraId="6146F927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5C2C84A3" w14:textId="16E16E08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ALFREDO MARTÍNEZ DE LA HOZ</w:t>
      </w:r>
    </w:p>
    <w:p w14:paraId="47E8C5D5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</w:p>
    <w:p w14:paraId="6C5F9645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</w:p>
    <w:p w14:paraId="32E94C97" w14:textId="47FA6774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LA ANTERIOR PROVIDENCIA SE NOTIFICÓ EN EL ESTADO</w:t>
      </w:r>
    </w:p>
    <w:p w14:paraId="3B2BFB7F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lastRenderedPageBreak/>
        <w:t xml:space="preserve">ELECTRÓNICO DEL DÍA </w:t>
      </w:r>
      <w:r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30 DE ENERO DE 2024</w:t>
      </w:r>
    </w:p>
    <w:p w14:paraId="215C0B49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Nubia Rocío Pineda Peña</w:t>
      </w:r>
    </w:p>
    <w:p w14:paraId="6329A252" w14:textId="77777777" w:rsidR="00FB315A" w:rsidRDefault="00FB315A" w:rsidP="00FB315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Secretaria</w:t>
      </w:r>
    </w:p>
    <w:p w14:paraId="2DB5C180" w14:textId="4F450379" w:rsidR="00B9243D" w:rsidRDefault="00FB315A" w:rsidP="00FB315A">
      <w:pPr>
        <w:jc w:val="both"/>
      </w:pPr>
      <w:proofErr w:type="spellStart"/>
      <w:proofErr w:type="gramStart"/>
      <w:r>
        <w:rPr>
          <w:rFonts w:ascii="Times-Roman" w:hAnsi="Times-Roman" w:cs="Times-Roman"/>
          <w:kern w:val="0"/>
          <w:sz w:val="16"/>
          <w:szCs w:val="16"/>
          <w:lang w:val="es-CO"/>
        </w:rPr>
        <w:t>Lbht</w:t>
      </w:r>
      <w:proofErr w:type="spellEnd"/>
      <w:r>
        <w:rPr>
          <w:rFonts w:ascii="Times-Roman" w:hAnsi="Times-Roman" w:cs="Times-Roman"/>
          <w:kern w:val="0"/>
          <w:sz w:val="16"/>
          <w:szCs w:val="16"/>
          <w:lang w:val="es-CO"/>
        </w:rPr>
        <w:t>.-</w:t>
      </w:r>
      <w:proofErr w:type="gramEnd"/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3D"/>
    <w:rsid w:val="00491F3D"/>
    <w:rsid w:val="00737460"/>
    <w:rsid w:val="00B9243D"/>
    <w:rsid w:val="00DA03DC"/>
    <w:rsid w:val="00F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8C71"/>
  <w15:chartTrackingRefBased/>
  <w15:docId w15:val="{3EDC396A-9D29-435A-B2D8-14811B07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2024-01-30T17:03:00Z</dcterms:created>
  <dcterms:modified xsi:type="dcterms:W3CDTF">2024-01-30T17:05:00Z</dcterms:modified>
</cp:coreProperties>
</file>