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3D52C" w14:textId="371CAF9D" w:rsidR="0050392D" w:rsidRDefault="00774B71" w:rsidP="0050392D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kern w:val="0"/>
          <w:sz w:val="16"/>
          <w:szCs w:val="16"/>
          <w:lang w:val="es-CO"/>
        </w:rPr>
      </w:pPr>
      <w:r w:rsidRPr="00774B71">
        <w:rPr>
          <w:noProof/>
        </w:rPr>
        <w:drawing>
          <wp:inline distT="0" distB="0" distL="0" distR="0" wp14:anchorId="77E7D1FA" wp14:editId="1E660C79">
            <wp:extent cx="5612130" cy="1726565"/>
            <wp:effectExtent l="0" t="0" r="7620" b="6985"/>
            <wp:docPr id="10844296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92D" w:rsidRPr="0050392D">
        <w:rPr>
          <w:rFonts w:ascii="Times-Bold" w:hAnsi="Times-Bold" w:cs="Times-Bold"/>
          <w:b/>
          <w:bCs/>
          <w:kern w:val="0"/>
          <w:sz w:val="16"/>
          <w:szCs w:val="16"/>
          <w:lang w:val="es-CO"/>
        </w:rPr>
        <w:t xml:space="preserve"> </w:t>
      </w:r>
      <w:r w:rsidR="0050392D">
        <w:rPr>
          <w:rFonts w:ascii="Times-Bold" w:hAnsi="Times-Bold" w:cs="Times-Bold"/>
          <w:b/>
          <w:bCs/>
          <w:kern w:val="0"/>
          <w:sz w:val="16"/>
          <w:szCs w:val="16"/>
          <w:lang w:val="es-CO"/>
        </w:rPr>
        <w:t>Verbal de Responsabilidad Civil Extracontractual No. 2021-00476</w:t>
      </w:r>
    </w:p>
    <w:p w14:paraId="014C4709" w14:textId="77777777" w:rsidR="0050392D" w:rsidRDefault="0050392D" w:rsidP="0050392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  <w:lang w:val="es-CO"/>
        </w:rPr>
      </w:pPr>
    </w:p>
    <w:p w14:paraId="5B45D4EC" w14:textId="0521EB4B" w:rsidR="0050392D" w:rsidRDefault="0050392D" w:rsidP="0050392D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>Bogotá D C., dieciocho (18) de marzo de dos mil veinticuatro (2024)</w:t>
      </w:r>
    </w:p>
    <w:p w14:paraId="51B9BED0" w14:textId="77777777" w:rsidR="0050392D" w:rsidRDefault="0050392D" w:rsidP="005039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3"/>
          <w:szCs w:val="23"/>
          <w:lang w:val="es-CO"/>
        </w:rPr>
      </w:pPr>
    </w:p>
    <w:p w14:paraId="210636B5" w14:textId="664DCCE1" w:rsidR="0050392D" w:rsidRDefault="0050392D" w:rsidP="005039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3"/>
          <w:szCs w:val="23"/>
          <w:lang w:val="es-CO"/>
        </w:rPr>
      </w:pPr>
      <w:r>
        <w:rPr>
          <w:rFonts w:ascii="Times-Bold" w:hAnsi="Times-Bold" w:cs="Times-Bold"/>
          <w:b/>
          <w:bCs/>
          <w:kern w:val="0"/>
          <w:sz w:val="23"/>
          <w:szCs w:val="23"/>
          <w:lang w:val="es-CO"/>
        </w:rPr>
        <w:t>ANTECEDENTES:</w:t>
      </w:r>
    </w:p>
    <w:p w14:paraId="5F276386" w14:textId="77777777" w:rsidR="0050392D" w:rsidRDefault="0050392D" w:rsidP="005039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3"/>
          <w:szCs w:val="23"/>
          <w:lang w:val="es-CO"/>
        </w:rPr>
      </w:pPr>
    </w:p>
    <w:p w14:paraId="72D4132D" w14:textId="3B3C41B2" w:rsidR="0050392D" w:rsidRDefault="0050392D" w:rsidP="005039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3"/>
          <w:szCs w:val="23"/>
          <w:lang w:val="es-CO"/>
        </w:rPr>
      </w:pPr>
      <w:r>
        <w:rPr>
          <w:rFonts w:ascii="Times-Roman" w:hAnsi="Times-Roman" w:cs="Times-Roman"/>
          <w:kern w:val="0"/>
          <w:sz w:val="23"/>
          <w:szCs w:val="23"/>
          <w:lang w:val="es-CO"/>
        </w:rPr>
        <w:t>El día 02 de febrero de 2024, el Sr Apoderado Judicial de la demandada LA EQUIDAD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 xml:space="preserve"> 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>SEGUROS GENERALES ORGANISMO COOPERATIVO formuló recurso de reposición contra el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 xml:space="preserve"> 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>auto proferido el día 29 de enero de 2024, por medio del cual se corrigió la modalidad de la audiencia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 xml:space="preserve"> 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>fijada indicando que la misma sería PRESENCIAL, solicitando desde ya al Despacho, se sirva de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 xml:space="preserve"> 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 xml:space="preserve">revocar la </w:t>
      </w:r>
      <w:proofErr w:type="gramStart"/>
      <w:r>
        <w:rPr>
          <w:rFonts w:ascii="Times-Roman" w:hAnsi="Times-Roman" w:cs="Times-Roman"/>
          <w:kern w:val="0"/>
          <w:sz w:val="23"/>
          <w:szCs w:val="23"/>
          <w:lang w:val="es-CO"/>
        </w:rPr>
        <w:t>providencia</w:t>
      </w:r>
      <w:r>
        <w:rPr>
          <w:rFonts w:ascii="Times-Roman" w:hAnsi="Times-Roman" w:cs="Times-Roman"/>
          <w:kern w:val="0"/>
          <w:sz w:val="16"/>
          <w:szCs w:val="16"/>
          <w:lang w:val="es-CO"/>
        </w:rPr>
        <w:t>.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>-</w:t>
      </w:r>
      <w:proofErr w:type="gramEnd"/>
    </w:p>
    <w:p w14:paraId="028E9D51" w14:textId="77777777" w:rsidR="0050392D" w:rsidRDefault="0050392D" w:rsidP="005039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3"/>
          <w:szCs w:val="23"/>
          <w:lang w:val="es-CO"/>
        </w:rPr>
      </w:pPr>
    </w:p>
    <w:p w14:paraId="4CF08B2D" w14:textId="58384A7E" w:rsidR="0050392D" w:rsidRDefault="0050392D" w:rsidP="005039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3"/>
          <w:szCs w:val="23"/>
          <w:lang w:val="es-CO"/>
        </w:rPr>
      </w:pPr>
      <w:r>
        <w:rPr>
          <w:rFonts w:ascii="Times-Bold" w:hAnsi="Times-Bold" w:cs="Times-Bold"/>
          <w:b/>
          <w:bCs/>
          <w:kern w:val="0"/>
          <w:sz w:val="23"/>
          <w:szCs w:val="23"/>
          <w:lang w:val="es-CO"/>
        </w:rPr>
        <w:t>CONSIDERACIONES:</w:t>
      </w:r>
    </w:p>
    <w:p w14:paraId="12348E96" w14:textId="77777777" w:rsidR="0050392D" w:rsidRDefault="0050392D" w:rsidP="005039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3"/>
          <w:szCs w:val="23"/>
          <w:lang w:val="es-CO"/>
        </w:rPr>
      </w:pPr>
    </w:p>
    <w:p w14:paraId="4318117E" w14:textId="3435E23A" w:rsidR="0050392D" w:rsidRDefault="0050392D" w:rsidP="005039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3"/>
          <w:szCs w:val="23"/>
          <w:lang w:val="es-CO"/>
        </w:rPr>
      </w:pPr>
      <w:r>
        <w:rPr>
          <w:rFonts w:ascii="Times-Roman" w:hAnsi="Times-Roman" w:cs="Times-Roman"/>
          <w:kern w:val="0"/>
          <w:sz w:val="23"/>
          <w:szCs w:val="23"/>
          <w:lang w:val="es-CO"/>
        </w:rPr>
        <w:t>Sea del caso señalar, de entrada, que conforme a lo establecido en el inciso segundo del numeral</w:t>
      </w:r>
    </w:p>
    <w:p w14:paraId="0D63E7F1" w14:textId="77777777" w:rsidR="0050392D" w:rsidRDefault="0050392D" w:rsidP="005039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3"/>
          <w:szCs w:val="23"/>
          <w:lang w:val="es-CO"/>
        </w:rPr>
      </w:pPr>
      <w:r>
        <w:rPr>
          <w:rFonts w:ascii="Times-Roman" w:hAnsi="Times-Roman" w:cs="Times-Roman"/>
          <w:kern w:val="0"/>
          <w:sz w:val="23"/>
          <w:szCs w:val="23"/>
          <w:lang w:val="es-CO"/>
        </w:rPr>
        <w:t xml:space="preserve">1 del artículo 372 del CGP, el auto que señale fecha y hora para la audiencia </w:t>
      </w:r>
      <w:r>
        <w:rPr>
          <w:rFonts w:ascii="Times-Bold" w:hAnsi="Times-Bold" w:cs="Times-Bold"/>
          <w:b/>
          <w:bCs/>
          <w:kern w:val="0"/>
          <w:sz w:val="23"/>
          <w:szCs w:val="23"/>
          <w:lang w:val="es-CO"/>
        </w:rPr>
        <w:t>no tiene recursos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>,</w:t>
      </w:r>
    </w:p>
    <w:p w14:paraId="4CB5B235" w14:textId="77777777" w:rsidR="0050392D" w:rsidRDefault="0050392D" w:rsidP="005039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3"/>
          <w:szCs w:val="23"/>
          <w:lang w:val="es-CO"/>
        </w:rPr>
      </w:pPr>
    </w:p>
    <w:p w14:paraId="4CC5C1DF" w14:textId="5CD0AE25" w:rsidR="0050392D" w:rsidRDefault="0050392D" w:rsidP="005039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3"/>
          <w:szCs w:val="23"/>
          <w:lang w:val="es-CO"/>
        </w:rPr>
      </w:pPr>
      <w:r>
        <w:rPr>
          <w:rFonts w:ascii="Times-Roman" w:hAnsi="Times-Roman" w:cs="Times-Roman"/>
          <w:kern w:val="0"/>
          <w:sz w:val="23"/>
          <w:szCs w:val="23"/>
          <w:lang w:val="es-CO"/>
        </w:rPr>
        <w:t>Ahora bien, si en gracia de discusión se accediera a revocar la providencia proferido el día 29</w:t>
      </w:r>
    </w:p>
    <w:p w14:paraId="1E939CD8" w14:textId="52922A35" w:rsidR="0050392D" w:rsidRDefault="0050392D" w:rsidP="005039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3"/>
          <w:szCs w:val="23"/>
          <w:lang w:val="es-CO"/>
        </w:rPr>
      </w:pPr>
      <w:r>
        <w:rPr>
          <w:rFonts w:ascii="Times-Roman" w:hAnsi="Times-Roman" w:cs="Times-Roman"/>
          <w:kern w:val="0"/>
          <w:sz w:val="23"/>
          <w:szCs w:val="23"/>
          <w:lang w:val="es-CO"/>
        </w:rPr>
        <w:t xml:space="preserve">de enero de 2024 debe recordar el memorialista, </w:t>
      </w:r>
      <w:proofErr w:type="gramStart"/>
      <w:r>
        <w:rPr>
          <w:rFonts w:ascii="Times-Roman" w:hAnsi="Times-Roman" w:cs="Times-Roman"/>
          <w:kern w:val="0"/>
          <w:sz w:val="23"/>
          <w:szCs w:val="23"/>
          <w:lang w:val="es-CO"/>
        </w:rPr>
        <w:t>que</w:t>
      </w:r>
      <w:proofErr w:type="gramEnd"/>
      <w:r>
        <w:rPr>
          <w:rFonts w:ascii="Times-Roman" w:hAnsi="Times-Roman" w:cs="Times-Roman"/>
          <w:kern w:val="0"/>
          <w:sz w:val="23"/>
          <w:szCs w:val="23"/>
          <w:lang w:val="es-CO"/>
        </w:rPr>
        <w:t xml:space="preserve"> por auto del día de noviembre de 2022, por el cual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 xml:space="preserve"> 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>se abrió el proceso a pruebas, se citó a las partes y a sus apoderados para que concurrieran</w:t>
      </w:r>
    </w:p>
    <w:p w14:paraId="0DCB4033" w14:textId="1E7C0140" w:rsidR="0050392D" w:rsidRDefault="0050392D" w:rsidP="005039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3"/>
          <w:szCs w:val="23"/>
          <w:lang w:val="es-CO"/>
        </w:rPr>
      </w:pPr>
      <w:r>
        <w:rPr>
          <w:rFonts w:ascii="Times-Bold" w:hAnsi="Times-Bold" w:cs="Times-Bold"/>
          <w:b/>
          <w:bCs/>
          <w:kern w:val="0"/>
          <w:sz w:val="23"/>
          <w:szCs w:val="23"/>
          <w:lang w:val="es-CO"/>
        </w:rPr>
        <w:t xml:space="preserve">personalmente 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>a la audiencia inicial que se iba a llevar a cabo el día doce (12) de mayo de dos mil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 xml:space="preserve"> 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>veintitrés (2023) a la hora de las 9:00 am.</w:t>
      </w:r>
    </w:p>
    <w:p w14:paraId="7FF4F298" w14:textId="77777777" w:rsidR="0050392D" w:rsidRDefault="0050392D" w:rsidP="005039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3"/>
          <w:szCs w:val="23"/>
          <w:lang w:val="es-CO"/>
        </w:rPr>
      </w:pPr>
    </w:p>
    <w:p w14:paraId="17DDA0FB" w14:textId="36F232F3" w:rsidR="0050392D" w:rsidRDefault="0050392D" w:rsidP="005039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3"/>
          <w:szCs w:val="23"/>
          <w:lang w:val="es-CO"/>
        </w:rPr>
      </w:pPr>
      <w:r>
        <w:rPr>
          <w:rFonts w:ascii="Times-Roman" w:hAnsi="Times-Roman" w:cs="Times-Roman"/>
          <w:kern w:val="0"/>
          <w:sz w:val="23"/>
          <w:szCs w:val="23"/>
          <w:lang w:val="es-CO"/>
        </w:rPr>
        <w:t>Por lo anteriormente, se exhorta al memorialista a estarse a lo resuelto en auto de fecha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 xml:space="preserve"> 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>veintinueve (29) de enero de dos mil veinticuatro (2024</w:t>
      </w:r>
      <w:proofErr w:type="gramStart"/>
      <w:r>
        <w:rPr>
          <w:rFonts w:ascii="Times-Roman" w:hAnsi="Times-Roman" w:cs="Times-Roman"/>
          <w:kern w:val="0"/>
          <w:sz w:val="23"/>
          <w:szCs w:val="23"/>
          <w:lang w:val="es-CO"/>
        </w:rPr>
        <w:t>)</w:t>
      </w:r>
      <w:r>
        <w:rPr>
          <w:rFonts w:ascii="Times-Roman" w:hAnsi="Times-Roman" w:cs="Times-Roman"/>
          <w:kern w:val="0"/>
          <w:sz w:val="16"/>
          <w:szCs w:val="16"/>
          <w:lang w:val="es-CO"/>
        </w:rPr>
        <w:t>.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>-</w:t>
      </w:r>
      <w:proofErr w:type="gramEnd"/>
    </w:p>
    <w:p w14:paraId="0B565B44" w14:textId="77777777" w:rsidR="0050392D" w:rsidRDefault="0050392D" w:rsidP="005039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3"/>
          <w:szCs w:val="23"/>
          <w:lang w:val="es-CO"/>
        </w:rPr>
      </w:pPr>
    </w:p>
    <w:p w14:paraId="2C7572FC" w14:textId="04996222" w:rsidR="0050392D" w:rsidRDefault="0050392D" w:rsidP="005039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3"/>
          <w:szCs w:val="23"/>
          <w:lang w:val="es-CO"/>
        </w:rPr>
      </w:pPr>
      <w:r>
        <w:rPr>
          <w:rFonts w:ascii="Times-Roman" w:hAnsi="Times-Roman" w:cs="Times-Roman"/>
          <w:kern w:val="0"/>
          <w:sz w:val="23"/>
          <w:szCs w:val="23"/>
          <w:lang w:val="es-CO"/>
        </w:rPr>
        <w:t>Por lo expuesto, se</w:t>
      </w:r>
    </w:p>
    <w:p w14:paraId="24ECB39A" w14:textId="77777777" w:rsidR="0050392D" w:rsidRDefault="0050392D" w:rsidP="005039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3"/>
          <w:szCs w:val="23"/>
          <w:lang w:val="es-CO"/>
        </w:rPr>
      </w:pPr>
    </w:p>
    <w:p w14:paraId="30C8F10F" w14:textId="730BC0B4" w:rsidR="0050392D" w:rsidRDefault="0050392D" w:rsidP="005039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3"/>
          <w:szCs w:val="23"/>
          <w:lang w:val="es-CO"/>
        </w:rPr>
      </w:pPr>
      <w:r>
        <w:rPr>
          <w:rFonts w:ascii="Times-Bold" w:hAnsi="Times-Bold" w:cs="Times-Bold"/>
          <w:b/>
          <w:bCs/>
          <w:kern w:val="0"/>
          <w:sz w:val="23"/>
          <w:szCs w:val="23"/>
          <w:lang w:val="es-CO"/>
        </w:rPr>
        <w:t>RESUELVE:</w:t>
      </w:r>
    </w:p>
    <w:p w14:paraId="132145D7" w14:textId="77777777" w:rsidR="0050392D" w:rsidRDefault="0050392D" w:rsidP="005039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3"/>
          <w:szCs w:val="23"/>
          <w:lang w:val="es-CO"/>
        </w:rPr>
      </w:pPr>
    </w:p>
    <w:p w14:paraId="27D4992D" w14:textId="27B2D850" w:rsidR="0050392D" w:rsidRDefault="0050392D" w:rsidP="005039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3"/>
          <w:szCs w:val="23"/>
          <w:lang w:val="es-CO"/>
        </w:rPr>
      </w:pPr>
      <w:r>
        <w:rPr>
          <w:rFonts w:ascii="Times-Bold" w:hAnsi="Times-Bold" w:cs="Times-Bold"/>
          <w:b/>
          <w:bCs/>
          <w:kern w:val="0"/>
          <w:sz w:val="23"/>
          <w:szCs w:val="23"/>
          <w:lang w:val="es-CO"/>
        </w:rPr>
        <w:t xml:space="preserve">ÚNICO: NO ACCEDER 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 xml:space="preserve">a lo solicitado por el memorialista, conforme a lo </w:t>
      </w:r>
      <w:proofErr w:type="gramStart"/>
      <w:r>
        <w:rPr>
          <w:rFonts w:ascii="Times-Roman" w:hAnsi="Times-Roman" w:cs="Times-Roman"/>
          <w:kern w:val="0"/>
          <w:sz w:val="23"/>
          <w:szCs w:val="23"/>
          <w:lang w:val="es-CO"/>
        </w:rPr>
        <w:t>expuesto.-</w:t>
      </w:r>
      <w:proofErr w:type="gramEnd"/>
    </w:p>
    <w:p w14:paraId="344CFE7A" w14:textId="77777777" w:rsidR="0050392D" w:rsidRDefault="0050392D" w:rsidP="005039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</w:p>
    <w:p w14:paraId="22052D30" w14:textId="7E80F53C" w:rsidR="0050392D" w:rsidRDefault="0050392D" w:rsidP="005039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NOTIFÍQUESE Y CÚMPLASE (2)</w:t>
      </w:r>
    </w:p>
    <w:p w14:paraId="7B9EDEA3" w14:textId="77777777" w:rsidR="0050392D" w:rsidRDefault="0050392D" w:rsidP="005039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</w:p>
    <w:p w14:paraId="3BA35C1C" w14:textId="08CB5595" w:rsidR="0050392D" w:rsidRDefault="0050392D" w:rsidP="005039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>El Juez</w:t>
      </w:r>
    </w:p>
    <w:p w14:paraId="05117791" w14:textId="77777777" w:rsidR="0050392D" w:rsidRDefault="0050392D" w:rsidP="005039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ALFREDO MARTÍNEZ DE LA HOZ</w:t>
      </w:r>
    </w:p>
    <w:p w14:paraId="7F639A30" w14:textId="77777777" w:rsidR="0050392D" w:rsidRDefault="0050392D" w:rsidP="005039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16"/>
          <w:szCs w:val="16"/>
          <w:lang w:val="es-CO"/>
        </w:rPr>
      </w:pPr>
    </w:p>
    <w:p w14:paraId="623D180E" w14:textId="77777777" w:rsidR="0050392D" w:rsidRDefault="0050392D" w:rsidP="005039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16"/>
          <w:szCs w:val="16"/>
          <w:lang w:val="es-CO"/>
        </w:rPr>
      </w:pPr>
    </w:p>
    <w:p w14:paraId="0A249D8B" w14:textId="2B1F1388" w:rsidR="0050392D" w:rsidRDefault="0050392D" w:rsidP="005039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16"/>
          <w:szCs w:val="16"/>
          <w:lang w:val="es-CO"/>
        </w:rPr>
      </w:pPr>
      <w:r>
        <w:rPr>
          <w:rFonts w:ascii="Times-Roman" w:hAnsi="Times-Roman" w:cs="Times-Roman"/>
          <w:kern w:val="0"/>
          <w:sz w:val="16"/>
          <w:szCs w:val="16"/>
          <w:lang w:val="es-CO"/>
        </w:rPr>
        <w:t>LA ANTERIOR PROVIDENCIA SE NOTIFICÓ EN EL ESTADO</w:t>
      </w:r>
    </w:p>
    <w:p w14:paraId="39BC82E3" w14:textId="77777777" w:rsidR="0050392D" w:rsidRDefault="0050392D" w:rsidP="0050392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16"/>
          <w:szCs w:val="16"/>
          <w:lang w:val="es-CO"/>
        </w:rPr>
      </w:pPr>
      <w:r>
        <w:rPr>
          <w:rFonts w:ascii="Times-Roman" w:hAnsi="Times-Roman" w:cs="Times-Roman"/>
          <w:kern w:val="0"/>
          <w:sz w:val="16"/>
          <w:szCs w:val="16"/>
          <w:lang w:val="es-CO"/>
        </w:rPr>
        <w:t xml:space="preserve">ELECTRÓNICO DEL DÍA </w:t>
      </w:r>
      <w:r>
        <w:rPr>
          <w:rFonts w:ascii="Times-Bold" w:hAnsi="Times-Bold" w:cs="Times-Bold"/>
          <w:b/>
          <w:bCs/>
          <w:kern w:val="0"/>
          <w:sz w:val="16"/>
          <w:szCs w:val="16"/>
          <w:lang w:val="es-CO"/>
        </w:rPr>
        <w:t>19 DE MARZO DE 2024</w:t>
      </w:r>
    </w:p>
    <w:p w14:paraId="0FF60A72" w14:textId="77777777" w:rsidR="0050392D" w:rsidRDefault="0050392D" w:rsidP="005039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16"/>
          <w:szCs w:val="16"/>
          <w:lang w:val="es-CO"/>
        </w:rPr>
      </w:pPr>
      <w:r>
        <w:rPr>
          <w:rFonts w:ascii="Times-Roman" w:hAnsi="Times-Roman" w:cs="Times-Roman"/>
          <w:kern w:val="0"/>
          <w:sz w:val="16"/>
          <w:szCs w:val="16"/>
          <w:lang w:val="es-CO"/>
        </w:rPr>
        <w:lastRenderedPageBreak/>
        <w:t>Nubia Rocío Pineda Peña</w:t>
      </w:r>
    </w:p>
    <w:p w14:paraId="6CFB71EE" w14:textId="77777777" w:rsidR="0050392D" w:rsidRDefault="0050392D" w:rsidP="005039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16"/>
          <w:szCs w:val="16"/>
          <w:lang w:val="es-CO"/>
        </w:rPr>
      </w:pPr>
      <w:r>
        <w:rPr>
          <w:rFonts w:ascii="Times-Roman" w:hAnsi="Times-Roman" w:cs="Times-Roman"/>
          <w:kern w:val="0"/>
          <w:sz w:val="16"/>
          <w:szCs w:val="16"/>
          <w:lang w:val="es-CO"/>
        </w:rPr>
        <w:t>Secretaria</w:t>
      </w:r>
    </w:p>
    <w:p w14:paraId="208EACAD" w14:textId="054EB259" w:rsidR="00B9243D" w:rsidRDefault="0050392D" w:rsidP="0050392D">
      <w:pPr>
        <w:jc w:val="both"/>
      </w:pPr>
      <w:proofErr w:type="spellStart"/>
      <w:proofErr w:type="gramStart"/>
      <w:r>
        <w:rPr>
          <w:rFonts w:ascii="Times-Roman" w:hAnsi="Times-Roman" w:cs="Times-Roman"/>
          <w:kern w:val="0"/>
          <w:sz w:val="16"/>
          <w:szCs w:val="16"/>
          <w:lang w:val="es-CO"/>
        </w:rPr>
        <w:t>Lbht</w:t>
      </w:r>
      <w:proofErr w:type="spellEnd"/>
      <w:r>
        <w:rPr>
          <w:rFonts w:ascii="Times-Roman" w:hAnsi="Times-Roman" w:cs="Times-Roman"/>
          <w:kern w:val="0"/>
          <w:sz w:val="16"/>
          <w:szCs w:val="16"/>
          <w:lang w:val="es-CO"/>
        </w:rPr>
        <w:t>.-</w:t>
      </w:r>
      <w:proofErr w:type="gramEnd"/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71"/>
    <w:rsid w:val="0050392D"/>
    <w:rsid w:val="00737460"/>
    <w:rsid w:val="00774B71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D344"/>
  <w15:chartTrackingRefBased/>
  <w15:docId w15:val="{76947511-4BE5-4AF8-81FE-DE0C2CE4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2024-03-19T22:37:00Z</dcterms:created>
  <dcterms:modified xsi:type="dcterms:W3CDTF">2024-03-19T22:39:00Z</dcterms:modified>
</cp:coreProperties>
</file>