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B9E3" w14:textId="08A78151" w:rsidR="000921B5" w:rsidRDefault="000921B5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 w:rsidRPr="00774B71">
        <w:rPr>
          <w:noProof/>
        </w:rPr>
        <w:drawing>
          <wp:inline distT="0" distB="0" distL="0" distR="0" wp14:anchorId="1D18C284" wp14:editId="76C52C3D">
            <wp:extent cx="5612130" cy="1726565"/>
            <wp:effectExtent l="0" t="0" r="7620" b="6985"/>
            <wp:docPr id="10844296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91FB" w14:textId="77777777" w:rsidR="000921B5" w:rsidRDefault="000921B5" w:rsidP="000921B5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Verbal de Responsabilidad Civil Extracontractual No. 2021-00476</w:t>
      </w:r>
    </w:p>
    <w:p w14:paraId="6D7A0D18" w14:textId="77777777" w:rsidR="000921B5" w:rsidRDefault="000921B5" w:rsidP="000921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7E55336C" w14:textId="77777777" w:rsidR="000921B5" w:rsidRDefault="000921B5" w:rsidP="000921B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Bogotá D C., dieciocho (18) de marzo de dos mil veinticuatro (2024)</w:t>
      </w:r>
    </w:p>
    <w:p w14:paraId="25A2B10B" w14:textId="77777777" w:rsidR="000921B5" w:rsidRDefault="000921B5" w:rsidP="000921B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0BC25D76" w14:textId="77777777" w:rsidR="000921B5" w:rsidRDefault="000921B5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15BCD797" w14:textId="77777777" w:rsidR="000921B5" w:rsidRDefault="000921B5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6BFC88A0" w14:textId="3A883097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ANTECEDENTES:</w:t>
      </w:r>
    </w:p>
    <w:p w14:paraId="5D6686F8" w14:textId="77777777" w:rsidR="00514951" w:rsidRDefault="00514951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52125630" w14:textId="6604B37C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Ingresó el expediente al Despacho con Informe Secretarial de fecha 02 de febrero de 2024, con</w:t>
      </w:r>
    </w:p>
    <w:p w14:paraId="0A6B8C56" w14:textId="04463CA7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escrito mediante el cual el Sr Apoderado judicial de la demandante solicitó que la audiencia 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>p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rogramada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para el día 29 de julio de 2024, a las 9:00 a.m. se realice de manera virtual y no presencial, como se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indica en el auto del día 29 de enero de 2024, toda vez que los Despachos Judiciales deberán garantizar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una administración de justicia virtual, y de manera excepcional podrán realizar las audiencias de manera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presencial, sin embargo, se encuentra que el Juzgado dispuso que la audiencia inicial se realizará de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manera presencial sin exponer las razones de tal decisión.</w:t>
      </w:r>
    </w:p>
    <w:p w14:paraId="0CE7D331" w14:textId="77777777" w:rsidR="00514951" w:rsidRDefault="00514951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3F5BB879" w14:textId="6A43DAF3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Que desde los 17 años se encuentra diagnosticado con hipertensión arterial por lo que está en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tratamiento constante para controlar esta patología, lo cual según las guías y protocolos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médicos le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convierte en población de alto riesgo para el Covid-19.-</w:t>
      </w:r>
    </w:p>
    <w:p w14:paraId="45199037" w14:textId="77777777" w:rsidR="00514951" w:rsidRDefault="00514951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3CC0D4C5" w14:textId="233F0E6F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CONSIDERACIONES:</w:t>
      </w:r>
    </w:p>
    <w:p w14:paraId="240090B2" w14:textId="77777777" w:rsidR="00514951" w:rsidRDefault="00514951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4CAF6919" w14:textId="00BE6A4C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Sea del caso recordar, </w:t>
      </w:r>
      <w:r>
        <w:rPr>
          <w:rFonts w:ascii="TimesNewRomanPSMT" w:hAnsi="TimesNewRomanPSMT" w:cs="TimesNewRomanPSMT"/>
          <w:kern w:val="0"/>
          <w:sz w:val="23"/>
          <w:szCs w:val="23"/>
          <w:lang w:val="es-CO"/>
        </w:rPr>
        <w:t xml:space="preserve">que la Ley 2213 de 2022 en su artículo 2° dispone que: “Se </w:t>
      </w: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podrán</w:t>
      </w:r>
    </w:p>
    <w:p w14:paraId="24A33C0C" w14:textId="1EB51557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utilizar las tecnologías de la información y de las comunicaciones, cuando se disponga de los mismos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de manera idónea, en la gestión y trámite de los procesos judiciales y asuntos en curso, con el fin de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NewRomanPSMT" w:hAnsi="TimesNewRomanPSMT" w:cs="TimesNewRomanPSMT"/>
          <w:kern w:val="0"/>
          <w:sz w:val="23"/>
          <w:szCs w:val="23"/>
          <w:lang w:val="es-CO"/>
        </w:rPr>
        <w:t>facilitar y agilizar el acceso a la justicia.” (Res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altado propio).</w:t>
      </w:r>
    </w:p>
    <w:p w14:paraId="71EDB4E4" w14:textId="77777777" w:rsidR="00514951" w:rsidRDefault="00514951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3"/>
          <w:szCs w:val="23"/>
          <w:lang w:val="es-CO"/>
        </w:rPr>
      </w:pPr>
    </w:p>
    <w:p w14:paraId="21EF2059" w14:textId="7B9753ED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NewRomanPSMT" w:hAnsi="TimesNewRomanPSMT" w:cs="TimesNewRomanPSMT"/>
          <w:kern w:val="0"/>
          <w:sz w:val="23"/>
          <w:szCs w:val="23"/>
          <w:lang w:val="es-CO"/>
        </w:rPr>
        <w:t>Conforme a la norma en citas, la palabra “</w:t>
      </w: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podrán</w:t>
      </w:r>
      <w:r>
        <w:rPr>
          <w:rFonts w:ascii="TimesNewRomanPSMT" w:hAnsi="TimesNewRomanPSMT" w:cs="TimesNewRomanPSMT"/>
          <w:kern w:val="0"/>
          <w:sz w:val="23"/>
          <w:szCs w:val="23"/>
          <w:lang w:val="es-CO"/>
        </w:rPr>
        <w:t>” es una facultad que otorgó el legislador</w:t>
      </w:r>
      <w:r w:rsidR="00514951">
        <w:rPr>
          <w:rFonts w:ascii="TimesNewRomanPSMT" w:hAnsi="TimesNewRomanPSMT" w:cs="TimesNewRomanPSMT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condicionada a que para su utilización se disponga de las tecnologías de la información y de las</w:t>
      </w:r>
    </w:p>
    <w:p w14:paraId="7F95C84F" w14:textId="2C06A69A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comunicaciones </w:t>
      </w: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de manera idónea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, cuestión que no acontece, ya que en la mayoría de las audiencias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virtuales celebradas en otros procesos se ha presentado dificultad en la conexión e intervención de las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personas, debido al considerable número de aquellas en la sala virtual.</w:t>
      </w:r>
    </w:p>
    <w:p w14:paraId="1E635442" w14:textId="77777777" w:rsidR="00514951" w:rsidRDefault="00514951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303280A0" w14:textId="16322FE0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Ahora bien, el inciso tercero del artículo 7 de la citada ley dispone: </w:t>
      </w:r>
      <w:r>
        <w:rPr>
          <w:rFonts w:ascii="TimesNewRomanPS-ItalicMT" w:hAnsi="TimesNewRomanPS-ItalicMT" w:cs="TimesNewRomanPS-ItalicMT"/>
          <w:i/>
          <w:iCs/>
          <w:kern w:val="0"/>
          <w:sz w:val="23"/>
          <w:szCs w:val="23"/>
          <w:lang w:val="es-CO"/>
        </w:rPr>
        <w:t>“Cuando las circunstancias</w:t>
      </w:r>
    </w:p>
    <w:p w14:paraId="4F1B368E" w14:textId="01DF5BF7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kern w:val="0"/>
          <w:sz w:val="23"/>
          <w:szCs w:val="23"/>
          <w:lang w:val="es-CO"/>
        </w:rPr>
      </w:pP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>de seguridad, inmediatez y fidelidad excepcionalmente lo requieran, serán presenciales las audiencias</w:t>
      </w:r>
      <w:r w:rsidR="00514951"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>y diligencias destinadas a la práctica de pruebas. la práctica presencial de la prueba se dispondrá por</w:t>
      </w:r>
      <w:r w:rsidR="00514951"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>el juez de oficio o por solicitud motivad</w:t>
      </w:r>
      <w:r>
        <w:rPr>
          <w:rFonts w:ascii="TimesNewRomanPS-ItalicMT" w:hAnsi="TimesNewRomanPS-ItalicMT" w:cs="TimesNewRomanPS-ItalicMT"/>
          <w:i/>
          <w:iCs/>
          <w:kern w:val="0"/>
          <w:sz w:val="23"/>
          <w:szCs w:val="23"/>
          <w:lang w:val="es-CO"/>
        </w:rPr>
        <w:t>a de cualquiera de las partes”.</w:t>
      </w:r>
    </w:p>
    <w:p w14:paraId="5D988408" w14:textId="77777777" w:rsidR="00514951" w:rsidRDefault="00514951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6208D42E" w14:textId="777BA5E7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lastRenderedPageBreak/>
        <w:t>Conviene señalar, que por auto del día de noviembre de 2022, por el cual se abrió el proceso a</w:t>
      </w:r>
    </w:p>
    <w:p w14:paraId="0989E62C" w14:textId="2345B520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pruebas, se citó a las partes y a sus apoderados para que concurrieran personalmente a la audiencia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inicial el día doce (12) de mayo de dos mil veintitrés (2023) a la hora de las 9:00 am.</w:t>
      </w:r>
    </w:p>
    <w:p w14:paraId="0A4FE8E6" w14:textId="77777777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Así mismo, por auto del día siete (07) de noviembre de dos mil veintitrés (2023), corregido por</w:t>
      </w:r>
    </w:p>
    <w:p w14:paraId="1378C5FA" w14:textId="7F95AE28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auto del 29 de enero de 2024, se les advirtió a las partes que la audiencia se realizaría de manera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presencial </w:t>
      </w: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debido a la cantidad de pruebas que hay que desarrollar durante la audiencia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,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señalándose que se fijaba con suficiente tiempo para que pudieran programar la asistencia a la misma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el día veintinueve (29) de julio del año 2024, a la hora de las 9:00 am, luego no es cierta la manifestación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del memorialista en cuanto a indicar que no se expusieron las razones para señalarla presencialmente.</w:t>
      </w:r>
    </w:p>
    <w:p w14:paraId="43825940" w14:textId="77777777" w:rsidR="00514951" w:rsidRDefault="00514951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66301D80" w14:textId="54050A34" w:rsidR="00BF78E4" w:rsidRDefault="00BF78E4" w:rsidP="0051495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Al no haberse acreditado la imposibilidad de asistir de manera presencial a la audiencia que</w:t>
      </w:r>
      <w:r w:rsidR="00A62983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había sido fijada desde el mes de noviembre de 2023, y en atención a que la hipertensión arterial no es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una enfermedad catastrófica o ruinosa que catalogue a quien la padece como sujeto de especial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protección, ya que el propio Servidor Judicial también la padece, no se accederá a la solicitud del</w:t>
      </w:r>
      <w:r w:rsidR="00514951"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memorialista.-</w:t>
      </w:r>
    </w:p>
    <w:p w14:paraId="41B51D72" w14:textId="77777777" w:rsidR="00A62983" w:rsidRDefault="00A62983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5EE892C3" w14:textId="503FFC0B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Por lo expuesto, se</w:t>
      </w:r>
    </w:p>
    <w:p w14:paraId="3A8660E5" w14:textId="77777777" w:rsidR="00A62983" w:rsidRDefault="00A62983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1B5325D3" w14:textId="464AB173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RESUELVE:</w:t>
      </w:r>
    </w:p>
    <w:p w14:paraId="2A272BCF" w14:textId="77777777" w:rsidR="00514951" w:rsidRDefault="00514951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5FDEC11A" w14:textId="77777777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 xml:space="preserve">ÚNICO: NO ACCEDER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a lo solicitado por el memorialista, conforme a lo expuesto.-</w:t>
      </w:r>
    </w:p>
    <w:p w14:paraId="10D26E45" w14:textId="77777777" w:rsidR="00514951" w:rsidRDefault="00514951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7FA2FE26" w14:textId="3BC85E32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NOTIFÍQUESE Y CÚMPLASE (2)</w:t>
      </w:r>
    </w:p>
    <w:p w14:paraId="041C5BA0" w14:textId="77777777" w:rsidR="00514951" w:rsidRDefault="00514951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2AFCF3BD" w14:textId="73DD1931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El Juez</w:t>
      </w:r>
    </w:p>
    <w:p w14:paraId="451F5DEB" w14:textId="77777777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ALFREDO MARTÍNEZ DE LA HOZ</w:t>
      </w:r>
    </w:p>
    <w:p w14:paraId="7591C8E5" w14:textId="77777777" w:rsidR="00514951" w:rsidRDefault="00514951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258DD630" w14:textId="77777777" w:rsidR="00514951" w:rsidRDefault="00514951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5F62EC6B" w14:textId="74D4DF77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LA ANTERIOR PROVIDENCIA SE NOTIFICÓ EN EL ESTADO</w:t>
      </w:r>
    </w:p>
    <w:p w14:paraId="71149BDC" w14:textId="77777777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19 DE MARZO DE 2024</w:t>
      </w:r>
    </w:p>
    <w:p w14:paraId="3EAC42B4" w14:textId="77777777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Nubia Rocío Pineda Peña</w:t>
      </w:r>
    </w:p>
    <w:p w14:paraId="7187CFED" w14:textId="77777777" w:rsidR="00BF78E4" w:rsidRDefault="00BF78E4" w:rsidP="00BF78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Secretaria</w:t>
      </w:r>
    </w:p>
    <w:p w14:paraId="2EACB925" w14:textId="02409D74" w:rsidR="00B9243D" w:rsidRDefault="00BF78E4" w:rsidP="00BF78E4">
      <w:r>
        <w:rPr>
          <w:rFonts w:ascii="Times-Roman" w:hAnsi="Times-Roman" w:cs="Times-Roman"/>
          <w:kern w:val="0"/>
          <w:sz w:val="16"/>
          <w:szCs w:val="16"/>
          <w:lang w:val="es-CO"/>
        </w:rPr>
        <w:t>Lbht.-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4"/>
    <w:rsid w:val="000921B5"/>
    <w:rsid w:val="00514951"/>
    <w:rsid w:val="00737460"/>
    <w:rsid w:val="00A62983"/>
    <w:rsid w:val="00B9243D"/>
    <w:rsid w:val="00BF78E4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4BD4"/>
  <w15:chartTrackingRefBased/>
  <w15:docId w15:val="{3A067700-67C6-4767-9A94-C7C576BD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2024-03-19T22:40:00Z</dcterms:created>
  <dcterms:modified xsi:type="dcterms:W3CDTF">2024-03-19T22:46:00Z</dcterms:modified>
</cp:coreProperties>
</file>