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2C6B" w14:textId="77777777" w:rsidR="00AB71D5" w:rsidRPr="005B5544" w:rsidRDefault="00AB71D5" w:rsidP="000D4B55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6A05555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</w:t>
      </w:r>
      <w:r w:rsidR="00203CEC">
        <w:rPr>
          <w:rFonts w:ascii="Arial" w:hAnsi="Arial" w:cs="Arial"/>
          <w:b/>
        </w:rPr>
        <w:t xml:space="preserve"> </w:t>
      </w:r>
      <w:r w:rsidR="000E2B67">
        <w:rPr>
          <w:rFonts w:ascii="Arial" w:hAnsi="Arial" w:cs="Arial"/>
          <w:b/>
        </w:rPr>
        <w:t>ARTÍCULO</w:t>
      </w:r>
      <w:r w:rsidR="00203CEC">
        <w:rPr>
          <w:rFonts w:ascii="Arial" w:hAnsi="Arial" w:cs="Arial"/>
          <w:b/>
        </w:rPr>
        <w:t>S 372 Y 373 DEL C.G.P.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5B055874" w:rsidR="00921BD6" w:rsidRPr="003202D0" w:rsidRDefault="00AB71D5" w:rsidP="003202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763502" w:rsidRPr="00763502">
        <w:rPr>
          <w:rFonts w:ascii="Arial" w:hAnsi="Arial" w:cs="Arial"/>
        </w:rPr>
        <w:t>TREINTA Y TRES (33) CIVIL DEL CIRCUITO DE BOGOTÁ</w:t>
      </w:r>
      <w:r w:rsidR="00763502">
        <w:rPr>
          <w:rFonts w:ascii="Arial" w:hAnsi="Arial" w:cs="Arial"/>
        </w:rPr>
        <w:t>.</w:t>
      </w:r>
    </w:p>
    <w:p w14:paraId="2644A899" w14:textId="387801FD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203CEC">
        <w:rPr>
          <w:rFonts w:ascii="Arial" w:hAnsi="Arial" w:cs="Arial"/>
        </w:rPr>
        <w:t>VERBAL.</w:t>
      </w:r>
    </w:p>
    <w:p w14:paraId="122B334C" w14:textId="77777777" w:rsidR="00763502" w:rsidRPr="00763502" w:rsidRDefault="00BE262C" w:rsidP="00763502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Demandante:</w:t>
      </w:r>
      <w:r w:rsidRPr="005B5544">
        <w:rPr>
          <w:rFonts w:ascii="Arial" w:hAnsi="Arial" w:cs="Arial"/>
        </w:rPr>
        <w:tab/>
      </w:r>
      <w:r w:rsidR="00763502" w:rsidRPr="00763502">
        <w:rPr>
          <w:rFonts w:ascii="Arial" w:hAnsi="Arial" w:cs="Arial"/>
        </w:rPr>
        <w:t>ROSA DEL CARMEN THERAN, TATIANA TABOADA THERAN,</w:t>
      </w:r>
    </w:p>
    <w:p w14:paraId="3304ABFB" w14:textId="7ECDA5FA" w:rsidR="00BE262C" w:rsidRPr="005B5544" w:rsidRDefault="00763502" w:rsidP="00763502">
      <w:pPr>
        <w:spacing w:after="0" w:line="300" w:lineRule="auto"/>
        <w:ind w:left="5664" w:hanging="2832"/>
        <w:jc w:val="both"/>
        <w:rPr>
          <w:rFonts w:ascii="Arial" w:hAnsi="Arial" w:cs="Arial"/>
        </w:rPr>
      </w:pPr>
      <w:r w:rsidRPr="00763502">
        <w:rPr>
          <w:rFonts w:ascii="Arial" w:hAnsi="Arial" w:cs="Arial"/>
        </w:rPr>
        <w:t>VANESSA TABOADA THERAN, HUGO ELIAS TABOADA THERAN</w:t>
      </w:r>
      <w:r>
        <w:rPr>
          <w:rFonts w:ascii="Arial" w:hAnsi="Arial" w:cs="Arial"/>
        </w:rPr>
        <w:t>.</w:t>
      </w:r>
    </w:p>
    <w:p w14:paraId="0C8D4017" w14:textId="77777777" w:rsidR="00763502" w:rsidRPr="00763502" w:rsidRDefault="00651C29" w:rsidP="00763502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Demandado: </w:t>
      </w:r>
      <w:r w:rsidRPr="005B5544">
        <w:rPr>
          <w:rFonts w:ascii="Arial" w:hAnsi="Arial" w:cs="Arial"/>
        </w:rPr>
        <w:tab/>
      </w:r>
      <w:r w:rsidR="00763502" w:rsidRPr="00763502">
        <w:rPr>
          <w:rFonts w:ascii="Arial" w:hAnsi="Arial" w:cs="Arial"/>
        </w:rPr>
        <w:t>LA EQUIDAD SEGUROS GENERALES O.C. Y COINTRASE</w:t>
      </w:r>
    </w:p>
    <w:p w14:paraId="477C1CFE" w14:textId="3695E63C" w:rsidR="00C216C6" w:rsidRDefault="00763502" w:rsidP="00763502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763502">
        <w:rPr>
          <w:rFonts w:ascii="Arial" w:hAnsi="Arial" w:cs="Arial"/>
        </w:rPr>
        <w:t>COOPERATIVA INTEGRAL</w:t>
      </w:r>
      <w:r>
        <w:rPr>
          <w:rFonts w:ascii="Arial" w:hAnsi="Arial" w:cs="Arial"/>
        </w:rPr>
        <w:t>.</w:t>
      </w:r>
    </w:p>
    <w:p w14:paraId="0F387E64" w14:textId="6DF5C7B0" w:rsidR="00BE262C" w:rsidRPr="005B5544" w:rsidRDefault="00AA79F0" w:rsidP="00C216C6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763502">
        <w:rPr>
          <w:rFonts w:ascii="Arial" w:hAnsi="Arial" w:cs="Arial"/>
        </w:rPr>
        <w:t>N/A</w:t>
      </w:r>
    </w:p>
    <w:p w14:paraId="49D4F5D3" w14:textId="3A7D64E0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69145B">
        <w:rPr>
          <w:rFonts w:ascii="Arial" w:hAnsi="Arial" w:cs="Arial"/>
        </w:rPr>
        <w:tab/>
      </w:r>
      <w:r w:rsidR="00763502" w:rsidRPr="00763502">
        <w:rPr>
          <w:rFonts w:ascii="Arial" w:hAnsi="Arial" w:cs="Arial"/>
        </w:rPr>
        <w:t>11001310303320210047600</w:t>
      </w:r>
      <w:r w:rsidR="00763502">
        <w:rPr>
          <w:rFonts w:ascii="Arial" w:hAnsi="Arial" w:cs="Arial"/>
        </w:rPr>
        <w:t>.</w:t>
      </w:r>
    </w:p>
    <w:p w14:paraId="3B082C56" w14:textId="736C1930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6A79B1">
        <w:rPr>
          <w:rFonts w:ascii="Arial" w:hAnsi="Arial" w:cs="Arial"/>
        </w:rPr>
        <w:t xml:space="preserve">           </w:t>
      </w:r>
      <w:r w:rsidR="00763502">
        <w:rPr>
          <w:rFonts w:ascii="Arial" w:hAnsi="Arial" w:cs="Arial"/>
        </w:rPr>
        <w:t xml:space="preserve"> </w:t>
      </w:r>
      <w:r w:rsidR="00763502" w:rsidRPr="00763502">
        <w:rPr>
          <w:rFonts w:ascii="Arial" w:hAnsi="Arial" w:cs="Arial"/>
        </w:rPr>
        <w:t>10074688</w:t>
      </w:r>
      <w:r w:rsidR="00763502">
        <w:rPr>
          <w:rFonts w:ascii="Arial" w:hAnsi="Arial" w:cs="Arial"/>
        </w:rPr>
        <w:t>.</w:t>
      </w:r>
    </w:p>
    <w:p w14:paraId="4399AD3E" w14:textId="686A6181" w:rsidR="00AB71D5" w:rsidRPr="005B5544" w:rsidRDefault="00AB71D5" w:rsidP="00203CEC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621346">
        <w:rPr>
          <w:rFonts w:ascii="Arial" w:hAnsi="Arial" w:cs="Arial"/>
        </w:rPr>
        <w:tab/>
      </w:r>
      <w:r w:rsidR="00763502" w:rsidRPr="00763502">
        <w:rPr>
          <w:rFonts w:ascii="Arial" w:hAnsi="Arial" w:cs="Arial"/>
        </w:rPr>
        <w:t>AA027433</w:t>
      </w:r>
    </w:p>
    <w:p w14:paraId="464A2B16" w14:textId="2C19C8BF" w:rsidR="000D4B55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SGC:                                   </w:t>
      </w:r>
      <w:r w:rsidR="003202D0">
        <w:rPr>
          <w:rFonts w:ascii="Arial" w:hAnsi="Arial" w:cs="Arial"/>
        </w:rPr>
        <w:t xml:space="preserve"> </w:t>
      </w:r>
      <w:r w:rsidR="00763502">
        <w:rPr>
          <w:rFonts w:ascii="Arial" w:hAnsi="Arial" w:cs="Arial"/>
        </w:rPr>
        <w:t xml:space="preserve"> </w:t>
      </w:r>
      <w:r w:rsidR="00763502" w:rsidRPr="00763502">
        <w:rPr>
          <w:rFonts w:ascii="Arial" w:hAnsi="Arial" w:cs="Arial"/>
        </w:rPr>
        <w:t>7955</w:t>
      </w:r>
    </w:p>
    <w:p w14:paraId="2267A898" w14:textId="77777777" w:rsidR="00203CEC" w:rsidRDefault="00203CEC" w:rsidP="005B5544">
      <w:pPr>
        <w:spacing w:after="0" w:line="300" w:lineRule="auto"/>
        <w:jc w:val="both"/>
        <w:rPr>
          <w:rFonts w:ascii="Arial" w:hAnsi="Arial" w:cs="Arial"/>
        </w:rPr>
      </w:pPr>
    </w:p>
    <w:p w14:paraId="3FFBC10C" w14:textId="362080EA" w:rsidR="005749D9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</w:t>
      </w:r>
      <w:r w:rsidR="007A330F">
        <w:rPr>
          <w:rFonts w:ascii="Arial" w:hAnsi="Arial" w:cs="Arial"/>
        </w:rPr>
        <w:t xml:space="preserve"> </w:t>
      </w:r>
      <w:r w:rsidR="00203CEC">
        <w:rPr>
          <w:rFonts w:ascii="Arial" w:hAnsi="Arial" w:cs="Arial"/>
        </w:rPr>
        <w:t xml:space="preserve">AUDIENCIA </w:t>
      </w:r>
      <w:r w:rsidR="00621346">
        <w:rPr>
          <w:rFonts w:ascii="Arial" w:hAnsi="Arial" w:cs="Arial"/>
        </w:rPr>
        <w:t xml:space="preserve">PARA EL </w:t>
      </w:r>
      <w:r w:rsidR="005C3F4C">
        <w:rPr>
          <w:rFonts w:ascii="Arial" w:hAnsi="Arial" w:cs="Arial"/>
        </w:rPr>
        <w:t xml:space="preserve">29 </w:t>
      </w:r>
      <w:r w:rsidR="00621346">
        <w:rPr>
          <w:rFonts w:ascii="Arial" w:hAnsi="Arial" w:cs="Arial"/>
        </w:rPr>
        <w:t xml:space="preserve">DE </w:t>
      </w:r>
      <w:r w:rsidR="005C3F4C">
        <w:rPr>
          <w:rFonts w:ascii="Arial" w:hAnsi="Arial" w:cs="Arial"/>
        </w:rPr>
        <w:t xml:space="preserve">JULIO </w:t>
      </w:r>
      <w:r w:rsidR="00621346">
        <w:rPr>
          <w:rFonts w:ascii="Arial" w:hAnsi="Arial" w:cs="Arial"/>
        </w:rPr>
        <w:t>DE 2024 A LAS 9:</w:t>
      </w:r>
      <w:r w:rsidR="005C3F4C">
        <w:rPr>
          <w:rFonts w:ascii="Arial" w:hAnsi="Arial" w:cs="Arial"/>
        </w:rPr>
        <w:t>0</w:t>
      </w:r>
      <w:r w:rsidR="00621346">
        <w:rPr>
          <w:rFonts w:ascii="Arial" w:hAnsi="Arial" w:cs="Arial"/>
        </w:rPr>
        <w:t>0 A.M.</w:t>
      </w:r>
    </w:p>
    <w:p w14:paraId="06AF42D3" w14:textId="77777777" w:rsidR="00927260" w:rsidRPr="005B5544" w:rsidRDefault="00927260" w:rsidP="005B5544">
      <w:pPr>
        <w:spacing w:after="0" w:line="300" w:lineRule="auto"/>
        <w:jc w:val="both"/>
        <w:rPr>
          <w:rFonts w:ascii="Arial" w:hAnsi="Arial" w:cs="Arial"/>
        </w:rPr>
      </w:pPr>
    </w:p>
    <w:p w14:paraId="7E37921A" w14:textId="5B6EE3CB" w:rsidR="005C3F4C" w:rsidRPr="005C3F4C" w:rsidRDefault="00AB71D5" w:rsidP="005C3F4C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Hechos:</w:t>
      </w:r>
      <w:r w:rsidR="00920B48" w:rsidRPr="005B5544">
        <w:rPr>
          <w:rFonts w:ascii="Arial" w:hAnsi="Arial" w:cs="Arial"/>
        </w:rPr>
        <w:t xml:space="preserve"> </w:t>
      </w:r>
      <w:r w:rsidR="005C3F4C" w:rsidRPr="005C3F4C">
        <w:rPr>
          <w:rFonts w:ascii="Arial" w:hAnsi="Arial" w:cs="Arial"/>
        </w:rPr>
        <w:t>1. El 29 de noviembre de 2017, en la vía que conduce de Turbo, Antioquía</w:t>
      </w:r>
      <w:r w:rsidR="005C3F4C">
        <w:rPr>
          <w:rFonts w:ascii="Arial" w:hAnsi="Arial" w:cs="Arial"/>
        </w:rPr>
        <w:t xml:space="preserve"> </w:t>
      </w:r>
      <w:r w:rsidR="005C3F4C" w:rsidRPr="005C3F4C">
        <w:rPr>
          <w:rFonts w:ascii="Arial" w:hAnsi="Arial" w:cs="Arial"/>
        </w:rPr>
        <w:t>a Chigorodó hubo un accidente de tránsito entre la bicicleta de Hugo Fernel</w:t>
      </w:r>
      <w:r w:rsidR="005C3F4C">
        <w:rPr>
          <w:rFonts w:ascii="Arial" w:hAnsi="Arial" w:cs="Arial"/>
        </w:rPr>
        <w:t xml:space="preserve"> </w:t>
      </w:r>
      <w:r w:rsidR="005C3F4C" w:rsidRPr="005C3F4C">
        <w:rPr>
          <w:rFonts w:ascii="Arial" w:hAnsi="Arial" w:cs="Arial"/>
        </w:rPr>
        <w:t>Taboda y el automotor TOC-379 conducido por Ney James Murillo Cano, de</w:t>
      </w:r>
      <w:r w:rsidR="005C3F4C">
        <w:rPr>
          <w:rFonts w:ascii="Arial" w:hAnsi="Arial" w:cs="Arial"/>
        </w:rPr>
        <w:t xml:space="preserve"> </w:t>
      </w:r>
      <w:r w:rsidR="005C3F4C" w:rsidRPr="005C3F4C">
        <w:rPr>
          <w:rFonts w:ascii="Arial" w:hAnsi="Arial" w:cs="Arial"/>
        </w:rPr>
        <w:t>propiedad de Jaider Ovidio Rueda, afiliada a Cointrase Cooperativa Integral.</w:t>
      </w:r>
    </w:p>
    <w:p w14:paraId="6C7B443F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4EC71B28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2.Hugo Taboda sufrió lesiones físicas como consecuencia del accidente de tránsito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que fueron atendidas en el Hospital Francisco Luis Jiménez Martínez donde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finalmente falleció. </w:t>
      </w:r>
    </w:p>
    <w:p w14:paraId="3B6377E4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50D8E5D9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3. Con ocasión al accidente de tránsito, se adelanta en la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Fiscalía 71, Dirección Seccional de Chigorodó, identificada con el CUI051726000328201780285 por el delito de homicidio culposo.</w:t>
      </w:r>
    </w:p>
    <w:p w14:paraId="2E9ED7E3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3295A935" w14:textId="1ECCF8A2" w:rsidR="005C3F4C" w:rsidRP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4. Con ocasión al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accidente de tránsito, los demandantes presentaron una reclamación en la página</w:t>
      </w:r>
    </w:p>
    <w:p w14:paraId="15C6C5A8" w14:textId="32891FC2" w:rsidR="00086298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web de la Equidad Seguros Generales O.C.</w:t>
      </w:r>
    </w:p>
    <w:p w14:paraId="2196D116" w14:textId="77777777" w:rsidR="00621346" w:rsidRDefault="00621346" w:rsidP="0075182C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5A7979CB" w14:textId="57370064" w:rsidR="00086298" w:rsidRDefault="00AB71D5" w:rsidP="0075182C">
      <w:pPr>
        <w:spacing w:after="0" w:line="300" w:lineRule="auto"/>
        <w:jc w:val="both"/>
        <w:rPr>
          <w:rFonts w:ascii="Arial" w:hAnsi="Arial" w:cs="Arial"/>
          <w:u w:val="single"/>
        </w:rPr>
      </w:pPr>
      <w:r w:rsidRPr="005B5544">
        <w:rPr>
          <w:rFonts w:ascii="Arial" w:hAnsi="Arial" w:cs="Arial"/>
          <w:u w:val="single"/>
        </w:rPr>
        <w:t>Pretensiones</w:t>
      </w:r>
      <w:r w:rsidR="0075182C">
        <w:rPr>
          <w:rFonts w:ascii="Arial" w:hAnsi="Arial" w:cs="Arial"/>
          <w:u w:val="single"/>
        </w:rPr>
        <w:t>:</w:t>
      </w:r>
    </w:p>
    <w:p w14:paraId="0FCBCE4B" w14:textId="7DEC5542" w:rsidR="00203CE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Lucro cesante: $145,533,244 Daño moral: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$454,263,000</w:t>
      </w:r>
    </w:p>
    <w:p w14:paraId="19E8C5C7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76E745B7" w14:textId="707B15F4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Total, de pretensiones: $599.796.244</w:t>
      </w:r>
    </w:p>
    <w:p w14:paraId="3B05DFB2" w14:textId="77777777" w:rsidR="005C3F4C" w:rsidRP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68626BDF" w14:textId="55E7BAEF" w:rsidR="007A330F" w:rsidRDefault="003620DD" w:rsidP="005C3F4C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>Liquidación objetivada de las pretensiones</w:t>
      </w:r>
      <w:r w:rsidRPr="003620DD">
        <w:rPr>
          <w:rFonts w:ascii="Arial" w:hAnsi="Arial" w:cs="Arial"/>
        </w:rPr>
        <w:t>:</w:t>
      </w:r>
      <w:r w:rsidR="0075182C" w:rsidRPr="0075182C">
        <w:rPr>
          <w:rFonts w:ascii="Arial" w:hAnsi="Arial" w:cs="Arial"/>
        </w:rPr>
        <w:t xml:space="preserve"> </w:t>
      </w:r>
      <w:r w:rsidR="005C3F4C" w:rsidRPr="005C3F4C">
        <w:rPr>
          <w:rFonts w:ascii="Arial" w:hAnsi="Arial" w:cs="Arial"/>
        </w:rPr>
        <w:t>Como liquidación objetiva de perjuicios se llegó a $337,466,765. Lo anterior, con</w:t>
      </w:r>
      <w:r w:rsidR="005C3F4C">
        <w:rPr>
          <w:rFonts w:ascii="Arial" w:hAnsi="Arial" w:cs="Arial"/>
        </w:rPr>
        <w:t xml:space="preserve"> </w:t>
      </w:r>
      <w:r w:rsidR="005C3F4C" w:rsidRPr="005C3F4C">
        <w:rPr>
          <w:rFonts w:ascii="Arial" w:hAnsi="Arial" w:cs="Arial"/>
        </w:rPr>
        <w:t>base en los siguientes fundamentos jurídicos:</w:t>
      </w:r>
    </w:p>
    <w:p w14:paraId="015BE28E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75D3BE94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  <w:u w:val="single"/>
        </w:rPr>
        <w:t>LUCRO CESANTE:</w:t>
      </w:r>
      <w:r w:rsidRPr="005C3F4C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Siguiendo los lineamientos de la sentencia SC20950-2017 con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ponencia del </w:t>
      </w:r>
    </w:p>
    <w:p w14:paraId="46B4F3B5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5071F4E1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3FE09EB7" w14:textId="3ECC4ED4" w:rsidR="005C3F4C" w:rsidRP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lastRenderedPageBreak/>
        <w:t>doctor Ariel Salazar Ramírez (12 de diciembre de 2017), ante la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ausencia de acreditación de los ingresos, para la tasación del lucro cesante debe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acogerse el salario mínimo legal mensual vigente. En ese sentido, para aplicar la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fórmula prevista por el alto tribunal se tendrá como ingreso un salario mensual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mínimo legal vigente, como quiera que el extremo actor no acreditó con la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presentación de la demanda el valor de los ingresos del señor Hugo Fernel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Taboada. Ahora bien, en lo que tiene que ver con la dependencia económica de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la señora Carmen </w:t>
      </w:r>
      <w:proofErr w:type="spellStart"/>
      <w:r w:rsidRPr="005C3F4C">
        <w:rPr>
          <w:rFonts w:ascii="Arial" w:hAnsi="Arial" w:cs="Arial"/>
        </w:rPr>
        <w:t>Therán</w:t>
      </w:r>
      <w:proofErr w:type="spellEnd"/>
      <w:r w:rsidRPr="005C3F4C">
        <w:rPr>
          <w:rFonts w:ascii="Arial" w:hAnsi="Arial" w:cs="Arial"/>
        </w:rPr>
        <w:t xml:space="preserve"> respecto del señor Taboada es necesario tener en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consideración lo dicho por el la Corte Suprema de Justicia en sede tutela, al</w:t>
      </w:r>
    </w:p>
    <w:p w14:paraId="11088182" w14:textId="7E3863F3" w:rsidR="005C3F4C" w:rsidRP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determinar en sentencia del 10 de febrero de 2021, con ponencia del doctor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Aroldo Wilson Quiroz Monsalvo que para el cálculo del lucro cesante se debe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presumir la dependencia económica entre el fallecido y su cónyuge, por lo que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bastará con la acreditación del vínculo conyugal. Por tanto, en aplicación a la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fórmula establecida por la Corte Suprema de Justicia y en atención los criterios</w:t>
      </w:r>
    </w:p>
    <w:p w14:paraId="07F5497D" w14:textId="0E5D0689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antes expuestos, el lucro cesante para este caso equivale a $121,833,457.</w:t>
      </w:r>
    </w:p>
    <w:p w14:paraId="6FD6473A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24D61BF4" w14:textId="10D45E10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  <w:u w:val="single"/>
        </w:rPr>
        <w:t>DAÑO MORAL:</w:t>
      </w:r>
      <w:r w:rsidRPr="005C3F4C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Se tomó como daño moral la suma de $60.000.000 para la esposa del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señor Taboada y $60,000,000 para cada uno de los cuatro hijos de la víctima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(Tatiana Taboada, Vanessa Taboada, Fernando Taboada y Hugo Elías Taboada).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Este valor se fijó teniendo en cuenta que la jurisprudencia de la Corte Suprema de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Justicia (Sentencia del 23/05/2018, MP: Aroldo Wilson Quiroz) ha establecido que en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caso de fallecimiento de un familiar de primer grado de consanguinidad o afinidad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se les debe reconocer por daño moral la suma de $60.000.000 a cada uno. En ese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sentido el valor total a título de daño moral corresponde a $300,000,000.</w:t>
      </w:r>
    </w:p>
    <w:p w14:paraId="4EC15350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22887BE2" w14:textId="7867A583" w:rsidR="005C3F4C" w:rsidRP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  <w:u w:val="single"/>
        </w:rPr>
        <w:t>CONCURRENCIA DE CULPAS</w:t>
      </w:r>
      <w:r w:rsidRPr="005C3F4C">
        <w:rPr>
          <w:rFonts w:ascii="Arial" w:hAnsi="Arial" w:cs="Arial"/>
          <w:u w:val="single"/>
        </w:rPr>
        <w:t>:</w:t>
      </w:r>
      <w:r w:rsidRPr="005C3F4C">
        <w:rPr>
          <w:rFonts w:ascii="Arial" w:hAnsi="Arial" w:cs="Arial"/>
        </w:rPr>
        <w:t xml:space="preserve"> Teniendo en cuenta que de las pruebas que obran en el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plenario se pudo acreditar que la víctima se desplazaba en la noche sin hacer uso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de señales luminosas o reflectivas, desconociendo la norma de tránsito, hay una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coparticipación del 20% en la producción del resultado dañoso en cabeza del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señor Hugo Fernel Taboada. Por tanto, el extremo pasivo debe reconocer el 80 %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del valor total de los perjuicios tasados anteriormente.</w:t>
      </w:r>
    </w:p>
    <w:p w14:paraId="26924CC5" w14:textId="77777777" w:rsidR="00621346" w:rsidRDefault="00621346" w:rsidP="00F24B26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277C6F45" w14:textId="2495EC2D" w:rsidR="0034579A" w:rsidRDefault="00F46746" w:rsidP="00F24B26">
      <w:pPr>
        <w:spacing w:after="0" w:line="300" w:lineRule="auto"/>
        <w:jc w:val="both"/>
        <w:rPr>
          <w:rFonts w:ascii="Arial" w:hAnsi="Arial" w:cs="Arial"/>
        </w:rPr>
      </w:pPr>
      <w:r w:rsidRPr="00F46746">
        <w:rPr>
          <w:rFonts w:ascii="Arial" w:hAnsi="Arial" w:cs="Arial"/>
          <w:u w:val="single"/>
        </w:rPr>
        <w:t>Excepciones</w:t>
      </w:r>
      <w:r w:rsidRPr="0069145B">
        <w:rPr>
          <w:rFonts w:ascii="Arial" w:hAnsi="Arial" w:cs="Arial"/>
        </w:rPr>
        <w:t xml:space="preserve">: </w:t>
      </w:r>
    </w:p>
    <w:p w14:paraId="066DD703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  <w:u w:val="single"/>
        </w:rPr>
        <w:t>EXCEPCIONES FRENTE A LA RESPONSABILIDAD:</w:t>
      </w:r>
      <w:r w:rsidRPr="005C3F4C">
        <w:rPr>
          <w:rFonts w:ascii="Arial" w:hAnsi="Arial" w:cs="Arial"/>
        </w:rPr>
        <w:t xml:space="preserve"> </w:t>
      </w:r>
    </w:p>
    <w:p w14:paraId="6E63D668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</w:p>
    <w:p w14:paraId="1A7ABEB2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1. Inexistencia de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responsabilidad como consecuencia del hecho exclusivo de la víctima; </w:t>
      </w:r>
    </w:p>
    <w:p w14:paraId="2A27FE74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2.Inexistencia de responsabilidad a cargo de los demandados por la falta de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acreditación del nexo causal. </w:t>
      </w:r>
    </w:p>
    <w:p w14:paraId="467C4DEE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3. Reducción de la indemnización como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consecuencia de la incidencia de la conducta de la víctima en la producción del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daño. </w:t>
      </w:r>
    </w:p>
    <w:p w14:paraId="3C9F9D38" w14:textId="77777777" w:rsid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 xml:space="preserve">4. Improcedencia del reconocimiento de lucro cesante. </w:t>
      </w:r>
    </w:p>
    <w:p w14:paraId="655250BC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5. Tasación</w:t>
      </w:r>
      <w:r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exorbitante del daño moral. 6. Genérica o innominada. </w:t>
      </w:r>
    </w:p>
    <w:p w14:paraId="132AB74E" w14:textId="77777777" w:rsidR="004A011F" w:rsidRDefault="004A011F" w:rsidP="005C3F4C">
      <w:pPr>
        <w:spacing w:after="0" w:line="300" w:lineRule="auto"/>
        <w:jc w:val="both"/>
        <w:rPr>
          <w:rFonts w:ascii="Arial" w:hAnsi="Arial" w:cs="Arial"/>
        </w:rPr>
      </w:pPr>
    </w:p>
    <w:p w14:paraId="7921AB44" w14:textId="77777777" w:rsidR="004A011F" w:rsidRDefault="004A011F" w:rsidP="005C3F4C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6EEEAE83" w14:textId="77777777" w:rsidR="004A011F" w:rsidRDefault="004A011F" w:rsidP="005C3F4C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6D86928F" w14:textId="77777777" w:rsidR="004A011F" w:rsidRDefault="004A011F" w:rsidP="005C3F4C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36B80DD" w14:textId="5EB175FA" w:rsidR="004A011F" w:rsidRDefault="004A011F" w:rsidP="005C3F4C">
      <w:pPr>
        <w:spacing w:after="0" w:line="300" w:lineRule="auto"/>
        <w:jc w:val="both"/>
        <w:rPr>
          <w:rFonts w:ascii="Arial" w:hAnsi="Arial" w:cs="Arial"/>
        </w:rPr>
      </w:pPr>
      <w:r w:rsidRPr="004A011F">
        <w:rPr>
          <w:rFonts w:ascii="Arial" w:hAnsi="Arial" w:cs="Arial"/>
          <w:u w:val="single"/>
        </w:rPr>
        <w:lastRenderedPageBreak/>
        <w:t>EXCEPCIONES DE CARA AL CONTRATO DE SEGURO:</w:t>
      </w:r>
      <w:r w:rsidRPr="005C3F4C">
        <w:rPr>
          <w:rFonts w:ascii="Arial" w:hAnsi="Arial" w:cs="Arial"/>
        </w:rPr>
        <w:t xml:space="preserve"> </w:t>
      </w:r>
    </w:p>
    <w:p w14:paraId="1F056F69" w14:textId="77777777" w:rsidR="004A011F" w:rsidRDefault="004A011F" w:rsidP="005C3F4C">
      <w:pPr>
        <w:spacing w:after="0" w:line="300" w:lineRule="auto"/>
        <w:jc w:val="both"/>
        <w:rPr>
          <w:rFonts w:ascii="Arial" w:hAnsi="Arial" w:cs="Arial"/>
        </w:rPr>
      </w:pPr>
    </w:p>
    <w:p w14:paraId="0BEEAA3B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1. Inexistencia de obligación de indemnizar por incumplimiento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de las cargas del artículo 1077 del Código de Comercio. </w:t>
      </w:r>
    </w:p>
    <w:p w14:paraId="4F5D17B9" w14:textId="18B15C8C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 xml:space="preserve">2. Prescripción </w:t>
      </w:r>
      <w:r w:rsidR="004A011F" w:rsidRPr="005C3F4C">
        <w:rPr>
          <w:rFonts w:ascii="Arial" w:hAnsi="Arial" w:cs="Arial"/>
        </w:rPr>
        <w:t>ordinaria de</w:t>
      </w:r>
      <w:r w:rsidRPr="005C3F4C">
        <w:rPr>
          <w:rFonts w:ascii="Arial" w:hAnsi="Arial" w:cs="Arial"/>
        </w:rPr>
        <w:t xml:space="preserve"> las acciones derivadas del contrato de seguro. </w:t>
      </w:r>
    </w:p>
    <w:p w14:paraId="10E0DE5F" w14:textId="362A7B77" w:rsidR="005C3F4C" w:rsidRPr="005C3F4C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3. Riesgos expresamente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excluidos en la Póliza No. AA027433. 4. Sujeción a las condiciones particulares y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generales del contrato de seguro, en la que se identifica la Póliza No. AA027433, en</w:t>
      </w:r>
    </w:p>
    <w:p w14:paraId="2B9DDE15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 xml:space="preserve">el clausulado y los amparos. </w:t>
      </w:r>
    </w:p>
    <w:p w14:paraId="5AD0FE35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5. Carácter meramente indemnizatorio que revisten los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contratos de seguros. </w:t>
      </w:r>
    </w:p>
    <w:p w14:paraId="06CF000A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6. En cualquier caso, de ninguna forma se podrá exceder el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límite del valor asegurado. </w:t>
      </w:r>
    </w:p>
    <w:p w14:paraId="01EC3ED7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 xml:space="preserve">7. Disponibilidad del valor asegurado. </w:t>
      </w:r>
    </w:p>
    <w:p w14:paraId="5096D576" w14:textId="77777777" w:rsidR="004A011F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8. En cualquier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 xml:space="preserve">caso, se deberá tener en cuenta del deducible pactado. </w:t>
      </w:r>
    </w:p>
    <w:p w14:paraId="499E7938" w14:textId="0C485D78" w:rsidR="00621346" w:rsidRDefault="005C3F4C" w:rsidP="005C3F4C">
      <w:pPr>
        <w:spacing w:after="0" w:line="300" w:lineRule="auto"/>
        <w:jc w:val="both"/>
        <w:rPr>
          <w:rFonts w:ascii="Arial" w:hAnsi="Arial" w:cs="Arial"/>
        </w:rPr>
      </w:pPr>
      <w:r w:rsidRPr="005C3F4C">
        <w:rPr>
          <w:rFonts w:ascii="Arial" w:hAnsi="Arial" w:cs="Arial"/>
        </w:rPr>
        <w:t>9. Genérica o</w:t>
      </w:r>
      <w:r w:rsidR="004A011F">
        <w:rPr>
          <w:rFonts w:ascii="Arial" w:hAnsi="Arial" w:cs="Arial"/>
        </w:rPr>
        <w:t xml:space="preserve"> </w:t>
      </w:r>
      <w:r w:rsidRPr="005C3F4C">
        <w:rPr>
          <w:rFonts w:ascii="Arial" w:hAnsi="Arial" w:cs="Arial"/>
        </w:rPr>
        <w:t>innominada.</w:t>
      </w:r>
    </w:p>
    <w:p w14:paraId="12CE5010" w14:textId="77777777" w:rsidR="005C3F4C" w:rsidRDefault="005C3F4C" w:rsidP="00621346">
      <w:pPr>
        <w:spacing w:after="0" w:line="300" w:lineRule="auto"/>
        <w:jc w:val="both"/>
        <w:rPr>
          <w:rFonts w:ascii="Arial" w:hAnsi="Arial" w:cs="Arial"/>
        </w:rPr>
      </w:pPr>
    </w:p>
    <w:p w14:paraId="0CA42C25" w14:textId="0093C718" w:rsidR="004A011F" w:rsidRPr="004A011F" w:rsidRDefault="004A011F" w:rsidP="004A011F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CONCEPTO JURÍDICO:</w:t>
      </w:r>
      <w:r w:rsidRPr="005B5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4A011F">
        <w:rPr>
          <w:rFonts w:ascii="Arial" w:hAnsi="Arial" w:cs="Arial"/>
        </w:rPr>
        <w:t>a contingencia se califica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P</w:t>
      </w:r>
      <w:r w:rsidRPr="004A011F">
        <w:rPr>
          <w:rFonts w:ascii="Arial" w:hAnsi="Arial" w:cs="Arial"/>
        </w:rPr>
        <w:t>robable por las siguientes razones: la póliza No. A</w:t>
      </w:r>
      <w:r>
        <w:rPr>
          <w:rFonts w:ascii="Arial" w:hAnsi="Arial" w:cs="Arial"/>
        </w:rPr>
        <w:t>A</w:t>
      </w:r>
      <w:r w:rsidRPr="004A011F">
        <w:rPr>
          <w:rFonts w:ascii="Arial" w:hAnsi="Arial" w:cs="Arial"/>
        </w:rPr>
        <w:t>027433, cuyo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beneficiario es Jaider Ovidio Rueda, presta cobertura material y temporal,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de conformidad con los hechos y pretensiones expuestas en el líbelo de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la demanda. frente a la cobertura temporal, debe señalarse que la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ocurrencia del accidente de tránsito (29 de noviembre de 2017) se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encuentra dentro de la delimitación temporal de la póliza en mención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comprendida desde el 16 de junio de 2017 hasta el 16 de junio de 2018, bajo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la modalidad de ocurrencia. aunado a ello, presta cobertura material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en tanto ampara la responsabilidad civil extracontractual, pretensión</w:t>
      </w:r>
    </w:p>
    <w:p w14:paraId="31659F0C" w14:textId="0FBC7AD2" w:rsidR="004A011F" w:rsidRDefault="004A011F" w:rsidP="004A011F">
      <w:pPr>
        <w:spacing w:after="0" w:line="300" w:lineRule="auto"/>
        <w:jc w:val="both"/>
        <w:rPr>
          <w:rFonts w:ascii="Arial" w:hAnsi="Arial" w:cs="Arial"/>
        </w:rPr>
      </w:pPr>
      <w:r w:rsidRPr="004A011F">
        <w:rPr>
          <w:rFonts w:ascii="Arial" w:hAnsi="Arial" w:cs="Arial"/>
        </w:rPr>
        <w:t>que se le endilga al extremo pasivo. Por otro lado, frente a la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responsabilidad del asegurado, debe decirse que existen elementos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probatorios que acreditan que hubo responsabilidad del conductor del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 xml:space="preserve">vehículo asegurado en la ocurrencia del accidente de tránsito. </w:t>
      </w:r>
    </w:p>
    <w:p w14:paraId="09353DDD" w14:textId="77777777" w:rsidR="004A011F" w:rsidRDefault="004A011F" w:rsidP="004A011F">
      <w:pPr>
        <w:spacing w:after="0" w:line="300" w:lineRule="auto"/>
        <w:jc w:val="both"/>
        <w:rPr>
          <w:rFonts w:ascii="Arial" w:hAnsi="Arial" w:cs="Arial"/>
        </w:rPr>
      </w:pPr>
    </w:p>
    <w:p w14:paraId="349D229D" w14:textId="77777777" w:rsidR="004A011F" w:rsidRDefault="004A011F" w:rsidP="004A011F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A011F">
        <w:rPr>
          <w:rFonts w:ascii="Arial" w:hAnsi="Arial" w:cs="Arial"/>
        </w:rPr>
        <w:t>n el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informe de tránsito se indicó como causa probable del accidente de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tránsito atribuible al señor Ney James Murillo Cano (conductor del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vehículo asegurado), la causal 138, referente a la falta de precaución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del conductor en la conducción del vehículo. por lo anterior, de las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pruebas que obran en el expediente está acreditada la responsabilidad en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>cabeza del vehículo asegurado y por sustracción de materia, también de</w:t>
      </w:r>
      <w:r>
        <w:rPr>
          <w:rFonts w:ascii="Arial" w:hAnsi="Arial" w:cs="Arial"/>
        </w:rPr>
        <w:t xml:space="preserve"> </w:t>
      </w:r>
      <w:r w:rsidRPr="004A011F">
        <w:rPr>
          <w:rFonts w:ascii="Arial" w:hAnsi="Arial" w:cs="Arial"/>
        </w:rPr>
        <w:t xml:space="preserve">la compañía de seguros. </w:t>
      </w:r>
    </w:p>
    <w:p w14:paraId="095C0060" w14:textId="77777777" w:rsidR="004A011F" w:rsidRDefault="004A011F" w:rsidP="004A011F">
      <w:pPr>
        <w:spacing w:after="0" w:line="300" w:lineRule="auto"/>
        <w:jc w:val="both"/>
        <w:rPr>
          <w:rFonts w:ascii="Arial" w:hAnsi="Arial" w:cs="Arial"/>
        </w:rPr>
      </w:pPr>
    </w:p>
    <w:p w14:paraId="4E5D3EF6" w14:textId="778FFD38" w:rsidR="00203CEC" w:rsidRDefault="004A011F" w:rsidP="004A011F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A011F">
        <w:rPr>
          <w:rFonts w:ascii="Arial" w:hAnsi="Arial" w:cs="Arial"/>
        </w:rPr>
        <w:t xml:space="preserve">o anterior, sin perjuicio del </w:t>
      </w:r>
      <w:r>
        <w:rPr>
          <w:rFonts w:ascii="Arial" w:hAnsi="Arial" w:cs="Arial"/>
        </w:rPr>
        <w:t xml:space="preserve">carácter </w:t>
      </w:r>
      <w:r w:rsidRPr="004A011F">
        <w:rPr>
          <w:rFonts w:ascii="Arial" w:hAnsi="Arial" w:cs="Arial"/>
        </w:rPr>
        <w:t>contingente del proceso.</w:t>
      </w:r>
    </w:p>
    <w:p w14:paraId="0C4EA301" w14:textId="77777777" w:rsidR="00621346" w:rsidRDefault="00621346" w:rsidP="00621346">
      <w:pPr>
        <w:spacing w:after="0" w:line="300" w:lineRule="auto"/>
        <w:jc w:val="both"/>
        <w:rPr>
          <w:rFonts w:ascii="Arial" w:hAnsi="Arial" w:cs="Arial"/>
        </w:rPr>
      </w:pPr>
    </w:p>
    <w:p w14:paraId="03BC1155" w14:textId="165FB7B2" w:rsidR="00486713" w:rsidRPr="0075182C" w:rsidRDefault="00E9725F" w:rsidP="000D7F00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4A011F">
        <w:rPr>
          <w:rFonts w:ascii="Arial" w:hAnsi="Arial" w:cs="Arial"/>
        </w:rPr>
        <w:t>PROBABLE</w:t>
      </w:r>
      <w:r w:rsidR="00651C29">
        <w:rPr>
          <w:rFonts w:ascii="Arial" w:hAnsi="Arial" w:cs="Arial"/>
        </w:rPr>
        <w:t>.</w:t>
      </w:r>
    </w:p>
    <w:p w14:paraId="2E90905B" w14:textId="77777777" w:rsidR="00486713" w:rsidRDefault="00486713" w:rsidP="000D7F00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49C26EEC" w14:textId="6E542CC8" w:rsidR="00844923" w:rsidRDefault="00701367" w:rsidP="000E2B67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F46746">
        <w:rPr>
          <w:rFonts w:ascii="Arial" w:hAnsi="Arial" w:cs="Arial"/>
        </w:rPr>
        <w:t xml:space="preserve"> </w:t>
      </w:r>
      <w:bookmarkStart w:id="0" w:name="_Hlk166160725"/>
      <w:bookmarkStart w:id="1" w:name="_Hlk169542377"/>
      <w:r w:rsidR="00361058">
        <w:rPr>
          <w:rFonts w:ascii="Arial" w:hAnsi="Arial" w:cs="Arial"/>
        </w:rPr>
        <w:t>En esta etapa procesal</w:t>
      </w:r>
      <w:r w:rsidR="00203CEC">
        <w:rPr>
          <w:rFonts w:ascii="Arial" w:hAnsi="Arial" w:cs="Arial"/>
        </w:rPr>
        <w:t xml:space="preserve"> </w:t>
      </w:r>
      <w:r w:rsidR="00361058">
        <w:rPr>
          <w:rFonts w:ascii="Arial" w:hAnsi="Arial" w:cs="Arial"/>
        </w:rPr>
        <w:t>sug</w:t>
      </w:r>
      <w:r w:rsidR="006A79B1">
        <w:rPr>
          <w:rFonts w:ascii="Arial" w:hAnsi="Arial" w:cs="Arial"/>
        </w:rPr>
        <w:t xml:space="preserve">erimos </w:t>
      </w:r>
      <w:r w:rsidR="00361058">
        <w:rPr>
          <w:rFonts w:ascii="Arial" w:hAnsi="Arial" w:cs="Arial"/>
        </w:rPr>
        <w:t>a la compañía</w:t>
      </w:r>
      <w:r w:rsidR="0034579A">
        <w:rPr>
          <w:rFonts w:ascii="Arial" w:hAnsi="Arial" w:cs="Arial"/>
        </w:rPr>
        <w:t xml:space="preserve"> </w:t>
      </w:r>
      <w:r w:rsidR="00361058">
        <w:rPr>
          <w:rFonts w:ascii="Arial" w:hAnsi="Arial" w:cs="Arial"/>
        </w:rPr>
        <w:t>asistir</w:t>
      </w:r>
      <w:r w:rsidR="00B70E81">
        <w:rPr>
          <w:rFonts w:ascii="Arial" w:hAnsi="Arial" w:cs="Arial"/>
        </w:rPr>
        <w:t xml:space="preserve"> con </w:t>
      </w:r>
      <w:r w:rsidR="003620DD">
        <w:rPr>
          <w:rFonts w:ascii="Arial" w:hAnsi="Arial" w:cs="Arial"/>
        </w:rPr>
        <w:t>ánimo conciliatorio</w:t>
      </w:r>
      <w:r w:rsidR="006A79B1">
        <w:rPr>
          <w:rFonts w:ascii="Arial" w:hAnsi="Arial" w:cs="Arial"/>
        </w:rPr>
        <w:t xml:space="preserve"> toda</w:t>
      </w:r>
      <w:r w:rsidR="00524430">
        <w:rPr>
          <w:rFonts w:ascii="Arial" w:hAnsi="Arial" w:cs="Arial"/>
        </w:rPr>
        <w:t xml:space="preserve"> vez que, la contingencia se encuentra calificada como</w:t>
      </w:r>
      <w:bookmarkEnd w:id="0"/>
      <w:bookmarkEnd w:id="1"/>
      <w:r w:rsidR="004A011F">
        <w:rPr>
          <w:rFonts w:ascii="Arial" w:hAnsi="Arial" w:cs="Arial"/>
        </w:rPr>
        <w:t xml:space="preserve"> PROBABLE, amablemente solicitamos se nos autorice la suma de $269.973.412</w:t>
      </w:r>
    </w:p>
    <w:p w14:paraId="732C6DAA" w14:textId="77777777" w:rsidR="004A011F" w:rsidRDefault="004A011F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3854006E" w14:textId="2E46F4DC" w:rsidR="008950AB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lastRenderedPageBreak/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C443" w14:textId="77777777" w:rsidR="00621346" w:rsidRDefault="00E459D7" w:rsidP="000D4B55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486713">
              <w:rPr>
                <w:rFonts w:ascii="Arial" w:hAnsi="Arial" w:cs="Arial"/>
                <w:lang w:eastAsia="es-CO"/>
              </w:rPr>
              <w:t>La póliza presta cobertura material y temporal</w:t>
            </w:r>
            <w:r w:rsidR="00621346">
              <w:rPr>
                <w:rFonts w:ascii="Arial" w:hAnsi="Arial" w:cs="Arial"/>
                <w:lang w:eastAsia="es-CO"/>
              </w:rPr>
              <w:t>.</w:t>
            </w:r>
          </w:p>
          <w:p w14:paraId="3FE23CC0" w14:textId="66A4B3FB" w:rsidR="004A011F" w:rsidRPr="005B5544" w:rsidRDefault="004A011F" w:rsidP="004A011F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>
              <w:t xml:space="preserve"> </w:t>
            </w:r>
            <w:r w:rsidRPr="005242E3">
              <w:rPr>
                <w:rFonts w:ascii="Arial" w:hAnsi="Arial" w:cs="Arial"/>
                <w:lang w:eastAsia="es-CO"/>
              </w:rPr>
              <w:t>F</w:t>
            </w:r>
            <w:r w:rsidRPr="004A011F">
              <w:rPr>
                <w:rFonts w:ascii="Arial" w:hAnsi="Arial" w:cs="Arial"/>
                <w:lang w:eastAsia="es-CO"/>
              </w:rPr>
              <w:t>rente a la</w:t>
            </w:r>
            <w:r w:rsidR="005242E3">
              <w:rPr>
                <w:rFonts w:ascii="Arial" w:hAnsi="Arial" w:cs="Arial"/>
                <w:lang w:eastAsia="es-CO"/>
              </w:rPr>
              <w:t xml:space="preserve"> </w:t>
            </w:r>
            <w:r w:rsidRPr="004A011F">
              <w:rPr>
                <w:rFonts w:ascii="Arial" w:hAnsi="Arial" w:cs="Arial"/>
                <w:lang w:eastAsia="es-CO"/>
              </w:rPr>
              <w:t>responsabilidad del asegurado, debe decirse que existen elementos</w:t>
            </w:r>
            <w:r w:rsidR="005242E3">
              <w:rPr>
                <w:rFonts w:ascii="Arial" w:hAnsi="Arial" w:cs="Arial"/>
                <w:lang w:eastAsia="es-CO"/>
              </w:rPr>
              <w:t xml:space="preserve"> </w:t>
            </w:r>
            <w:r w:rsidRPr="004A011F">
              <w:rPr>
                <w:rFonts w:ascii="Arial" w:hAnsi="Arial" w:cs="Arial"/>
                <w:lang w:eastAsia="es-CO"/>
              </w:rPr>
              <w:t>probatorios que acreditan que hubo responsabilidad del conductor del</w:t>
            </w:r>
            <w:r w:rsidR="005242E3">
              <w:rPr>
                <w:rFonts w:ascii="Arial" w:hAnsi="Arial" w:cs="Arial"/>
                <w:lang w:eastAsia="es-CO"/>
              </w:rPr>
              <w:t xml:space="preserve"> </w:t>
            </w:r>
            <w:r w:rsidRPr="004A011F">
              <w:rPr>
                <w:rFonts w:ascii="Arial" w:hAnsi="Arial" w:cs="Arial"/>
                <w:lang w:eastAsia="es-CO"/>
              </w:rPr>
              <w:t>vehículo asegurado en la ocurrencia del accidente de tránsito</w:t>
            </w:r>
            <w:r w:rsidRPr="004A011F"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0A622" w14:textId="5E952819" w:rsidR="00426C6D" w:rsidRDefault="00426C6D" w:rsidP="005A58E8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B70E81">
              <w:rPr>
                <w:rFonts w:ascii="Arial" w:hAnsi="Arial" w:cs="Arial"/>
                <w:lang w:eastAsia="es-CO"/>
              </w:rPr>
              <w:t xml:space="preserve"> </w:t>
            </w:r>
            <w:r w:rsidR="004A011F">
              <w:rPr>
                <w:rFonts w:ascii="Arial" w:hAnsi="Arial" w:cs="Arial"/>
                <w:lang w:eastAsia="es-CO"/>
              </w:rPr>
              <w:t>Llegar a un acuerdo conciliatorio evitando gastos procesales.</w:t>
            </w:r>
          </w:p>
          <w:p w14:paraId="65416987" w14:textId="6397D9AB" w:rsidR="002170EC" w:rsidRPr="005B5544" w:rsidRDefault="002170EC" w:rsidP="000D4B55">
            <w:pPr>
              <w:jc w:val="both"/>
              <w:rPr>
                <w:rFonts w:ascii="Arial" w:hAnsi="Arial" w:cs="Arial"/>
              </w:rPr>
            </w:pP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AC5A1E">
        <w:trPr>
          <w:trHeight w:val="5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C9C97" w14:textId="019CE9D5" w:rsidR="00927260" w:rsidRDefault="0030799B" w:rsidP="00486713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621346">
              <w:rPr>
                <w:rFonts w:ascii="Arial" w:hAnsi="Arial" w:cs="Arial"/>
                <w:lang w:eastAsia="es-CO"/>
              </w:rPr>
              <w:t xml:space="preserve"> </w:t>
            </w:r>
            <w:r w:rsidR="004A011F">
              <w:rPr>
                <w:rFonts w:ascii="Arial" w:hAnsi="Arial" w:cs="Arial"/>
                <w:lang w:eastAsia="es-CO"/>
              </w:rPr>
              <w:t>N/A</w:t>
            </w:r>
          </w:p>
          <w:p w14:paraId="407771E8" w14:textId="68D46B78" w:rsidR="00A671D9" w:rsidRPr="005B5544" w:rsidRDefault="00A671D9" w:rsidP="00A97A3F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2BAEABBD" w14:textId="5757ABBA" w:rsidR="000B14F2" w:rsidRPr="005B5544" w:rsidRDefault="000B14F2" w:rsidP="005B5544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7DE31E0A" w14:textId="10510282" w:rsidR="008C7087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Reserva sugerida</w:t>
      </w:r>
      <w:r w:rsidRPr="005A58E8">
        <w:rPr>
          <w:rFonts w:ascii="Arial" w:hAnsi="Arial" w:cs="Arial"/>
        </w:rPr>
        <w:t>:</w:t>
      </w:r>
      <w:r w:rsidR="005A58E8" w:rsidRPr="005A58E8">
        <w:rPr>
          <w:rFonts w:ascii="Arial" w:hAnsi="Arial" w:cs="Arial"/>
        </w:rPr>
        <w:t xml:space="preserve"> </w:t>
      </w:r>
      <w:r w:rsidR="00844923" w:rsidRPr="00C86240">
        <w:rPr>
          <w:rFonts w:ascii="Arial" w:hAnsi="Arial" w:cs="Arial"/>
          <w:bCs/>
          <w:color w:val="000000" w:themeColor="text1"/>
        </w:rPr>
        <w:t>$</w:t>
      </w:r>
      <w:r w:rsidR="004A011F">
        <w:rPr>
          <w:rFonts w:ascii="Arial" w:hAnsi="Arial" w:cs="Arial"/>
        </w:rPr>
        <w:t>337.466.765.</w:t>
      </w:r>
    </w:p>
    <w:p w14:paraId="638A1A1E" w14:textId="77777777" w:rsidR="00637DC2" w:rsidRDefault="00637DC2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1CB4EA38" w:rsidR="005B5544" w:rsidRPr="005B5544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1011C8A7" w14:textId="289A379A" w:rsidR="00B917A2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  <w:r w:rsidR="00B917A2" w:rsidRPr="005B5544">
        <w:rPr>
          <w:rFonts w:ascii="Arial" w:hAnsi="Arial" w:cs="Arial"/>
        </w:rPr>
        <w:br/>
      </w:r>
    </w:p>
    <w:sectPr w:rsidR="00B917A2" w:rsidRPr="005B5544" w:rsidSect="00C40588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2910" w14:textId="77777777" w:rsidR="00D25972" w:rsidRDefault="00D25972" w:rsidP="00BD7CB0">
      <w:r>
        <w:separator/>
      </w:r>
    </w:p>
  </w:endnote>
  <w:endnote w:type="continuationSeparator" w:id="0">
    <w:p w14:paraId="582B1CE9" w14:textId="77777777" w:rsidR="00D25972" w:rsidRDefault="00D25972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6258" w14:textId="77777777" w:rsidR="00D25972" w:rsidRDefault="00D25972" w:rsidP="00BD7CB0">
      <w:r>
        <w:separator/>
      </w:r>
    </w:p>
  </w:footnote>
  <w:footnote w:type="continuationSeparator" w:id="0">
    <w:p w14:paraId="1E45768A" w14:textId="77777777" w:rsidR="00D25972" w:rsidRDefault="00D25972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4D2"/>
    <w:multiLevelType w:val="hybridMultilevel"/>
    <w:tmpl w:val="A2F2AD5C"/>
    <w:lvl w:ilvl="0" w:tplc="6AACE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F0E2F"/>
    <w:multiLevelType w:val="hybridMultilevel"/>
    <w:tmpl w:val="435C92C6"/>
    <w:lvl w:ilvl="0" w:tplc="DDFED5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31DE"/>
    <w:multiLevelType w:val="hybridMultilevel"/>
    <w:tmpl w:val="E5802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499C"/>
    <w:multiLevelType w:val="hybridMultilevel"/>
    <w:tmpl w:val="B10ED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32D4F"/>
    <w:multiLevelType w:val="hybridMultilevel"/>
    <w:tmpl w:val="474825D4"/>
    <w:lvl w:ilvl="0" w:tplc="259AE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3847"/>
    <w:multiLevelType w:val="hybridMultilevel"/>
    <w:tmpl w:val="EE7CB298"/>
    <w:lvl w:ilvl="0" w:tplc="16DA12C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7EEE"/>
    <w:multiLevelType w:val="hybridMultilevel"/>
    <w:tmpl w:val="2244CE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F141F"/>
    <w:multiLevelType w:val="hybridMultilevel"/>
    <w:tmpl w:val="76A28A72"/>
    <w:lvl w:ilvl="0" w:tplc="45C87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E43"/>
    <w:multiLevelType w:val="hybridMultilevel"/>
    <w:tmpl w:val="119A81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63E9"/>
    <w:multiLevelType w:val="hybridMultilevel"/>
    <w:tmpl w:val="68DAD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6141C"/>
    <w:multiLevelType w:val="hybridMultilevel"/>
    <w:tmpl w:val="19FA09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015D2"/>
    <w:multiLevelType w:val="hybridMultilevel"/>
    <w:tmpl w:val="07FEE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F74A2"/>
    <w:multiLevelType w:val="hybridMultilevel"/>
    <w:tmpl w:val="64A2F30E"/>
    <w:lvl w:ilvl="0" w:tplc="B336ADB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D32F8"/>
    <w:multiLevelType w:val="hybridMultilevel"/>
    <w:tmpl w:val="2D86E3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F10FA6"/>
    <w:multiLevelType w:val="hybridMultilevel"/>
    <w:tmpl w:val="493CF812"/>
    <w:lvl w:ilvl="0" w:tplc="EE3C36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01C6C"/>
    <w:multiLevelType w:val="hybridMultilevel"/>
    <w:tmpl w:val="29EC8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B4C9A"/>
    <w:multiLevelType w:val="hybridMultilevel"/>
    <w:tmpl w:val="445E2768"/>
    <w:lvl w:ilvl="0" w:tplc="EF4CF8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7A1D"/>
    <w:multiLevelType w:val="hybridMultilevel"/>
    <w:tmpl w:val="EBD26ECA"/>
    <w:lvl w:ilvl="0" w:tplc="66C28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0304E"/>
    <w:multiLevelType w:val="hybridMultilevel"/>
    <w:tmpl w:val="F79EF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55EA3"/>
    <w:multiLevelType w:val="multilevel"/>
    <w:tmpl w:val="1E0C31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244669"/>
    <w:multiLevelType w:val="hybridMultilevel"/>
    <w:tmpl w:val="FA3C94EC"/>
    <w:lvl w:ilvl="0" w:tplc="939AF7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1ED"/>
    <w:multiLevelType w:val="hybridMultilevel"/>
    <w:tmpl w:val="1270C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26"/>
  </w:num>
  <w:num w:numId="2" w16cid:durableId="854726758">
    <w:abstractNumId w:val="30"/>
  </w:num>
  <w:num w:numId="3" w16cid:durableId="59139337">
    <w:abstractNumId w:val="2"/>
  </w:num>
  <w:num w:numId="4" w16cid:durableId="1019501727">
    <w:abstractNumId w:val="9"/>
  </w:num>
  <w:num w:numId="5" w16cid:durableId="595676225">
    <w:abstractNumId w:val="32"/>
  </w:num>
  <w:num w:numId="6" w16cid:durableId="1118064355">
    <w:abstractNumId w:val="19"/>
  </w:num>
  <w:num w:numId="7" w16cid:durableId="1274479770">
    <w:abstractNumId w:val="35"/>
  </w:num>
  <w:num w:numId="8" w16cid:durableId="1656106217">
    <w:abstractNumId w:val="36"/>
  </w:num>
  <w:num w:numId="9" w16cid:durableId="841045237">
    <w:abstractNumId w:val="5"/>
  </w:num>
  <w:num w:numId="10" w16cid:durableId="1417048084">
    <w:abstractNumId w:val="21"/>
  </w:num>
  <w:num w:numId="11" w16cid:durableId="1257060149">
    <w:abstractNumId w:val="10"/>
  </w:num>
  <w:num w:numId="12" w16cid:durableId="205989453">
    <w:abstractNumId w:val="24"/>
  </w:num>
  <w:num w:numId="13" w16cid:durableId="1195774094">
    <w:abstractNumId w:val="18"/>
  </w:num>
  <w:num w:numId="14" w16cid:durableId="1515025379">
    <w:abstractNumId w:val="14"/>
  </w:num>
  <w:num w:numId="15" w16cid:durableId="2138795803">
    <w:abstractNumId w:val="16"/>
  </w:num>
  <w:num w:numId="16" w16cid:durableId="1720931604">
    <w:abstractNumId w:val="12"/>
  </w:num>
  <w:num w:numId="17" w16cid:durableId="937520860">
    <w:abstractNumId w:val="4"/>
  </w:num>
  <w:num w:numId="18" w16cid:durableId="1116757594">
    <w:abstractNumId w:val="25"/>
  </w:num>
  <w:num w:numId="19" w16cid:durableId="488909189">
    <w:abstractNumId w:val="43"/>
  </w:num>
  <w:num w:numId="20" w16cid:durableId="1428500434">
    <w:abstractNumId w:val="11"/>
  </w:num>
  <w:num w:numId="21" w16cid:durableId="1224099790">
    <w:abstractNumId w:val="17"/>
  </w:num>
  <w:num w:numId="22" w16cid:durableId="772749291">
    <w:abstractNumId w:val="29"/>
  </w:num>
  <w:num w:numId="23" w16cid:durableId="905840265">
    <w:abstractNumId w:val="33"/>
  </w:num>
  <w:num w:numId="24" w16cid:durableId="1436899050">
    <w:abstractNumId w:val="34"/>
  </w:num>
  <w:num w:numId="25" w16cid:durableId="341708904">
    <w:abstractNumId w:val="42"/>
  </w:num>
  <w:num w:numId="26" w16cid:durableId="260068357">
    <w:abstractNumId w:val="27"/>
  </w:num>
  <w:num w:numId="27" w16cid:durableId="46422195">
    <w:abstractNumId w:val="20"/>
  </w:num>
  <w:num w:numId="28" w16cid:durableId="2136750006">
    <w:abstractNumId w:val="8"/>
  </w:num>
  <w:num w:numId="29" w16cid:durableId="127477155">
    <w:abstractNumId w:val="13"/>
  </w:num>
  <w:num w:numId="30" w16cid:durableId="1385300191">
    <w:abstractNumId w:val="15"/>
  </w:num>
  <w:num w:numId="31" w16cid:durableId="942106191">
    <w:abstractNumId w:val="38"/>
  </w:num>
  <w:num w:numId="32" w16cid:durableId="1435369956">
    <w:abstractNumId w:val="22"/>
  </w:num>
  <w:num w:numId="33" w16cid:durableId="293408388">
    <w:abstractNumId w:val="7"/>
  </w:num>
  <w:num w:numId="34" w16cid:durableId="2081173915">
    <w:abstractNumId w:val="41"/>
  </w:num>
  <w:num w:numId="35" w16cid:durableId="996962356">
    <w:abstractNumId w:val="6"/>
  </w:num>
  <w:num w:numId="36" w16cid:durableId="976493866">
    <w:abstractNumId w:val="31"/>
  </w:num>
  <w:num w:numId="37" w16cid:durableId="1250851454">
    <w:abstractNumId w:val="39"/>
  </w:num>
  <w:num w:numId="38" w16cid:durableId="421142198">
    <w:abstractNumId w:val="28"/>
  </w:num>
  <w:num w:numId="39" w16cid:durableId="265429845">
    <w:abstractNumId w:val="0"/>
  </w:num>
  <w:num w:numId="40" w16cid:durableId="1764914817">
    <w:abstractNumId w:val="23"/>
  </w:num>
  <w:num w:numId="41" w16cid:durableId="2136098940">
    <w:abstractNumId w:val="37"/>
  </w:num>
  <w:num w:numId="42" w16cid:durableId="299770574">
    <w:abstractNumId w:val="3"/>
  </w:num>
  <w:num w:numId="43" w16cid:durableId="1228106658">
    <w:abstractNumId w:val="1"/>
  </w:num>
  <w:num w:numId="44" w16cid:durableId="14224847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2F28"/>
    <w:rsid w:val="00026BC7"/>
    <w:rsid w:val="0003158B"/>
    <w:rsid w:val="000349B1"/>
    <w:rsid w:val="00040243"/>
    <w:rsid w:val="00041AD4"/>
    <w:rsid w:val="00044B96"/>
    <w:rsid w:val="000578C9"/>
    <w:rsid w:val="00057CBF"/>
    <w:rsid w:val="00070FD8"/>
    <w:rsid w:val="00086298"/>
    <w:rsid w:val="000B14F2"/>
    <w:rsid w:val="000B2CD4"/>
    <w:rsid w:val="000C3B73"/>
    <w:rsid w:val="000D435D"/>
    <w:rsid w:val="000D4B55"/>
    <w:rsid w:val="000D7F00"/>
    <w:rsid w:val="000E2B67"/>
    <w:rsid w:val="000E45A1"/>
    <w:rsid w:val="000F0FD1"/>
    <w:rsid w:val="00101AB0"/>
    <w:rsid w:val="00112C82"/>
    <w:rsid w:val="00113262"/>
    <w:rsid w:val="00121436"/>
    <w:rsid w:val="001548D5"/>
    <w:rsid w:val="00177AEB"/>
    <w:rsid w:val="0018684A"/>
    <w:rsid w:val="001870EC"/>
    <w:rsid w:val="00196DE8"/>
    <w:rsid w:val="001A2216"/>
    <w:rsid w:val="001C07E9"/>
    <w:rsid w:val="001C3D00"/>
    <w:rsid w:val="001C5D35"/>
    <w:rsid w:val="001D794A"/>
    <w:rsid w:val="001E0E48"/>
    <w:rsid w:val="001E5AC1"/>
    <w:rsid w:val="001F3425"/>
    <w:rsid w:val="001F3D16"/>
    <w:rsid w:val="001F3D46"/>
    <w:rsid w:val="00203CEC"/>
    <w:rsid w:val="002051D6"/>
    <w:rsid w:val="00207DA4"/>
    <w:rsid w:val="0021139A"/>
    <w:rsid w:val="00214556"/>
    <w:rsid w:val="00215D80"/>
    <w:rsid w:val="002170EC"/>
    <w:rsid w:val="00221B3E"/>
    <w:rsid w:val="00226FFA"/>
    <w:rsid w:val="00243229"/>
    <w:rsid w:val="002530A6"/>
    <w:rsid w:val="00255567"/>
    <w:rsid w:val="0027106A"/>
    <w:rsid w:val="00271FA3"/>
    <w:rsid w:val="00276793"/>
    <w:rsid w:val="002B05BB"/>
    <w:rsid w:val="002C273C"/>
    <w:rsid w:val="002C4C61"/>
    <w:rsid w:val="002D50E5"/>
    <w:rsid w:val="002D64E4"/>
    <w:rsid w:val="002E1458"/>
    <w:rsid w:val="002E4A78"/>
    <w:rsid w:val="002E4BBB"/>
    <w:rsid w:val="0030799B"/>
    <w:rsid w:val="003106E1"/>
    <w:rsid w:val="003202D0"/>
    <w:rsid w:val="003219AA"/>
    <w:rsid w:val="0034579A"/>
    <w:rsid w:val="00354ED6"/>
    <w:rsid w:val="00361058"/>
    <w:rsid w:val="00361D9E"/>
    <w:rsid w:val="003620DD"/>
    <w:rsid w:val="00362D78"/>
    <w:rsid w:val="00386795"/>
    <w:rsid w:val="003928C0"/>
    <w:rsid w:val="003B7E3F"/>
    <w:rsid w:val="003D2B01"/>
    <w:rsid w:val="003D7324"/>
    <w:rsid w:val="003D79E1"/>
    <w:rsid w:val="003D7CB1"/>
    <w:rsid w:val="003E3BED"/>
    <w:rsid w:val="003E536D"/>
    <w:rsid w:val="003F187D"/>
    <w:rsid w:val="003F4CBD"/>
    <w:rsid w:val="0040706F"/>
    <w:rsid w:val="004108A6"/>
    <w:rsid w:val="00411419"/>
    <w:rsid w:val="00426C6D"/>
    <w:rsid w:val="00427369"/>
    <w:rsid w:val="00443D23"/>
    <w:rsid w:val="004616F6"/>
    <w:rsid w:val="00481A98"/>
    <w:rsid w:val="0048493B"/>
    <w:rsid w:val="00486713"/>
    <w:rsid w:val="004929AE"/>
    <w:rsid w:val="0049605A"/>
    <w:rsid w:val="00497E5D"/>
    <w:rsid w:val="004A011F"/>
    <w:rsid w:val="004A2E9A"/>
    <w:rsid w:val="004A660F"/>
    <w:rsid w:val="004A7449"/>
    <w:rsid w:val="004A7705"/>
    <w:rsid w:val="004A79D0"/>
    <w:rsid w:val="004B15AB"/>
    <w:rsid w:val="004B1E00"/>
    <w:rsid w:val="004B5518"/>
    <w:rsid w:val="004C7CF4"/>
    <w:rsid w:val="004E06A9"/>
    <w:rsid w:val="004E6345"/>
    <w:rsid w:val="004F633B"/>
    <w:rsid w:val="00501144"/>
    <w:rsid w:val="005074B3"/>
    <w:rsid w:val="005120B8"/>
    <w:rsid w:val="0051448E"/>
    <w:rsid w:val="00523877"/>
    <w:rsid w:val="005242E3"/>
    <w:rsid w:val="00524430"/>
    <w:rsid w:val="00543A7A"/>
    <w:rsid w:val="0054613D"/>
    <w:rsid w:val="00551ADE"/>
    <w:rsid w:val="005717CB"/>
    <w:rsid w:val="00573FE6"/>
    <w:rsid w:val="005749D9"/>
    <w:rsid w:val="00581BFD"/>
    <w:rsid w:val="00584A72"/>
    <w:rsid w:val="00594529"/>
    <w:rsid w:val="00596193"/>
    <w:rsid w:val="005A290A"/>
    <w:rsid w:val="005A356D"/>
    <w:rsid w:val="005A58E8"/>
    <w:rsid w:val="005B5544"/>
    <w:rsid w:val="005B6BAB"/>
    <w:rsid w:val="005C34C4"/>
    <w:rsid w:val="005C3F4C"/>
    <w:rsid w:val="005E324E"/>
    <w:rsid w:val="005F2D6E"/>
    <w:rsid w:val="005F511C"/>
    <w:rsid w:val="00602A00"/>
    <w:rsid w:val="00611C20"/>
    <w:rsid w:val="00621346"/>
    <w:rsid w:val="00626A56"/>
    <w:rsid w:val="006317C7"/>
    <w:rsid w:val="00637DC2"/>
    <w:rsid w:val="006466ED"/>
    <w:rsid w:val="00651C29"/>
    <w:rsid w:val="0065426F"/>
    <w:rsid w:val="00655776"/>
    <w:rsid w:val="00681CA4"/>
    <w:rsid w:val="0068568E"/>
    <w:rsid w:val="0069145B"/>
    <w:rsid w:val="0069688D"/>
    <w:rsid w:val="006A1DAD"/>
    <w:rsid w:val="006A3BC5"/>
    <w:rsid w:val="006A79B1"/>
    <w:rsid w:val="006A7D37"/>
    <w:rsid w:val="006B3933"/>
    <w:rsid w:val="006B5991"/>
    <w:rsid w:val="006B64E4"/>
    <w:rsid w:val="006D479D"/>
    <w:rsid w:val="006E264E"/>
    <w:rsid w:val="006F3292"/>
    <w:rsid w:val="00701367"/>
    <w:rsid w:val="00702E65"/>
    <w:rsid w:val="007113C4"/>
    <w:rsid w:val="00716D7A"/>
    <w:rsid w:val="00717D29"/>
    <w:rsid w:val="0072162B"/>
    <w:rsid w:val="00731B47"/>
    <w:rsid w:val="00750166"/>
    <w:rsid w:val="0075182C"/>
    <w:rsid w:val="007541EA"/>
    <w:rsid w:val="00755A51"/>
    <w:rsid w:val="00761697"/>
    <w:rsid w:val="00763502"/>
    <w:rsid w:val="00765E7B"/>
    <w:rsid w:val="00767B9C"/>
    <w:rsid w:val="00770542"/>
    <w:rsid w:val="00776464"/>
    <w:rsid w:val="007820E0"/>
    <w:rsid w:val="007900C8"/>
    <w:rsid w:val="0079207F"/>
    <w:rsid w:val="007948D6"/>
    <w:rsid w:val="00796577"/>
    <w:rsid w:val="00796BA3"/>
    <w:rsid w:val="007A0A3C"/>
    <w:rsid w:val="007A330F"/>
    <w:rsid w:val="007A3A55"/>
    <w:rsid w:val="007A48A8"/>
    <w:rsid w:val="007A6BE9"/>
    <w:rsid w:val="007C4E6C"/>
    <w:rsid w:val="007D232D"/>
    <w:rsid w:val="007D5B13"/>
    <w:rsid w:val="007D6320"/>
    <w:rsid w:val="007F5A33"/>
    <w:rsid w:val="007F7226"/>
    <w:rsid w:val="00804A58"/>
    <w:rsid w:val="00814688"/>
    <w:rsid w:val="00815B77"/>
    <w:rsid w:val="00823CD6"/>
    <w:rsid w:val="0083043D"/>
    <w:rsid w:val="008363C2"/>
    <w:rsid w:val="00844923"/>
    <w:rsid w:val="0085509D"/>
    <w:rsid w:val="0085701A"/>
    <w:rsid w:val="008651E6"/>
    <w:rsid w:val="00867EFB"/>
    <w:rsid w:val="00876880"/>
    <w:rsid w:val="00880497"/>
    <w:rsid w:val="008870BB"/>
    <w:rsid w:val="00887BF9"/>
    <w:rsid w:val="008924A3"/>
    <w:rsid w:val="008938A2"/>
    <w:rsid w:val="008950AB"/>
    <w:rsid w:val="008974D2"/>
    <w:rsid w:val="008A1E34"/>
    <w:rsid w:val="008B5DA4"/>
    <w:rsid w:val="008C7087"/>
    <w:rsid w:val="008D545A"/>
    <w:rsid w:val="008E4A24"/>
    <w:rsid w:val="008E5A95"/>
    <w:rsid w:val="008F089E"/>
    <w:rsid w:val="008F1A9F"/>
    <w:rsid w:val="008F684E"/>
    <w:rsid w:val="00913484"/>
    <w:rsid w:val="00914D80"/>
    <w:rsid w:val="00920B48"/>
    <w:rsid w:val="00921BD6"/>
    <w:rsid w:val="00925BFD"/>
    <w:rsid w:val="00927260"/>
    <w:rsid w:val="00933615"/>
    <w:rsid w:val="00937F13"/>
    <w:rsid w:val="00941327"/>
    <w:rsid w:val="00943E73"/>
    <w:rsid w:val="009507B5"/>
    <w:rsid w:val="00950B6F"/>
    <w:rsid w:val="00956C43"/>
    <w:rsid w:val="00971213"/>
    <w:rsid w:val="00973F3A"/>
    <w:rsid w:val="00974AA5"/>
    <w:rsid w:val="00975F0C"/>
    <w:rsid w:val="00983C1D"/>
    <w:rsid w:val="009B3DB8"/>
    <w:rsid w:val="009B7043"/>
    <w:rsid w:val="009D43A2"/>
    <w:rsid w:val="009E0454"/>
    <w:rsid w:val="009E2816"/>
    <w:rsid w:val="009E75FB"/>
    <w:rsid w:val="009F3B5E"/>
    <w:rsid w:val="00A076B6"/>
    <w:rsid w:val="00A22812"/>
    <w:rsid w:val="00A23A61"/>
    <w:rsid w:val="00A51577"/>
    <w:rsid w:val="00A5481C"/>
    <w:rsid w:val="00A671D9"/>
    <w:rsid w:val="00A70CCC"/>
    <w:rsid w:val="00A80A1B"/>
    <w:rsid w:val="00A8426F"/>
    <w:rsid w:val="00A94329"/>
    <w:rsid w:val="00A97A3F"/>
    <w:rsid w:val="00AA658B"/>
    <w:rsid w:val="00AA79F0"/>
    <w:rsid w:val="00AB3544"/>
    <w:rsid w:val="00AB5728"/>
    <w:rsid w:val="00AB71D5"/>
    <w:rsid w:val="00AC735C"/>
    <w:rsid w:val="00AD41A7"/>
    <w:rsid w:val="00AD6D62"/>
    <w:rsid w:val="00AE4843"/>
    <w:rsid w:val="00AE7593"/>
    <w:rsid w:val="00AF0F1D"/>
    <w:rsid w:val="00AF2FA1"/>
    <w:rsid w:val="00AF32BD"/>
    <w:rsid w:val="00B1621D"/>
    <w:rsid w:val="00B17FA2"/>
    <w:rsid w:val="00B2457A"/>
    <w:rsid w:val="00B41E5C"/>
    <w:rsid w:val="00B565F0"/>
    <w:rsid w:val="00B62C39"/>
    <w:rsid w:val="00B658DD"/>
    <w:rsid w:val="00B70E81"/>
    <w:rsid w:val="00B917A2"/>
    <w:rsid w:val="00BA45DA"/>
    <w:rsid w:val="00BA7118"/>
    <w:rsid w:val="00BB73C1"/>
    <w:rsid w:val="00BC65D2"/>
    <w:rsid w:val="00BD7CB0"/>
    <w:rsid w:val="00BE262C"/>
    <w:rsid w:val="00BE3E44"/>
    <w:rsid w:val="00BF6259"/>
    <w:rsid w:val="00C01ACF"/>
    <w:rsid w:val="00C17EB8"/>
    <w:rsid w:val="00C216C6"/>
    <w:rsid w:val="00C22656"/>
    <w:rsid w:val="00C40588"/>
    <w:rsid w:val="00C5620A"/>
    <w:rsid w:val="00C57F2D"/>
    <w:rsid w:val="00C63177"/>
    <w:rsid w:val="00C708B0"/>
    <w:rsid w:val="00C743C2"/>
    <w:rsid w:val="00C815A3"/>
    <w:rsid w:val="00C81F99"/>
    <w:rsid w:val="00CB47FD"/>
    <w:rsid w:val="00CB6906"/>
    <w:rsid w:val="00CC3852"/>
    <w:rsid w:val="00CC6B26"/>
    <w:rsid w:val="00CD5601"/>
    <w:rsid w:val="00CF490A"/>
    <w:rsid w:val="00CF5FC8"/>
    <w:rsid w:val="00CF7FD2"/>
    <w:rsid w:val="00D03B7A"/>
    <w:rsid w:val="00D17EEE"/>
    <w:rsid w:val="00D20639"/>
    <w:rsid w:val="00D25972"/>
    <w:rsid w:val="00D632C3"/>
    <w:rsid w:val="00D632E4"/>
    <w:rsid w:val="00D65016"/>
    <w:rsid w:val="00D7399D"/>
    <w:rsid w:val="00D76136"/>
    <w:rsid w:val="00D77D67"/>
    <w:rsid w:val="00D90770"/>
    <w:rsid w:val="00DA4671"/>
    <w:rsid w:val="00DB0F22"/>
    <w:rsid w:val="00DB1822"/>
    <w:rsid w:val="00DB3108"/>
    <w:rsid w:val="00DB6280"/>
    <w:rsid w:val="00DB74ED"/>
    <w:rsid w:val="00DC482F"/>
    <w:rsid w:val="00DC54B7"/>
    <w:rsid w:val="00DD1551"/>
    <w:rsid w:val="00DD15AD"/>
    <w:rsid w:val="00DD2BC7"/>
    <w:rsid w:val="00DE2408"/>
    <w:rsid w:val="00DF67D9"/>
    <w:rsid w:val="00E014DF"/>
    <w:rsid w:val="00E32683"/>
    <w:rsid w:val="00E34E7A"/>
    <w:rsid w:val="00E376C8"/>
    <w:rsid w:val="00E459D7"/>
    <w:rsid w:val="00E51ABA"/>
    <w:rsid w:val="00E70C1D"/>
    <w:rsid w:val="00E754D8"/>
    <w:rsid w:val="00E87AF8"/>
    <w:rsid w:val="00E90BF2"/>
    <w:rsid w:val="00E9725F"/>
    <w:rsid w:val="00EA3230"/>
    <w:rsid w:val="00EB3392"/>
    <w:rsid w:val="00EB6861"/>
    <w:rsid w:val="00EC311F"/>
    <w:rsid w:val="00ED7E05"/>
    <w:rsid w:val="00EE10AE"/>
    <w:rsid w:val="00EE736E"/>
    <w:rsid w:val="00EF2730"/>
    <w:rsid w:val="00EF6B0F"/>
    <w:rsid w:val="00F024E6"/>
    <w:rsid w:val="00F117A6"/>
    <w:rsid w:val="00F13D61"/>
    <w:rsid w:val="00F24B26"/>
    <w:rsid w:val="00F25D56"/>
    <w:rsid w:val="00F46746"/>
    <w:rsid w:val="00F46941"/>
    <w:rsid w:val="00F475FB"/>
    <w:rsid w:val="00F506C3"/>
    <w:rsid w:val="00F52D29"/>
    <w:rsid w:val="00F71FC8"/>
    <w:rsid w:val="00F760ED"/>
    <w:rsid w:val="00F94477"/>
    <w:rsid w:val="00FA45F7"/>
    <w:rsid w:val="00FC6171"/>
    <w:rsid w:val="00FC6D11"/>
    <w:rsid w:val="00FD6651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086298"/>
    <w:rPr>
      <w:rFonts w:ascii="Century Gothic" w:hAnsi="Century Gothic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BE214-AAC8-4596-A009-253E78AB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customXml/itemProps4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Joseph  pinto</cp:lastModifiedBy>
  <cp:revision>2</cp:revision>
  <cp:lastPrinted>2022-01-16T05:49:00Z</cp:lastPrinted>
  <dcterms:created xsi:type="dcterms:W3CDTF">2024-07-02T16:35:00Z</dcterms:created>
  <dcterms:modified xsi:type="dcterms:W3CDTF">2024-07-02T16:35:00Z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