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57A" w:rsidRPr="00F6057A" w:rsidRDefault="00F6057A" w:rsidP="00F6057A">
      <w:pPr>
        <w:pStyle w:val="NormalWeb"/>
        <w:shd w:val="clear" w:color="auto" w:fill="FFFFFF"/>
        <w:spacing w:before="0" w:beforeAutospacing="0" w:after="0" w:afterAutospacing="0"/>
        <w:ind w:left="851" w:right="51"/>
        <w:jc w:val="both"/>
        <w:rPr>
          <w:rFonts w:ascii="Arial" w:hAnsi="Arial" w:cs="Arial"/>
          <w:color w:val="2D2D2D"/>
          <w:shd w:val="clear" w:color="auto" w:fill="FFFFFF"/>
        </w:rPr>
      </w:pPr>
      <w:r w:rsidRPr="00F6057A">
        <w:rPr>
          <w:rFonts w:ascii="Arial" w:hAnsi="Arial" w:cs="Arial"/>
          <w:color w:val="2D2D2D"/>
        </w:rPr>
        <w:t xml:space="preserve">Referencia: </w:t>
      </w:r>
      <w:r w:rsidRPr="00F6057A">
        <w:rPr>
          <w:rFonts w:ascii="Arial" w:hAnsi="Arial" w:cs="Arial"/>
          <w:b/>
          <w:color w:val="2D2D2D"/>
        </w:rPr>
        <w:t>Expediente T-6.086.017</w:t>
      </w:r>
      <w:r w:rsidRPr="00F6057A">
        <w:rPr>
          <w:rFonts w:ascii="Arial" w:hAnsi="Arial" w:cs="Arial"/>
          <w:color w:val="2D2D2D"/>
        </w:rPr>
        <w:t xml:space="preserve"> - Acción de tutela presentada por Adriana María Ruiz Santana contra el </w:t>
      </w:r>
      <w:r w:rsidRPr="00F6057A">
        <w:rPr>
          <w:rFonts w:ascii="Arial" w:hAnsi="Arial" w:cs="Arial"/>
          <w:b/>
          <w:color w:val="2D2D2D"/>
        </w:rPr>
        <w:t>BANCO BBVA COLOMBIA S.A., AECSA ABOGADOS ESPECIALIZADOS EN COBRANZA S.A., BANCO BBVA SEGUROS</w:t>
      </w:r>
      <w:r w:rsidRPr="00F6057A">
        <w:rPr>
          <w:rFonts w:ascii="Arial" w:hAnsi="Arial" w:cs="Arial"/>
          <w:color w:val="2D2D2D"/>
        </w:rPr>
        <w:t xml:space="preserve">, con ocasión de: </w:t>
      </w:r>
      <w:r w:rsidRPr="00F6057A">
        <w:rPr>
          <w:rFonts w:ascii="Arial" w:hAnsi="Arial" w:cs="Arial"/>
          <w:color w:val="2D2D2D"/>
          <w:shd w:val="clear" w:color="auto" w:fill="FFFFFF"/>
        </w:rPr>
        <w:t xml:space="preserve">La señora María Matilde Santana de Ruiz (Q.E.P.D.), madre de Adriana María Ruiz Santana, adquirió con el Banco BBVA COLOMBIA S.A., el </w:t>
      </w:r>
      <w:r w:rsidRPr="00F6057A">
        <w:rPr>
          <w:rFonts w:ascii="Arial" w:hAnsi="Arial" w:cs="Arial"/>
          <w:b/>
          <w:color w:val="2D2D2D"/>
          <w:shd w:val="clear" w:color="auto" w:fill="FFFFFF"/>
        </w:rPr>
        <w:t>crédito No. 9604144721</w:t>
      </w:r>
      <w:r w:rsidRPr="00F6057A">
        <w:rPr>
          <w:rFonts w:ascii="Arial" w:hAnsi="Arial" w:cs="Arial"/>
          <w:color w:val="2D2D2D"/>
          <w:shd w:val="clear" w:color="auto" w:fill="FFFFFF"/>
        </w:rPr>
        <w:t xml:space="preserve"> por valor de $24.000.000 </w:t>
      </w:r>
      <w:r w:rsidRPr="00F6057A">
        <w:rPr>
          <w:rFonts w:ascii="Arial" w:hAnsi="Arial" w:cs="Arial"/>
          <w:b/>
          <w:color w:val="2D2D2D"/>
          <w:shd w:val="clear" w:color="auto" w:fill="FFFFFF"/>
        </w:rPr>
        <w:t xml:space="preserve">el día 17 de septiembre de </w:t>
      </w:r>
      <w:r w:rsidRPr="00344333">
        <w:rPr>
          <w:rFonts w:ascii="Arial" w:hAnsi="Arial" w:cs="Arial"/>
          <w:b/>
          <w:color w:val="2D2D2D"/>
          <w:u w:val="single"/>
          <w:shd w:val="clear" w:color="auto" w:fill="FFFFFF"/>
        </w:rPr>
        <w:t>2014</w:t>
      </w:r>
      <w:r w:rsidRPr="00F6057A">
        <w:rPr>
          <w:rFonts w:ascii="Arial" w:hAnsi="Arial" w:cs="Arial"/>
          <w:color w:val="2D2D2D"/>
          <w:shd w:val="clear" w:color="auto" w:fill="FFFFFF"/>
        </w:rPr>
        <w:t xml:space="preserve"> en la ciudad de Pereira. Bajo el amparo de la </w:t>
      </w:r>
      <w:r w:rsidRPr="00F6057A">
        <w:rPr>
          <w:rFonts w:ascii="Arial" w:hAnsi="Arial" w:cs="Arial"/>
          <w:b/>
          <w:color w:val="2D2D2D"/>
          <w:shd w:val="clear" w:color="auto" w:fill="FFFFFF"/>
        </w:rPr>
        <w:t>Póliza VGD No. 0110043</w:t>
      </w:r>
      <w:r w:rsidRPr="00F6057A">
        <w:rPr>
          <w:rFonts w:ascii="Arial" w:hAnsi="Arial" w:cs="Arial"/>
          <w:color w:val="2D2D2D"/>
          <w:shd w:val="clear" w:color="auto" w:fill="FFFFFF"/>
        </w:rPr>
        <w:t>.</w:t>
      </w:r>
    </w:p>
    <w:p w:rsidR="00F6057A" w:rsidRPr="00F6057A" w:rsidRDefault="00F6057A" w:rsidP="00F6057A">
      <w:pPr>
        <w:pStyle w:val="NormalWeb"/>
        <w:shd w:val="clear" w:color="auto" w:fill="FFFFFF"/>
        <w:spacing w:before="0" w:beforeAutospacing="0" w:after="0" w:afterAutospacing="0"/>
        <w:ind w:left="851" w:right="51"/>
        <w:jc w:val="both"/>
        <w:rPr>
          <w:rFonts w:ascii="Arial" w:hAnsi="Arial" w:cs="Arial"/>
          <w:color w:val="2D2D2D"/>
          <w:shd w:val="clear" w:color="auto" w:fill="FFFFFF"/>
        </w:rPr>
      </w:pPr>
    </w:p>
    <w:p w:rsidR="00F6057A" w:rsidRPr="00F6057A" w:rsidRDefault="00F6057A" w:rsidP="00F6057A">
      <w:pPr>
        <w:pStyle w:val="NormalWeb"/>
        <w:shd w:val="clear" w:color="auto" w:fill="FFFFFF"/>
        <w:spacing w:before="0" w:beforeAutospacing="0" w:after="0" w:afterAutospacing="0"/>
        <w:ind w:left="851" w:right="51"/>
        <w:jc w:val="both"/>
        <w:rPr>
          <w:rFonts w:ascii="Arial" w:hAnsi="Arial" w:cs="Arial"/>
          <w:color w:val="2D2D2D"/>
          <w:shd w:val="clear" w:color="auto" w:fill="FFFFFF"/>
        </w:rPr>
      </w:pPr>
      <w:r w:rsidRPr="00F6057A">
        <w:rPr>
          <w:rFonts w:ascii="Arial" w:hAnsi="Arial" w:cs="Arial"/>
          <w:b/>
          <w:color w:val="2D2D2D"/>
          <w:shd w:val="clear" w:color="auto" w:fill="FFFFFF"/>
        </w:rPr>
        <w:t>Sentencia T-570</w:t>
      </w:r>
      <w:r w:rsidRPr="00F6057A">
        <w:rPr>
          <w:rFonts w:ascii="Arial" w:hAnsi="Arial" w:cs="Arial"/>
          <w:color w:val="2D2D2D"/>
          <w:shd w:val="clear" w:color="auto" w:fill="FFFFFF"/>
        </w:rPr>
        <w:t xml:space="preserve"> de septiembre 4 de 2015 - Ref. </w:t>
      </w:r>
      <w:proofErr w:type="spellStart"/>
      <w:proofErr w:type="gramStart"/>
      <w:r w:rsidRPr="00F6057A">
        <w:rPr>
          <w:rFonts w:ascii="Arial" w:hAnsi="Arial" w:cs="Arial"/>
          <w:color w:val="2D2D2D"/>
          <w:shd w:val="clear" w:color="auto" w:fill="FFFFFF"/>
        </w:rPr>
        <w:t>exp</w:t>
      </w:r>
      <w:proofErr w:type="spellEnd"/>
      <w:proofErr w:type="gramEnd"/>
      <w:r w:rsidRPr="00F6057A">
        <w:rPr>
          <w:rFonts w:ascii="Arial" w:hAnsi="Arial" w:cs="Arial"/>
          <w:color w:val="2D2D2D"/>
          <w:shd w:val="clear" w:color="auto" w:fill="FFFFFF"/>
        </w:rPr>
        <w:t xml:space="preserve">. </w:t>
      </w:r>
      <w:r w:rsidRPr="00F6057A">
        <w:rPr>
          <w:rFonts w:ascii="Arial" w:hAnsi="Arial" w:cs="Arial"/>
          <w:b/>
          <w:color w:val="2D2D2D"/>
          <w:shd w:val="clear" w:color="auto" w:fill="FFFFFF"/>
        </w:rPr>
        <w:t>T-4.931.351</w:t>
      </w:r>
      <w:r w:rsidRPr="00F6057A">
        <w:rPr>
          <w:rFonts w:ascii="Arial" w:hAnsi="Arial" w:cs="Arial"/>
          <w:color w:val="2D2D2D"/>
          <w:shd w:val="clear" w:color="auto" w:fill="FFFFFF"/>
        </w:rPr>
        <w:t xml:space="preserve"> Magistrado Ponente: Dr. Luis Guillermo Guerrero Pérez - Acción de tutela instaurada por el señor Alberto Hernando Robles Restrepo contra </w:t>
      </w:r>
      <w:r w:rsidRPr="00F6057A">
        <w:rPr>
          <w:rFonts w:ascii="Arial" w:hAnsi="Arial" w:cs="Arial"/>
          <w:b/>
          <w:color w:val="2D2D2D"/>
          <w:shd w:val="clear" w:color="auto" w:fill="FFFFFF"/>
        </w:rPr>
        <w:t>BBVA Seguros de Vida</w:t>
      </w:r>
      <w:r w:rsidRPr="00F6057A">
        <w:rPr>
          <w:rFonts w:ascii="Arial" w:hAnsi="Arial" w:cs="Arial"/>
          <w:color w:val="2D2D2D"/>
          <w:shd w:val="clear" w:color="auto" w:fill="FFFFFF"/>
        </w:rPr>
        <w:t xml:space="preserve">. El señor Alberto Hernando Robles Restrepo, quien tiene actualmente 63 años de edad, </w:t>
      </w:r>
      <w:r w:rsidRPr="00F6057A">
        <w:rPr>
          <w:rFonts w:ascii="Arial" w:hAnsi="Arial" w:cs="Arial"/>
          <w:b/>
          <w:color w:val="2D2D2D"/>
          <w:shd w:val="clear" w:color="auto" w:fill="FFFFFF"/>
        </w:rPr>
        <w:t xml:space="preserve">celebró un contrato de mutuo el 22 de marzo de </w:t>
      </w:r>
      <w:r w:rsidRPr="00344333">
        <w:rPr>
          <w:rFonts w:ascii="Arial" w:hAnsi="Arial" w:cs="Arial"/>
          <w:b/>
          <w:color w:val="2D2D2D"/>
          <w:u w:val="single"/>
          <w:shd w:val="clear" w:color="auto" w:fill="FFFFFF"/>
        </w:rPr>
        <w:t>2011</w:t>
      </w:r>
      <w:r w:rsidRPr="00F6057A">
        <w:rPr>
          <w:rFonts w:ascii="Arial" w:hAnsi="Arial" w:cs="Arial"/>
          <w:color w:val="2D2D2D"/>
          <w:shd w:val="clear" w:color="auto" w:fill="FFFFFF"/>
        </w:rPr>
        <w:t xml:space="preserve"> </w:t>
      </w:r>
      <w:r w:rsidRPr="00F6057A">
        <w:rPr>
          <w:rFonts w:ascii="Arial" w:hAnsi="Arial" w:cs="Arial"/>
          <w:b/>
          <w:color w:val="2D2D2D"/>
          <w:shd w:val="clear" w:color="auto" w:fill="FFFFFF"/>
        </w:rPr>
        <w:t>con el Banco BBVA</w:t>
      </w:r>
      <w:r w:rsidRPr="00F6057A">
        <w:rPr>
          <w:rFonts w:ascii="Arial" w:hAnsi="Arial" w:cs="Arial"/>
          <w:color w:val="2D2D2D"/>
          <w:shd w:val="clear" w:color="auto" w:fill="FFFFFF"/>
        </w:rPr>
        <w:t xml:space="preserve"> por valor de diez millones de pesos ($ 10.000.000) en la modalidad de cartera de consumo – línea de libranza, con cuotas mensuales de doscientos treinta mil pesos ($ 230.000) mensuales a un plazo de 72 meses, </w:t>
      </w:r>
      <w:r w:rsidRPr="00F6057A">
        <w:rPr>
          <w:rFonts w:ascii="Arial" w:hAnsi="Arial" w:cs="Arial"/>
          <w:b/>
          <w:color w:val="2D2D2D"/>
          <w:shd w:val="clear" w:color="auto" w:fill="FFFFFF"/>
        </w:rPr>
        <w:t>deuda que amparó con la póliza de seguro de vida grupo deudores No. 0110043 suscrita con BBVA Seguros de Vida</w:t>
      </w:r>
      <w:r w:rsidRPr="00F6057A">
        <w:rPr>
          <w:rFonts w:ascii="Arial" w:hAnsi="Arial" w:cs="Arial"/>
          <w:color w:val="2D2D2D"/>
          <w:shd w:val="clear" w:color="auto" w:fill="FFFFFF"/>
        </w:rPr>
        <w:t> (1).</w:t>
      </w:r>
    </w:p>
    <w:p w:rsidR="00F6057A" w:rsidRPr="00F6057A" w:rsidRDefault="00F6057A" w:rsidP="00F6057A">
      <w:pPr>
        <w:pStyle w:val="NormalWeb"/>
        <w:shd w:val="clear" w:color="auto" w:fill="FFFFFF"/>
        <w:spacing w:before="0" w:beforeAutospacing="0" w:after="0" w:afterAutospacing="0"/>
        <w:ind w:left="851" w:right="51"/>
        <w:jc w:val="both"/>
        <w:rPr>
          <w:rFonts w:ascii="Arial" w:hAnsi="Arial" w:cs="Arial"/>
          <w:color w:val="2D2D2D"/>
          <w:shd w:val="clear" w:color="auto" w:fill="FFFFFF"/>
        </w:rPr>
      </w:pPr>
    </w:p>
    <w:p w:rsidR="00F6057A" w:rsidRPr="00F6057A" w:rsidRDefault="00F6057A" w:rsidP="00F6057A">
      <w:pPr>
        <w:shd w:val="clear" w:color="auto" w:fill="FFFFFF"/>
        <w:spacing w:after="0" w:line="240" w:lineRule="auto"/>
        <w:ind w:left="851" w:right="-160"/>
        <w:jc w:val="both"/>
        <w:textAlignment w:val="baseline"/>
        <w:rPr>
          <w:rFonts w:ascii="Arial" w:eastAsia="Times New Roman" w:hAnsi="Arial" w:cs="Arial"/>
          <w:bCs/>
          <w:color w:val="2D2D2D"/>
          <w:sz w:val="24"/>
          <w:szCs w:val="24"/>
          <w:shd w:val="clear" w:color="auto" w:fill="FFFFFF"/>
          <w:lang w:eastAsia="es-CO"/>
        </w:rPr>
      </w:pPr>
      <w:r w:rsidRPr="00F6057A">
        <w:rPr>
          <w:rFonts w:ascii="Arial" w:eastAsia="Times New Roman" w:hAnsi="Arial" w:cs="Arial"/>
          <w:b/>
          <w:bCs/>
          <w:color w:val="2D2D2D"/>
          <w:sz w:val="24"/>
          <w:szCs w:val="24"/>
          <w:shd w:val="clear" w:color="auto" w:fill="FFFFFF"/>
          <w:lang w:eastAsia="es-CO"/>
        </w:rPr>
        <w:t xml:space="preserve">STL7955-2018 - Radicación no 80083 - </w:t>
      </w:r>
      <w:r w:rsidRPr="00F6057A">
        <w:rPr>
          <w:rFonts w:ascii="Arial" w:eastAsia="Times New Roman" w:hAnsi="Arial" w:cs="Arial"/>
          <w:color w:val="2D2D2D"/>
          <w:sz w:val="24"/>
          <w:szCs w:val="24"/>
          <w:shd w:val="clear" w:color="auto" w:fill="FFFFFF"/>
          <w:lang w:eastAsia="es-CO"/>
        </w:rPr>
        <w:t xml:space="preserve">Acta nº. 22 </w:t>
      </w:r>
      <w:r w:rsidRPr="00F6057A">
        <w:rPr>
          <w:rFonts w:ascii="Arial" w:eastAsia="Times New Roman" w:hAnsi="Arial" w:cs="Arial"/>
          <w:bCs/>
          <w:color w:val="2D2D2D"/>
          <w:sz w:val="24"/>
          <w:szCs w:val="24"/>
          <w:shd w:val="clear" w:color="auto" w:fill="FFFFFF"/>
          <w:lang w:eastAsia="es-CO"/>
        </w:rPr>
        <w:t xml:space="preserve">En el asunto, se parte de la premisa de que con la adquisición de las obligaciones bancarias </w:t>
      </w:r>
      <w:r w:rsidRPr="00F6057A">
        <w:rPr>
          <w:rFonts w:ascii="Arial" w:eastAsia="Times New Roman" w:hAnsi="Arial" w:cs="Arial"/>
          <w:b/>
          <w:bCs/>
          <w:color w:val="2D2D2D"/>
          <w:sz w:val="24"/>
          <w:szCs w:val="24"/>
          <w:shd w:val="clear" w:color="auto" w:fill="FFFFFF"/>
          <w:lang w:eastAsia="es-CO"/>
        </w:rPr>
        <w:t xml:space="preserve">en los años </w:t>
      </w:r>
      <w:r w:rsidRPr="00344333">
        <w:rPr>
          <w:rFonts w:ascii="Arial" w:eastAsia="Times New Roman" w:hAnsi="Arial" w:cs="Arial"/>
          <w:b/>
          <w:bCs/>
          <w:color w:val="2D2D2D"/>
          <w:sz w:val="24"/>
          <w:szCs w:val="24"/>
          <w:u w:val="single"/>
          <w:shd w:val="clear" w:color="auto" w:fill="FFFFFF"/>
          <w:lang w:eastAsia="es-CO"/>
        </w:rPr>
        <w:t>2011 y 2013</w:t>
      </w:r>
      <w:r w:rsidRPr="00F6057A">
        <w:rPr>
          <w:rFonts w:ascii="Arial" w:eastAsia="Times New Roman" w:hAnsi="Arial" w:cs="Arial"/>
          <w:bCs/>
          <w:color w:val="2D2D2D"/>
          <w:sz w:val="24"/>
          <w:szCs w:val="24"/>
          <w:shd w:val="clear" w:color="auto" w:fill="FFFFFF"/>
          <w:lang w:eastAsia="es-CO"/>
        </w:rPr>
        <w:t xml:space="preserve">, la activa también suscribió el formulario de seguro o póliza de vida grupo deudores, con el fin de garantizarle a la entidad bancaria que en caso de muerte o por incapacidad total y permanente, BBVA Seguros se haría cargo del saldo de la deuda que registre en la respectiva fecha de la ocurrencia del siniestro. Como sustento de la acción, se indicó que a la accionante le fueron concedidos cuatro créditos por parte de la entidad BBVA, </w:t>
      </w:r>
      <w:r w:rsidRPr="00F6057A">
        <w:rPr>
          <w:rFonts w:ascii="Arial" w:eastAsia="Times New Roman" w:hAnsi="Arial" w:cs="Arial"/>
          <w:b/>
          <w:bCs/>
          <w:color w:val="2D2D2D"/>
          <w:sz w:val="24"/>
          <w:szCs w:val="24"/>
          <w:shd w:val="clear" w:color="auto" w:fill="FFFFFF"/>
          <w:lang w:eastAsia="es-CO"/>
        </w:rPr>
        <w:t>los cuales fueron asegurados a través de la póliza grupo deudores No. 0110043</w:t>
      </w:r>
      <w:r w:rsidRPr="00F6057A">
        <w:rPr>
          <w:rFonts w:ascii="Arial" w:eastAsia="Times New Roman" w:hAnsi="Arial" w:cs="Arial"/>
          <w:bCs/>
          <w:color w:val="2D2D2D"/>
          <w:sz w:val="24"/>
          <w:szCs w:val="24"/>
          <w:shd w:val="clear" w:color="auto" w:fill="FFFFFF"/>
          <w:lang w:eastAsia="es-CO"/>
        </w:rPr>
        <w:t>, expedida por la compañía BBVA Seguros de Vida Colombia S.A.;</w:t>
      </w:r>
    </w:p>
    <w:p w:rsidR="00F6057A" w:rsidRPr="00F6057A" w:rsidRDefault="00F6057A" w:rsidP="00F6057A">
      <w:pPr>
        <w:shd w:val="clear" w:color="auto" w:fill="FFFFFF"/>
        <w:spacing w:after="0" w:line="240" w:lineRule="auto"/>
        <w:ind w:left="851" w:right="-160"/>
        <w:jc w:val="both"/>
        <w:textAlignment w:val="baseline"/>
        <w:rPr>
          <w:rFonts w:ascii="Arial" w:eastAsia="Times New Roman" w:hAnsi="Arial" w:cs="Arial"/>
          <w:bCs/>
          <w:color w:val="2D2D2D"/>
          <w:sz w:val="24"/>
          <w:szCs w:val="24"/>
          <w:shd w:val="clear" w:color="auto" w:fill="FFFFFF"/>
          <w:lang w:eastAsia="es-CO"/>
        </w:rPr>
      </w:pPr>
    </w:p>
    <w:p w:rsidR="00F6057A" w:rsidRPr="00F6057A" w:rsidRDefault="00F6057A" w:rsidP="00F6057A">
      <w:pPr>
        <w:pStyle w:val="Ttulo1"/>
        <w:shd w:val="clear" w:color="auto" w:fill="FFFFFF"/>
        <w:spacing w:before="0" w:line="240" w:lineRule="auto"/>
        <w:ind w:left="851" w:right="-91"/>
        <w:jc w:val="both"/>
        <w:rPr>
          <w:rFonts w:ascii="Arial" w:eastAsia="Times New Roman" w:hAnsi="Arial" w:cs="Arial"/>
          <w:b w:val="0"/>
          <w:bCs w:val="0"/>
          <w:color w:val="2D2D2D"/>
          <w:sz w:val="24"/>
          <w:szCs w:val="24"/>
          <w:shd w:val="clear" w:color="auto" w:fill="FFFFFF"/>
          <w:lang w:eastAsia="es-CO"/>
        </w:rPr>
      </w:pPr>
      <w:r w:rsidRPr="00F6057A">
        <w:rPr>
          <w:rFonts w:ascii="Arial" w:eastAsia="Times New Roman" w:hAnsi="Arial" w:cs="Arial"/>
          <w:b w:val="0"/>
          <w:color w:val="2D2D2D"/>
          <w:sz w:val="24"/>
          <w:szCs w:val="24"/>
          <w:shd w:val="clear" w:color="auto" w:fill="FFFFFF"/>
          <w:lang w:eastAsia="es-CO"/>
        </w:rPr>
        <w:t xml:space="preserve">Antecedentes del </w:t>
      </w:r>
      <w:r w:rsidRPr="00F6057A">
        <w:rPr>
          <w:rFonts w:ascii="Arial" w:eastAsia="Times New Roman" w:hAnsi="Arial" w:cs="Arial"/>
          <w:color w:val="2D2D2D"/>
          <w:sz w:val="24"/>
          <w:szCs w:val="24"/>
          <w:shd w:val="clear" w:color="auto" w:fill="FFFFFF"/>
          <w:lang w:eastAsia="es-CO"/>
        </w:rPr>
        <w:t xml:space="preserve">expediente T-3464362 </w:t>
      </w:r>
      <w:r w:rsidRPr="00F6057A">
        <w:rPr>
          <w:rFonts w:ascii="Arial" w:eastAsia="Times New Roman" w:hAnsi="Arial" w:cs="Arial"/>
          <w:b w:val="0"/>
          <w:color w:val="2D2D2D"/>
          <w:sz w:val="24"/>
          <w:szCs w:val="24"/>
          <w:shd w:val="clear" w:color="auto" w:fill="FFFFFF"/>
          <w:lang w:eastAsia="es-CO"/>
        </w:rPr>
        <w:t xml:space="preserve">- </w:t>
      </w:r>
      <w:r w:rsidRPr="00F6057A">
        <w:rPr>
          <w:rFonts w:ascii="Arial" w:eastAsia="Times New Roman" w:hAnsi="Arial" w:cs="Arial"/>
          <w:bCs w:val="0"/>
          <w:color w:val="2D2D2D"/>
          <w:sz w:val="24"/>
          <w:szCs w:val="24"/>
          <w:shd w:val="clear" w:color="auto" w:fill="FFFFFF"/>
          <w:lang w:eastAsia="es-CO"/>
        </w:rPr>
        <w:t xml:space="preserve">El 16 de enero de </w:t>
      </w:r>
      <w:r w:rsidRPr="00344333">
        <w:rPr>
          <w:rFonts w:ascii="Arial" w:eastAsia="Times New Roman" w:hAnsi="Arial" w:cs="Arial"/>
          <w:bCs w:val="0"/>
          <w:color w:val="2D2D2D"/>
          <w:sz w:val="24"/>
          <w:szCs w:val="24"/>
          <w:u w:val="single"/>
          <w:shd w:val="clear" w:color="auto" w:fill="FFFFFF"/>
          <w:lang w:eastAsia="es-CO"/>
        </w:rPr>
        <w:t>2004</w:t>
      </w:r>
      <w:r w:rsidRPr="00F6057A">
        <w:rPr>
          <w:rFonts w:ascii="Arial" w:eastAsia="Times New Roman" w:hAnsi="Arial" w:cs="Arial"/>
          <w:b w:val="0"/>
          <w:bCs w:val="0"/>
          <w:color w:val="2D2D2D"/>
          <w:sz w:val="24"/>
          <w:szCs w:val="24"/>
          <w:shd w:val="clear" w:color="auto" w:fill="FFFFFF"/>
          <w:lang w:eastAsia="es-CO"/>
        </w:rPr>
        <w:t xml:space="preserve"> el Banco </w:t>
      </w:r>
      <w:proofErr w:type="spellStart"/>
      <w:r w:rsidRPr="00F6057A">
        <w:rPr>
          <w:rFonts w:ascii="Arial" w:eastAsia="Times New Roman" w:hAnsi="Arial" w:cs="Arial"/>
          <w:b w:val="0"/>
          <w:bCs w:val="0"/>
          <w:color w:val="2D2D2D"/>
          <w:sz w:val="24"/>
          <w:szCs w:val="24"/>
          <w:shd w:val="clear" w:color="auto" w:fill="FFFFFF"/>
          <w:lang w:eastAsia="es-CO"/>
        </w:rPr>
        <w:t>Granahorrar</w:t>
      </w:r>
      <w:proofErr w:type="spellEnd"/>
      <w:r w:rsidRPr="00F6057A">
        <w:rPr>
          <w:rFonts w:ascii="Arial" w:eastAsia="Times New Roman" w:hAnsi="Arial" w:cs="Arial"/>
          <w:b w:val="0"/>
          <w:bCs w:val="0"/>
          <w:color w:val="2D2D2D"/>
          <w:sz w:val="24"/>
          <w:szCs w:val="24"/>
          <w:shd w:val="clear" w:color="auto" w:fill="FFFFFF"/>
          <w:lang w:eastAsia="es-CO"/>
        </w:rPr>
        <w:t>, hoy Banco BBVA, le otorgó a la accionante, María Eugenia Portillo Linares, un crédito para la compra de vivienda por valor de $20.000.000, que amparó a través de un seguro de vida grupo deudores que tomó el citado Banco con Seguros Alfa S.A, hoy BBVA Seguros de Vida Colombia S.A. que inició su vigencia en la misma fecha y garantizaba el pago del crédito ante la muerte o la incapacidad total y permanente de la señora Portillo Linares.</w:t>
      </w:r>
      <w:bookmarkStart w:id="0" w:name="_ftnref2"/>
      <w:r w:rsidRPr="00F6057A">
        <w:rPr>
          <w:rFonts w:ascii="Arial" w:eastAsia="Times New Roman" w:hAnsi="Arial" w:cs="Arial"/>
          <w:b w:val="0"/>
          <w:bCs w:val="0"/>
          <w:color w:val="2D2D2D"/>
          <w:sz w:val="24"/>
          <w:szCs w:val="24"/>
          <w:shd w:val="clear" w:color="auto" w:fill="FFFFFF"/>
          <w:lang w:eastAsia="es-CO"/>
        </w:rPr>
        <w:fldChar w:fldCharType="begin"/>
      </w:r>
      <w:r w:rsidRPr="00F6057A">
        <w:rPr>
          <w:rFonts w:ascii="Arial" w:eastAsia="Times New Roman" w:hAnsi="Arial" w:cs="Arial"/>
          <w:b w:val="0"/>
          <w:bCs w:val="0"/>
          <w:color w:val="2D2D2D"/>
          <w:sz w:val="24"/>
          <w:szCs w:val="24"/>
          <w:shd w:val="clear" w:color="auto" w:fill="FFFFFF"/>
          <w:lang w:eastAsia="es-CO"/>
        </w:rPr>
        <w:instrText xml:space="preserve"> HYPERLINK "https://www.corteconstitucional.gov.co/relatoria/2012/t-751-12.htm" \l "_ftn2" \o "" </w:instrText>
      </w:r>
      <w:r w:rsidRPr="00F6057A">
        <w:rPr>
          <w:rFonts w:ascii="Arial" w:eastAsia="Times New Roman" w:hAnsi="Arial" w:cs="Arial"/>
          <w:b w:val="0"/>
          <w:bCs w:val="0"/>
          <w:color w:val="2D2D2D"/>
          <w:sz w:val="24"/>
          <w:szCs w:val="24"/>
          <w:shd w:val="clear" w:color="auto" w:fill="FFFFFF"/>
          <w:lang w:eastAsia="es-CO"/>
        </w:rPr>
        <w:fldChar w:fldCharType="separate"/>
      </w:r>
      <w:r w:rsidRPr="00F6057A">
        <w:rPr>
          <w:rFonts w:ascii="Arial" w:eastAsia="Times New Roman" w:hAnsi="Arial" w:cs="Arial"/>
          <w:b w:val="0"/>
          <w:bCs w:val="0"/>
          <w:color w:val="2D2D2D"/>
          <w:sz w:val="24"/>
          <w:szCs w:val="24"/>
          <w:lang w:eastAsia="es-CO"/>
        </w:rPr>
        <w:t>[2]</w:t>
      </w:r>
      <w:r w:rsidRPr="00F6057A">
        <w:rPr>
          <w:rFonts w:ascii="Arial" w:eastAsia="Times New Roman" w:hAnsi="Arial" w:cs="Arial"/>
          <w:b w:val="0"/>
          <w:bCs w:val="0"/>
          <w:color w:val="2D2D2D"/>
          <w:sz w:val="24"/>
          <w:szCs w:val="24"/>
          <w:shd w:val="clear" w:color="auto" w:fill="FFFFFF"/>
          <w:lang w:eastAsia="es-CO"/>
        </w:rPr>
        <w:fldChar w:fldCharType="end"/>
      </w:r>
      <w:bookmarkEnd w:id="0"/>
      <w:r w:rsidRPr="00F6057A">
        <w:rPr>
          <w:rFonts w:ascii="Arial" w:eastAsia="Times New Roman" w:hAnsi="Arial" w:cs="Arial"/>
          <w:b w:val="0"/>
          <w:bCs w:val="0"/>
          <w:color w:val="2D2D2D"/>
          <w:sz w:val="24"/>
          <w:szCs w:val="24"/>
          <w:shd w:val="clear" w:color="auto" w:fill="FFFFFF"/>
          <w:lang w:eastAsia="es-CO"/>
        </w:rPr>
        <w:t xml:space="preserve"> El 25 de noviembre de 2011 la accionante interpuso acción de tutela en la cual solicita se haga efectivo el </w:t>
      </w:r>
      <w:r w:rsidRPr="00F6057A">
        <w:rPr>
          <w:rFonts w:ascii="Arial" w:eastAsia="Times New Roman" w:hAnsi="Arial" w:cs="Arial"/>
          <w:bCs w:val="0"/>
          <w:color w:val="2D2D2D"/>
          <w:sz w:val="24"/>
          <w:szCs w:val="24"/>
          <w:shd w:val="clear" w:color="auto" w:fill="FFFFFF"/>
          <w:lang w:eastAsia="es-CO"/>
        </w:rPr>
        <w:t>seguro de vida grupo deudores No. 0110043</w:t>
      </w:r>
      <w:r w:rsidRPr="00F6057A">
        <w:rPr>
          <w:rFonts w:ascii="Arial" w:eastAsia="Times New Roman" w:hAnsi="Arial" w:cs="Arial"/>
          <w:b w:val="0"/>
          <w:bCs w:val="0"/>
          <w:color w:val="2D2D2D"/>
          <w:sz w:val="24"/>
          <w:szCs w:val="24"/>
          <w:shd w:val="clear" w:color="auto" w:fill="FFFFFF"/>
          <w:lang w:eastAsia="es-CO"/>
        </w:rPr>
        <w:t xml:space="preserve"> y en consecuencia se cancelen los saldos insolutos a 20 de abril de 2010 del crédito tomado por ella con el Banco BBVA</w:t>
      </w:r>
    </w:p>
    <w:p w:rsidR="00F6057A" w:rsidRPr="00F6057A" w:rsidRDefault="00F6057A" w:rsidP="00F6057A">
      <w:pPr>
        <w:shd w:val="clear" w:color="auto" w:fill="FFFFFF"/>
        <w:spacing w:after="0" w:line="240" w:lineRule="auto"/>
        <w:ind w:left="851"/>
        <w:jc w:val="both"/>
        <w:textAlignment w:val="baseline"/>
        <w:rPr>
          <w:rFonts w:ascii="Arial" w:eastAsia="Times New Roman" w:hAnsi="Arial" w:cs="Arial"/>
          <w:color w:val="2D2D2D"/>
          <w:sz w:val="24"/>
          <w:szCs w:val="24"/>
          <w:shd w:val="clear" w:color="auto" w:fill="FFFFFF"/>
          <w:lang w:eastAsia="es-CO"/>
        </w:rPr>
      </w:pPr>
    </w:p>
    <w:p w:rsidR="00F6057A" w:rsidRPr="00F6057A" w:rsidRDefault="00F6057A" w:rsidP="00F6057A">
      <w:pPr>
        <w:shd w:val="clear" w:color="auto" w:fill="FFFFFF"/>
        <w:spacing w:after="0" w:line="240" w:lineRule="auto"/>
        <w:ind w:left="851"/>
        <w:jc w:val="both"/>
        <w:textAlignment w:val="baseline"/>
        <w:rPr>
          <w:rFonts w:ascii="Arial" w:eastAsia="Times New Roman" w:hAnsi="Arial" w:cs="Arial"/>
          <w:color w:val="2D2D2D"/>
          <w:sz w:val="24"/>
          <w:szCs w:val="24"/>
          <w:shd w:val="clear" w:color="auto" w:fill="FFFFFF"/>
          <w:lang w:eastAsia="es-CO"/>
        </w:rPr>
      </w:pPr>
      <w:r w:rsidRPr="00F6057A">
        <w:rPr>
          <w:rFonts w:ascii="Arial" w:eastAsia="Times New Roman" w:hAnsi="Arial" w:cs="Arial"/>
          <w:color w:val="2D2D2D"/>
          <w:sz w:val="24"/>
          <w:szCs w:val="24"/>
          <w:shd w:val="clear" w:color="auto" w:fill="FFFFFF"/>
          <w:lang w:eastAsia="es-CO"/>
        </w:rPr>
        <w:lastRenderedPageBreak/>
        <w:t>Acción de tutela presentada por Héctor Mario Rubio Acevedo contra Banco BBVA y BBVA Seguros de Vida (</w:t>
      </w:r>
      <w:r w:rsidRPr="00F6057A">
        <w:rPr>
          <w:rFonts w:ascii="Arial" w:eastAsia="Times New Roman" w:hAnsi="Arial" w:cs="Arial"/>
          <w:b/>
          <w:color w:val="2D2D2D"/>
          <w:sz w:val="24"/>
          <w:szCs w:val="24"/>
          <w:shd w:val="clear" w:color="auto" w:fill="FFFFFF"/>
          <w:lang w:eastAsia="es-CO"/>
        </w:rPr>
        <w:t>expediente T-5201786</w:t>
      </w:r>
      <w:r w:rsidRPr="00F6057A">
        <w:rPr>
          <w:rFonts w:ascii="Arial" w:eastAsia="Times New Roman" w:hAnsi="Arial" w:cs="Arial"/>
          <w:color w:val="2D2D2D"/>
          <w:sz w:val="24"/>
          <w:szCs w:val="24"/>
          <w:shd w:val="clear" w:color="auto" w:fill="FFFFFF"/>
          <w:lang w:eastAsia="es-CO"/>
        </w:rPr>
        <w:t xml:space="preserve">) 5.1. Hechos </w:t>
      </w:r>
      <w:r w:rsidRPr="00F6057A">
        <w:rPr>
          <w:rFonts w:ascii="Arial" w:eastAsia="Times New Roman" w:hAnsi="Arial" w:cs="Arial"/>
          <w:b/>
          <w:color w:val="2D2D2D"/>
          <w:sz w:val="24"/>
          <w:szCs w:val="24"/>
          <w:shd w:val="clear" w:color="auto" w:fill="FFFFFF"/>
          <w:lang w:eastAsia="es-CO"/>
        </w:rPr>
        <w:t xml:space="preserve">El 30 de septiembre de </w:t>
      </w:r>
      <w:r w:rsidRPr="00344333">
        <w:rPr>
          <w:rFonts w:ascii="Arial" w:eastAsia="Times New Roman" w:hAnsi="Arial" w:cs="Arial"/>
          <w:b/>
          <w:color w:val="2D2D2D"/>
          <w:sz w:val="24"/>
          <w:szCs w:val="24"/>
          <w:u w:val="single"/>
          <w:shd w:val="clear" w:color="auto" w:fill="FFFFFF"/>
          <w:lang w:eastAsia="es-CO"/>
        </w:rPr>
        <w:t>2013</w:t>
      </w:r>
      <w:r w:rsidRPr="00F6057A">
        <w:rPr>
          <w:rFonts w:ascii="Arial" w:eastAsia="Times New Roman" w:hAnsi="Arial" w:cs="Arial"/>
          <w:b/>
          <w:color w:val="2D2D2D"/>
          <w:sz w:val="24"/>
          <w:szCs w:val="24"/>
          <w:shd w:val="clear" w:color="auto" w:fill="FFFFFF"/>
          <w:lang w:eastAsia="es-CO"/>
        </w:rPr>
        <w:t xml:space="preserve"> el señor Héctor Mario Rubio Acevedo tomó la póliza No. 0110043 con BBVA Seguros de Vida</w:t>
      </w:r>
      <w:r w:rsidRPr="00F6057A">
        <w:rPr>
          <w:rFonts w:ascii="Arial" w:eastAsia="Times New Roman" w:hAnsi="Arial" w:cs="Arial"/>
          <w:color w:val="2D2D2D"/>
          <w:sz w:val="24"/>
          <w:szCs w:val="24"/>
          <w:shd w:val="clear" w:color="auto" w:fill="FFFFFF"/>
          <w:lang w:eastAsia="es-CO"/>
        </w:rPr>
        <w:t xml:space="preserve">, por un valor de cincuenta y un </w:t>
      </w:r>
      <w:proofErr w:type="spellStart"/>
      <w:r w:rsidRPr="00F6057A">
        <w:rPr>
          <w:rFonts w:ascii="Arial" w:eastAsia="Times New Roman" w:hAnsi="Arial" w:cs="Arial"/>
          <w:color w:val="2D2D2D"/>
          <w:sz w:val="24"/>
          <w:szCs w:val="24"/>
          <w:shd w:val="clear" w:color="auto" w:fill="FFFFFF"/>
          <w:lang w:eastAsia="es-CO"/>
        </w:rPr>
        <w:t>millones</w:t>
      </w:r>
      <w:proofErr w:type="spellEnd"/>
      <w:r w:rsidRPr="00F6057A">
        <w:rPr>
          <w:rFonts w:ascii="Arial" w:eastAsia="Times New Roman" w:hAnsi="Arial" w:cs="Arial"/>
          <w:color w:val="2D2D2D"/>
          <w:sz w:val="24"/>
          <w:szCs w:val="24"/>
          <w:shd w:val="clear" w:color="auto" w:fill="FFFFFF"/>
          <w:lang w:eastAsia="es-CO"/>
        </w:rPr>
        <w:t xml:space="preserve"> de pesos (51.000.000), cuya prima mensual tenía un costo de treinta y ocho mil doscientos cincuenta pesos (38.250), </w:t>
      </w:r>
      <w:r w:rsidRPr="00F6057A">
        <w:rPr>
          <w:rFonts w:ascii="Arial" w:eastAsia="Times New Roman" w:hAnsi="Arial" w:cs="Arial"/>
          <w:b/>
          <w:color w:val="2D2D2D"/>
          <w:sz w:val="24"/>
          <w:szCs w:val="24"/>
          <w:shd w:val="clear" w:color="auto" w:fill="FFFFFF"/>
          <w:lang w:eastAsia="es-CO"/>
        </w:rPr>
        <w:t>para asegurar la cancelación del crédito de libre inversión adquirido con el Banco BBVA</w:t>
      </w:r>
      <w:r w:rsidRPr="00F6057A">
        <w:rPr>
          <w:rFonts w:ascii="Arial" w:eastAsia="Times New Roman" w:hAnsi="Arial" w:cs="Arial"/>
          <w:color w:val="2D2D2D"/>
          <w:sz w:val="24"/>
          <w:szCs w:val="24"/>
          <w:shd w:val="clear" w:color="auto" w:fill="FFFFFF"/>
          <w:lang w:eastAsia="es-CO"/>
        </w:rPr>
        <w:t xml:space="preserve"> en caso de muerte o incapacidad permanente.</w:t>
      </w:r>
    </w:p>
    <w:p w:rsidR="00F6057A" w:rsidRPr="00F6057A" w:rsidRDefault="00F6057A" w:rsidP="00F6057A">
      <w:pPr>
        <w:shd w:val="clear" w:color="auto" w:fill="FFFFFF"/>
        <w:spacing w:after="0" w:line="240" w:lineRule="auto"/>
        <w:ind w:left="851"/>
        <w:jc w:val="both"/>
        <w:textAlignment w:val="baseline"/>
        <w:rPr>
          <w:rFonts w:ascii="Arial" w:eastAsia="Times New Roman" w:hAnsi="Arial" w:cs="Arial"/>
          <w:color w:val="2D2D2D"/>
          <w:sz w:val="24"/>
          <w:szCs w:val="24"/>
          <w:shd w:val="clear" w:color="auto" w:fill="FFFFFF"/>
          <w:lang w:eastAsia="es-CO"/>
        </w:rPr>
      </w:pPr>
    </w:p>
    <w:p w:rsidR="00F6057A" w:rsidRPr="00F6057A" w:rsidRDefault="00F6057A" w:rsidP="00F6057A">
      <w:pPr>
        <w:pStyle w:val="NormalWeb"/>
        <w:spacing w:before="0" w:beforeAutospacing="0" w:after="0" w:afterAutospacing="0"/>
        <w:ind w:left="851"/>
        <w:jc w:val="both"/>
        <w:rPr>
          <w:rFonts w:ascii="Arial" w:hAnsi="Arial" w:cs="Arial"/>
          <w:color w:val="2D2D2D"/>
          <w:shd w:val="clear" w:color="auto" w:fill="FFFFFF"/>
        </w:rPr>
      </w:pPr>
      <w:r w:rsidRPr="00F6057A">
        <w:rPr>
          <w:rFonts w:ascii="Arial" w:hAnsi="Arial" w:cs="Arial"/>
          <w:color w:val="2D2D2D"/>
          <w:shd w:val="clear" w:color="auto" w:fill="FFFFFF"/>
        </w:rPr>
        <w:t xml:space="preserve">ANTECEDENTES DEL </w:t>
      </w:r>
      <w:r w:rsidRPr="00F6057A">
        <w:rPr>
          <w:rFonts w:ascii="Arial" w:hAnsi="Arial" w:cs="Arial"/>
          <w:b/>
          <w:color w:val="2D2D2D"/>
          <w:shd w:val="clear" w:color="auto" w:fill="FFFFFF"/>
        </w:rPr>
        <w:t>EXPEDIENTE T-</w:t>
      </w:r>
      <w:proofErr w:type="gramStart"/>
      <w:r w:rsidRPr="00F6057A">
        <w:rPr>
          <w:rFonts w:ascii="Arial" w:hAnsi="Arial" w:cs="Arial"/>
          <w:b/>
          <w:color w:val="2D2D2D"/>
          <w:shd w:val="clear" w:color="auto" w:fill="FFFFFF"/>
        </w:rPr>
        <w:t>4.244.643</w:t>
      </w:r>
      <w:r w:rsidRPr="00F6057A">
        <w:rPr>
          <w:rFonts w:ascii="Arial" w:hAnsi="Arial" w:cs="Arial"/>
          <w:color w:val="2D2D2D"/>
          <w:shd w:val="clear" w:color="auto" w:fill="FFFFFF"/>
        </w:rPr>
        <w:t xml:space="preserve"> . </w:t>
      </w:r>
      <w:proofErr w:type="gramEnd"/>
      <w:r w:rsidRPr="00F6057A">
        <w:rPr>
          <w:rFonts w:ascii="Arial" w:hAnsi="Arial" w:cs="Arial"/>
          <w:b/>
          <w:color w:val="2D2D2D"/>
          <w:shd w:val="clear" w:color="auto" w:fill="FFFFFF"/>
        </w:rPr>
        <w:t xml:space="preserve">El 30 de junio de </w:t>
      </w:r>
      <w:bookmarkStart w:id="1" w:name="_GoBack"/>
      <w:r w:rsidRPr="00344333">
        <w:rPr>
          <w:rFonts w:ascii="Arial" w:hAnsi="Arial" w:cs="Arial"/>
          <w:b/>
          <w:color w:val="2D2D2D"/>
          <w:u w:val="single"/>
          <w:shd w:val="clear" w:color="auto" w:fill="FFFFFF"/>
        </w:rPr>
        <w:t>2010</w:t>
      </w:r>
      <w:bookmarkEnd w:id="1"/>
      <w:r w:rsidRPr="00F6057A">
        <w:rPr>
          <w:rFonts w:ascii="Arial" w:hAnsi="Arial" w:cs="Arial"/>
          <w:color w:val="2D2D2D"/>
          <w:shd w:val="clear" w:color="auto" w:fill="FFFFFF"/>
        </w:rPr>
        <w:t xml:space="preserve"> el Banco BBVA, sucursal Santa Marta, otorgó un crédito a su esposa en cuantía equivalente a veinte millones de pesos ($20.000.000), </w:t>
      </w:r>
      <w:r w:rsidRPr="00F6057A">
        <w:rPr>
          <w:rFonts w:ascii="Arial" w:hAnsi="Arial" w:cs="Arial"/>
          <w:b/>
          <w:color w:val="2D2D2D"/>
          <w:shd w:val="clear" w:color="auto" w:fill="FFFFFF"/>
        </w:rPr>
        <w:t>amparado mediante el Seguro de Vida Grupo Deudores</w:t>
      </w:r>
      <w:r w:rsidRPr="00F6057A">
        <w:rPr>
          <w:rFonts w:ascii="Arial" w:hAnsi="Arial" w:cs="Arial"/>
          <w:color w:val="2D2D2D"/>
          <w:shd w:val="clear" w:color="auto" w:fill="FFFFFF"/>
        </w:rPr>
        <w:t xml:space="preserve">, expedido por la Aseguradora BBVA Seguros de Vida Colombia S.A., - Solicitud / certificado individual Seguro de Vida Grupo Deudores, </w:t>
      </w:r>
      <w:r w:rsidRPr="00F6057A">
        <w:rPr>
          <w:rFonts w:ascii="Arial" w:hAnsi="Arial" w:cs="Arial"/>
          <w:b/>
          <w:color w:val="2D2D2D"/>
          <w:shd w:val="clear" w:color="auto" w:fill="FFFFFF"/>
        </w:rPr>
        <w:t>póliza No. 0110043</w:t>
      </w:r>
      <w:r w:rsidRPr="00F6057A">
        <w:rPr>
          <w:rFonts w:ascii="Arial" w:hAnsi="Arial" w:cs="Arial"/>
          <w:color w:val="2D2D2D"/>
          <w:shd w:val="clear" w:color="auto" w:fill="FFFFFF"/>
        </w:rPr>
        <w:t>, tomada por Elvia Marina Anaya Vanegas, el 30 de junio de 2010 con BBVA Seguros, por un valor asegurado de $20.000.000; tomador beneficiario Banco BBVA, con vigencia a partir de 30 de junio de 2010 hasta el fin del crédito, amparos: vida, incapacidad total y permanente, desmembración o inutilización e incapacidad total temporal (folios 5 a 8 del cuaderno 2).</w:t>
      </w:r>
    </w:p>
    <w:p w:rsidR="00B3187B" w:rsidRPr="00F6057A" w:rsidRDefault="00344333">
      <w:pPr>
        <w:rPr>
          <w:sz w:val="24"/>
          <w:szCs w:val="24"/>
        </w:rPr>
      </w:pPr>
    </w:p>
    <w:sectPr w:rsidR="00B3187B" w:rsidRPr="00F6057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57A"/>
    <w:rsid w:val="00344333"/>
    <w:rsid w:val="008F1B0F"/>
    <w:rsid w:val="00F6057A"/>
    <w:rsid w:val="00F9407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57A"/>
  </w:style>
  <w:style w:type="paragraph" w:styleId="Ttulo1">
    <w:name w:val="heading 1"/>
    <w:basedOn w:val="Normal"/>
    <w:next w:val="Normal"/>
    <w:link w:val="Ttulo1Car"/>
    <w:uiPriority w:val="9"/>
    <w:qFormat/>
    <w:rsid w:val="00F605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6057A"/>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F6057A"/>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57A"/>
  </w:style>
  <w:style w:type="paragraph" w:styleId="Ttulo1">
    <w:name w:val="heading 1"/>
    <w:basedOn w:val="Normal"/>
    <w:next w:val="Normal"/>
    <w:link w:val="Ttulo1Car"/>
    <w:uiPriority w:val="9"/>
    <w:qFormat/>
    <w:rsid w:val="00F605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6057A"/>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F6057A"/>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638</Words>
  <Characters>3509</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Graciela Torres</dc:creator>
  <cp:lastModifiedBy>Graciela Torres</cp:lastModifiedBy>
  <cp:revision>2</cp:revision>
  <dcterms:created xsi:type="dcterms:W3CDTF">2021-08-07T17:24:00Z</dcterms:created>
  <dcterms:modified xsi:type="dcterms:W3CDTF">2021-08-07T17:29:00Z</dcterms:modified>
</cp:coreProperties>
</file>